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544195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509905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88" w:lineRule="exact"/>
        <w:rPr>
          <w:sz w:val="24"/>
          <w:szCs w:val="24"/>
          <w:color w:val="auto"/>
        </w:rPr>
      </w:pPr>
    </w:p>
    <w:p>
      <w:pPr>
        <w:ind w:left="3880" w:right="1640" w:hanging="3854"/>
        <w:spacing w:after="0" w:line="408" w:lineRule="auto"/>
        <w:tabs>
          <w:tab w:leader="none" w:pos="413"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-513080</wp:posOffset>
            </wp:positionV>
            <wp:extent cx="121285" cy="123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2" w:lineRule="exact"/>
        <w:rPr>
          <w:sz w:val="24"/>
          <w:szCs w:val="24"/>
          <w:color w:val="auto"/>
        </w:rPr>
      </w:pPr>
    </w:p>
    <w:p>
      <w:pPr>
        <w:ind w:left="440" w:hanging="401"/>
        <w:spacing w:after="0"/>
        <w:tabs>
          <w:tab w:leader="none" w:pos="44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121285" cy="12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60" w:type="dxa"/>
            <w:vAlign w:val="bottom"/>
          </w:tcPr>
          <w:p>
            <w:pPr>
              <w:ind w:left="40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3280" w:type="dxa"/>
            <w:vAlign w:val="bottom"/>
          </w:tcPr>
          <w:p>
            <w:pPr>
              <w:spacing w:after="0"/>
              <w:rPr>
                <w:sz w:val="17"/>
                <w:szCs w:val="17"/>
                <w:color w:val="auto"/>
              </w:rPr>
            </w:pPr>
          </w:p>
        </w:tc>
      </w:tr>
      <w:tr>
        <w:trPr>
          <w:trHeight w:val="384"/>
        </w:trPr>
        <w:tc>
          <w:tcPr>
            <w:tcW w:w="3400" w:type="dxa"/>
            <w:vAlign w:val="bottom"/>
          </w:tcPr>
          <w:p>
            <w:pPr>
              <w:spacing w:after="0"/>
              <w:rPr>
                <w:sz w:val="24"/>
                <w:szCs w:val="24"/>
                <w:color w:val="auto"/>
              </w:rPr>
            </w:pPr>
          </w:p>
        </w:tc>
        <w:tc>
          <w:tcPr>
            <w:tcW w:w="7360" w:type="dxa"/>
            <w:vAlign w:val="bottom"/>
            <w:gridSpan w:val="6"/>
          </w:tcPr>
          <w:p>
            <w:pPr>
              <w:jc w:val="center"/>
              <w:ind w:right="2837"/>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3400" w:type="dxa"/>
            <w:vAlign w:val="bottom"/>
          </w:tcPr>
          <w:p>
            <w:pPr>
              <w:spacing w:after="0"/>
              <w:rPr>
                <w:sz w:val="18"/>
                <w:szCs w:val="18"/>
                <w:color w:val="auto"/>
              </w:rPr>
            </w:pPr>
          </w:p>
        </w:tc>
        <w:tc>
          <w:tcPr>
            <w:tcW w:w="4080" w:type="dxa"/>
            <w:vAlign w:val="bottom"/>
            <w:gridSpan w:val="5"/>
          </w:tcPr>
          <w:p>
            <w:pPr>
              <w:jc w:val="center"/>
              <w:ind w:left="291"/>
              <w:spacing w:after="0"/>
              <w:rPr>
                <w:sz w:val="20"/>
                <w:szCs w:val="20"/>
                <w:color w:val="auto"/>
              </w:rPr>
            </w:pPr>
            <w:r>
              <w:rPr>
                <w:rFonts w:ascii="Arial" w:cs="Arial" w:eastAsia="Arial" w:hAnsi="Arial"/>
                <w:sz w:val="18"/>
                <w:szCs w:val="18"/>
                <w:color w:val="auto"/>
                <w:w w:val="89"/>
              </w:rPr>
              <w:t>______________________________________</w:t>
            </w:r>
          </w:p>
        </w:tc>
        <w:tc>
          <w:tcPr>
            <w:tcW w:w="3280" w:type="dxa"/>
            <w:vAlign w:val="bottom"/>
          </w:tcPr>
          <w:p>
            <w:pPr>
              <w:spacing w:after="0"/>
              <w:rPr>
                <w:sz w:val="18"/>
                <w:szCs w:val="18"/>
                <w:color w:val="auto"/>
              </w:rPr>
            </w:pPr>
          </w:p>
        </w:tc>
      </w:tr>
      <w:tr>
        <w:trPr>
          <w:trHeight w:val="306"/>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7360" w:type="dxa"/>
            <w:vAlign w:val="bottom"/>
            <w:gridSpan w:val="6"/>
          </w:tcPr>
          <w:p>
            <w:pPr>
              <w:jc w:val="center"/>
              <w:ind w:right="281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3400" w:type="dxa"/>
            <w:vAlign w:val="bottom"/>
          </w:tcPr>
          <w:p>
            <w:pPr>
              <w:spacing w:after="0"/>
              <w:rPr>
                <w:sz w:val="17"/>
                <w:szCs w:val="17"/>
                <w:color w:val="auto"/>
              </w:rPr>
            </w:pPr>
          </w:p>
        </w:tc>
        <w:tc>
          <w:tcPr>
            <w:tcW w:w="4080" w:type="dxa"/>
            <w:vAlign w:val="bottom"/>
            <w:gridSpan w:val="5"/>
          </w:tcPr>
          <w:p>
            <w:pPr>
              <w:jc w:val="center"/>
              <w:ind w:left="271"/>
              <w:spacing w:after="0"/>
              <w:rPr>
                <w:sz w:val="20"/>
                <w:szCs w:val="20"/>
                <w:color w:val="auto"/>
              </w:rPr>
            </w:pPr>
            <w:r>
              <w:rPr>
                <w:rFonts w:ascii="Arial" w:cs="Arial" w:eastAsia="Arial" w:hAnsi="Arial"/>
                <w:sz w:val="16"/>
                <w:szCs w:val="16"/>
                <w:color w:val="auto"/>
                <w:w w:val="91"/>
              </w:rPr>
              <w:t>______________________________________</w:t>
            </w:r>
          </w:p>
        </w:tc>
        <w:tc>
          <w:tcPr>
            <w:tcW w:w="3280" w:type="dxa"/>
            <w:vAlign w:val="bottom"/>
          </w:tcPr>
          <w:p>
            <w:pPr>
              <w:spacing w:after="0"/>
              <w:rPr>
                <w:sz w:val="17"/>
                <w:szCs w:val="17"/>
                <w:color w:val="auto"/>
              </w:rPr>
            </w:pPr>
          </w:p>
        </w:tc>
      </w:tr>
      <w:tr>
        <w:trPr>
          <w:trHeight w:val="587"/>
        </w:trPr>
        <w:tc>
          <w:tcPr>
            <w:tcW w:w="3400" w:type="dxa"/>
            <w:vAlign w:val="bottom"/>
          </w:tcPr>
          <w:p>
            <w:pPr>
              <w:jc w:val="center"/>
              <w:ind w:left="795"/>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77-0560389</w:t>
            </w:r>
          </w:p>
        </w:tc>
      </w:tr>
      <w:tr>
        <w:trPr>
          <w:trHeight w:val="243"/>
        </w:trPr>
        <w:tc>
          <w:tcPr>
            <w:tcW w:w="3400" w:type="dxa"/>
            <w:vAlign w:val="bottom"/>
          </w:tcPr>
          <w:p>
            <w:pPr>
              <w:jc w:val="center"/>
              <w:ind w:left="795"/>
              <w:spacing w:after="0"/>
              <w:rPr>
                <w:sz w:val="20"/>
                <w:szCs w:val="20"/>
                <w:color w:val="auto"/>
              </w:rPr>
            </w:pPr>
            <w:r>
              <w:rPr>
                <w:rFonts w:ascii="Arial" w:cs="Arial" w:eastAsia="Arial" w:hAnsi="Arial"/>
                <w:sz w:val="16"/>
                <w:szCs w:val="16"/>
                <w:b w:val="1"/>
                <w:bCs w:val="1"/>
                <w:color w:val="auto"/>
                <w:w w:val="92"/>
              </w:rPr>
              <w:t>(State or other jurisdiction of</w:t>
            </w:r>
          </w:p>
        </w:tc>
        <w:tc>
          <w:tcPr>
            <w:tcW w:w="2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3400" w:type="dxa"/>
            <w:vAlign w:val="bottom"/>
          </w:tcPr>
          <w:p>
            <w:pPr>
              <w:jc w:val="center"/>
              <w:ind w:left="795"/>
              <w:spacing w:after="0"/>
              <w:rPr>
                <w:sz w:val="20"/>
                <w:szCs w:val="20"/>
                <w:color w:val="auto"/>
              </w:rPr>
            </w:pPr>
            <w:r>
              <w:rPr>
                <w:rFonts w:ascii="Arial" w:cs="Arial" w:eastAsia="Arial" w:hAnsi="Arial"/>
                <w:sz w:val="16"/>
                <w:szCs w:val="16"/>
                <w:b w:val="1"/>
                <w:bCs w:val="1"/>
                <w:color w:val="auto"/>
                <w:w w:val="92"/>
              </w:rPr>
              <w:t>incorporation or organization)</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r>
      <w:tr>
        <w:trPr>
          <w:trHeight w:val="649"/>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340" w:type="dxa"/>
            <w:vAlign w:val="bottom"/>
            <w:gridSpan w:val="3"/>
          </w:tcPr>
          <w:p>
            <w:pPr>
              <w:jc w:val="center"/>
              <w:ind w:left="103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210"/>
        </w:trPr>
        <w:tc>
          <w:tcPr>
            <w:tcW w:w="3400" w:type="dxa"/>
            <w:vAlign w:val="bottom"/>
          </w:tcPr>
          <w:p>
            <w:pPr>
              <w:spacing w:after="0"/>
              <w:rPr>
                <w:sz w:val="18"/>
                <w:szCs w:val="18"/>
                <w:color w:val="auto"/>
              </w:rPr>
            </w:pPr>
          </w:p>
        </w:tc>
        <w:tc>
          <w:tcPr>
            <w:tcW w:w="7360" w:type="dxa"/>
            <w:vAlign w:val="bottom"/>
            <w:gridSpan w:val="6"/>
          </w:tcPr>
          <w:p>
            <w:pPr>
              <w:jc w:val="center"/>
              <w:ind w:right="283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424"/>
        </w:trPr>
        <w:tc>
          <w:tcPr>
            <w:tcW w:w="3400" w:type="dxa"/>
            <w:vAlign w:val="bottom"/>
          </w:tcPr>
          <w:p>
            <w:pPr>
              <w:spacing w:after="0"/>
              <w:rPr>
                <w:sz w:val="24"/>
                <w:szCs w:val="24"/>
                <w:color w:val="auto"/>
              </w:rPr>
            </w:pPr>
          </w:p>
        </w:tc>
        <w:tc>
          <w:tcPr>
            <w:tcW w:w="3300" w:type="dxa"/>
            <w:vAlign w:val="bottom"/>
            <w:gridSpan w:val="2"/>
          </w:tcPr>
          <w:p>
            <w:pPr>
              <w:jc w:val="center"/>
              <w:ind w:left="105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0"/>
        </w:trPr>
        <w:tc>
          <w:tcPr>
            <w:tcW w:w="3400" w:type="dxa"/>
            <w:vAlign w:val="bottom"/>
          </w:tcPr>
          <w:p>
            <w:pPr>
              <w:spacing w:after="0"/>
              <w:rPr>
                <w:sz w:val="18"/>
                <w:szCs w:val="18"/>
                <w:color w:val="auto"/>
              </w:rPr>
            </w:pPr>
          </w:p>
        </w:tc>
        <w:tc>
          <w:tcPr>
            <w:tcW w:w="7360" w:type="dxa"/>
            <w:vAlign w:val="bottom"/>
            <w:gridSpan w:val="6"/>
          </w:tcPr>
          <w:p>
            <w:pPr>
              <w:jc w:val="center"/>
              <w:ind w:right="2817"/>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317"/>
        </w:trPr>
        <w:tc>
          <w:tcPr>
            <w:tcW w:w="67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78"/>
        </w:trPr>
        <w:tc>
          <w:tcPr>
            <w:tcW w:w="340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Common Stock, $0.001 Par Value</w:t>
            </w:r>
          </w:p>
        </w:tc>
        <w:tc>
          <w:tcPr>
            <w:tcW w:w="3340" w:type="dxa"/>
            <w:vAlign w:val="bottom"/>
            <w:gridSpan w:val="3"/>
          </w:tcPr>
          <w:p>
            <w:pPr>
              <w:jc w:val="center"/>
              <w:ind w:left="971"/>
              <w:spacing w:after="0"/>
              <w:rPr>
                <w:sz w:val="20"/>
                <w:szCs w:val="20"/>
                <w:color w:val="auto"/>
              </w:rPr>
            </w:pPr>
            <w:r>
              <w:rPr>
                <w:rFonts w:ascii="Arial" w:cs="Arial" w:eastAsia="Arial" w:hAnsi="Arial"/>
                <w:sz w:val="16"/>
                <w:szCs w:val="16"/>
                <w:b w:val="1"/>
                <w:bCs w:val="1"/>
                <w:color w:val="auto"/>
              </w:rPr>
              <w:t>FTNT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jc w:val="center"/>
              <w:ind w:left="417"/>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250"/>
        </w:trPr>
        <w:tc>
          <w:tcPr>
            <w:tcW w:w="3400" w:type="dxa"/>
            <w:vAlign w:val="bottom"/>
          </w:tcPr>
          <w:p>
            <w:pPr>
              <w:jc w:val="center"/>
              <w:ind w:left="195"/>
              <w:spacing w:after="0"/>
              <w:rPr>
                <w:sz w:val="20"/>
                <w:szCs w:val="20"/>
                <w:color w:val="auto"/>
              </w:rPr>
            </w:pPr>
            <w:r>
              <w:rPr>
                <w:rFonts w:ascii="Arial" w:cs="Arial" w:eastAsia="Arial" w:hAnsi="Arial"/>
                <w:sz w:val="16"/>
                <w:szCs w:val="16"/>
                <w:b w:val="1"/>
                <w:bCs w:val="1"/>
                <w:color w:val="auto"/>
                <w:w w:val="88"/>
              </w:rPr>
              <w:t>(Title of each class)</w:t>
            </w:r>
          </w:p>
        </w:tc>
        <w:tc>
          <w:tcPr>
            <w:tcW w:w="3340" w:type="dxa"/>
            <w:vAlign w:val="bottom"/>
            <w:gridSpan w:val="3"/>
          </w:tcPr>
          <w:p>
            <w:pPr>
              <w:jc w:val="center"/>
              <w:ind w:left="991"/>
              <w:spacing w:after="0"/>
              <w:rPr>
                <w:sz w:val="20"/>
                <w:szCs w:val="20"/>
                <w:color w:val="auto"/>
              </w:rPr>
            </w:pPr>
            <w:r>
              <w:rPr>
                <w:rFonts w:ascii="Arial" w:cs="Arial" w:eastAsia="Arial" w:hAnsi="Arial"/>
                <w:sz w:val="16"/>
                <w:szCs w:val="16"/>
                <w:b w:val="1"/>
                <w:bCs w:val="1"/>
                <w:color w:val="auto"/>
                <w:w w:val="92"/>
              </w:rPr>
              <w:t>(Trading Symbol)</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80" w:type="dxa"/>
            <w:vAlign w:val="bottom"/>
          </w:tcPr>
          <w:p>
            <w:pPr>
              <w:jc w:val="center"/>
              <w:ind w:left="417"/>
              <w:spacing w:after="0"/>
              <w:rPr>
                <w:sz w:val="20"/>
                <w:szCs w:val="20"/>
                <w:color w:val="auto"/>
              </w:rPr>
            </w:pPr>
            <w:r>
              <w:rPr>
                <w:rFonts w:ascii="Arial" w:cs="Arial" w:eastAsia="Arial" w:hAnsi="Arial"/>
                <w:sz w:val="16"/>
                <w:szCs w:val="16"/>
                <w:b w:val="1"/>
                <w:bCs w:val="1"/>
                <w:color w:val="auto"/>
                <w:w w:val="90"/>
              </w:rPr>
              <w:t>(Name of exchange on which registered)</w:t>
            </w:r>
          </w:p>
        </w:tc>
      </w:tr>
    </w:tbl>
    <w:p>
      <w:pPr>
        <w:spacing w:after="0" w:line="356"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-159385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-159385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31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8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-554990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-554990</wp:posOffset>
            </wp:positionV>
            <wp:extent cx="104140" cy="105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-160655</wp:posOffset>
            </wp:positionV>
            <wp:extent cx="104140" cy="105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-358140</wp:posOffset>
            </wp:positionV>
            <wp:extent cx="104140" cy="105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-160655</wp:posOffset>
            </wp:positionV>
            <wp:extent cx="104140" cy="105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1"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July 31, 2020, there were 161,831,584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-379095</wp:posOffset>
            </wp:positionV>
            <wp:extent cx="104140" cy="105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For the Quarter Ended June 30, 2020</w:t>
      </w:r>
    </w:p>
    <w:p>
      <w:pPr>
        <w:spacing w:after="0" w:line="104"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620" w:type="dxa"/>
            <w:vAlign w:val="bottom"/>
            <w:gridSpan w:val="8"/>
            <w:vMerge w:val="restart"/>
          </w:tcPr>
          <w:p>
            <w:pPr>
              <w:ind w:left="322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9620" w:type="dxa"/>
            <w:vAlign w:val="bottom"/>
            <w:gridSpan w:val="8"/>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9620" w:type="dxa"/>
            <w:vAlign w:val="bottom"/>
            <w:gridSpan w:val="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6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190"/>
        </w:trPr>
        <w:tc>
          <w:tcPr>
            <w:tcW w:w="9620" w:type="dxa"/>
            <w:vAlign w:val="bottom"/>
            <w:gridSpan w:val="8"/>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June </w:t>
              </w:r>
            </w:hyperlink>
            <w:r>
              <w:rPr>
                <w:rFonts w:ascii="Arial" w:cs="Arial" w:eastAsia="Arial" w:hAnsi="Arial"/>
                <w:sz w:val="18"/>
                <w:szCs w:val="18"/>
                <w:color w:val="0000FF"/>
              </w:rPr>
              <w:t>30</w:t>
            </w:r>
            <w:hyperlink w:anchor="page4">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w:t>
              </w:r>
            </w:hyperlink>
          </w:p>
        </w:tc>
        <w:tc>
          <w:tcPr>
            <w:tcW w:w="640" w:type="dxa"/>
            <w:vAlign w:val="bottom"/>
          </w:tcPr>
          <w:p>
            <w:pPr>
              <w:jc w:val="right"/>
              <w:spacing w:after="0" w:line="190"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39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Income for the Three and Six Months Ended June 30, </w:t>
              </w:r>
              <w:r>
                <w:rPr>
                  <w:rFonts w:ascii="Arial" w:cs="Arial" w:eastAsia="Arial" w:hAnsi="Arial"/>
                  <w:sz w:val="18"/>
                  <w:szCs w:val="18"/>
                  <w:u w:val="single" w:color="auto"/>
                  <w:color w:val="0000FF"/>
                </w:rPr>
                <w:t>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0"/>
        </w:trPr>
        <w:tc>
          <w:tcPr>
            <w:tcW w:w="5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8"/>
          </w:tcPr>
          <w:p>
            <w:pPr>
              <w:spacing w:after="0"/>
              <w:rPr>
                <w:rFonts w:ascii="Arial" w:cs="Arial" w:eastAsia="Arial" w:hAnsi="Arial"/>
                <w:sz w:val="18"/>
                <w:szCs w:val="18"/>
                <w:color w:val="0000FF"/>
                <w:w w:val="95"/>
              </w:rPr>
            </w:pPr>
            <w:hyperlink w:anchor="page5">
              <w:r>
                <w:rPr>
                  <w:rFonts w:ascii="Arial" w:cs="Arial" w:eastAsia="Arial" w:hAnsi="Arial"/>
                  <w:sz w:val="18"/>
                  <w:szCs w:val="18"/>
                  <w:u w:val="single" w:color="auto"/>
                  <w:color w:val="0000FF"/>
                  <w:w w:val="95"/>
                </w:rPr>
                <w:t>Condensed Consolidated Statements of Comprehensive Income for the Three</w:t>
              </w:r>
              <w:r>
                <w:rPr>
                  <w:rFonts w:ascii="Arial" w:cs="Arial" w:eastAsia="Arial" w:hAnsi="Arial"/>
                  <w:sz w:val="18"/>
                  <w:szCs w:val="18"/>
                  <w:color w:val="0000FF"/>
                  <w:w w:val="95"/>
                </w:rPr>
                <w:t xml:space="preserve"> and Six Months Ended June 30, </w:t>
              </w:r>
              <w:r>
                <w:rPr>
                  <w:rFonts w:ascii="Arial" w:cs="Arial" w:eastAsia="Arial" w:hAnsi="Arial"/>
                  <w:sz w:val="18"/>
                  <w:szCs w:val="18"/>
                  <w:u w:val="single" w:color="auto"/>
                  <w:color w:val="0000FF"/>
                  <w:w w:val="95"/>
                </w:rPr>
                <w:t>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8"/>
          </w:tcPr>
          <w:p>
            <w:pPr>
              <w:spacing w:after="0"/>
              <w:rPr>
                <w:rFonts w:ascii="Arial" w:cs="Arial" w:eastAsia="Arial" w:hAnsi="Arial"/>
                <w:sz w:val="18"/>
                <w:szCs w:val="18"/>
                <w:color w:val="0000FF"/>
                <w:w w:val="97"/>
              </w:rPr>
            </w:pPr>
            <w:hyperlink w:anchor="page6">
              <w:r>
                <w:rPr>
                  <w:rFonts w:ascii="Arial" w:cs="Arial" w:eastAsia="Arial" w:hAnsi="Arial"/>
                  <w:sz w:val="18"/>
                  <w:szCs w:val="18"/>
                  <w:u w:val="single" w:color="auto"/>
                  <w:color w:val="0000FF"/>
                  <w:w w:val="97"/>
                </w:rPr>
                <w:t>Condensed Consolidated Statements of Stockholders’ Equity for the Three</w:t>
              </w:r>
              <w:r>
                <w:rPr>
                  <w:rFonts w:ascii="Arial" w:cs="Arial" w:eastAsia="Arial" w:hAnsi="Arial"/>
                  <w:sz w:val="18"/>
                  <w:szCs w:val="18"/>
                  <w:color w:val="0000FF"/>
                  <w:w w:val="97"/>
                </w:rPr>
                <w:t xml:space="preserve"> and Six Months Ended June 30, </w:t>
              </w:r>
              <w:r>
                <w:rPr>
                  <w:rFonts w:ascii="Arial" w:cs="Arial" w:eastAsia="Arial" w:hAnsi="Arial"/>
                  <w:sz w:val="18"/>
                  <w:szCs w:val="18"/>
                  <w:u w:val="single" w:color="auto"/>
                  <w:color w:val="0000FF"/>
                  <w:w w:val="97"/>
                </w:rPr>
                <w:t>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Cash Flows for the Six Months Ended June 30, </w:t>
              </w:r>
              <w:r>
                <w:rPr>
                  <w:rFonts w:ascii="Arial" w:cs="Arial" w:eastAsia="Arial" w:hAnsi="Arial"/>
                  <w:sz w:val="18"/>
                  <w:szCs w:val="18"/>
                  <w:u w:val="single" w:color="auto"/>
                  <w:color w:val="0000FF"/>
                </w:rPr>
                <w:t>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50"/>
        </w:trPr>
        <w:tc>
          <w:tcPr>
            <w:tcW w:w="620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3420" w:type="dxa"/>
            <w:vAlign w:val="bottom"/>
            <w:gridSpan w:val="4"/>
          </w:tcPr>
          <w:p>
            <w:pPr>
              <w:spacing w:after="0"/>
              <w:rPr>
                <w:sz w:val="21"/>
                <w:szCs w:val="21"/>
                <w:color w:val="auto"/>
              </w:rPr>
            </w:pPr>
          </w:p>
        </w:tc>
        <w:tc>
          <w:tcPr>
            <w:tcW w:w="6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70"/>
        </w:trPr>
        <w:tc>
          <w:tcPr>
            <w:tcW w:w="9620" w:type="dxa"/>
            <w:vAlign w:val="bottom"/>
            <w:gridSpan w:val="8"/>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70"/>
        </w:trPr>
        <w:tc>
          <w:tcPr>
            <w:tcW w:w="9620" w:type="dxa"/>
            <w:vAlign w:val="bottom"/>
            <w:gridSpan w:val="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70"/>
        </w:trPr>
        <w:tc>
          <w:tcPr>
            <w:tcW w:w="9620" w:type="dxa"/>
            <w:vAlign w:val="bottom"/>
            <w:gridSpan w:val="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ectPr>
          <w:pgSz w:w="11900" w:h="16838" w:orient="portrait"/>
          <w:cols w:equalWidth="0" w:num="2">
            <w:col w:w="540" w:space="440"/>
            <w:col w:w="10260"/>
          </w:cols>
          <w:pgMar w:left="320" w:top="891" w:right="339" w:bottom="1440" w:gutter="0" w:footer="0" w:header="0"/>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736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30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r>
      <w:tr>
        <w:trPr>
          <w:trHeight w:val="270"/>
        </w:trPr>
        <w:tc>
          <w:tcPr>
            <w:tcW w:w="820" w:type="dxa"/>
            <w:vAlign w:val="bottom"/>
          </w:tcPr>
          <w:p>
            <w:pPr>
              <w:ind w:left="20"/>
              <w:spacing w:after="0"/>
              <w:rPr>
                <w:sz w:val="20"/>
                <w:szCs w:val="20"/>
                <w:color w:val="auto"/>
              </w:rPr>
            </w:pPr>
            <w:r>
              <w:rPr>
                <w:rFonts w:ascii="Arial" w:cs="Arial" w:eastAsia="Arial" w:hAnsi="Arial"/>
                <w:sz w:val="18"/>
                <w:szCs w:val="18"/>
                <w:color w:val="auto"/>
              </w:rPr>
              <w:t>Item 1A.</w:t>
            </w:r>
          </w:p>
        </w:tc>
        <w:tc>
          <w:tcPr>
            <w:tcW w:w="736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30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r>
      <w:tr>
        <w:trPr>
          <w:trHeight w:val="270"/>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7360" w:type="dxa"/>
            <w:vAlign w:val="bottom"/>
          </w:tcPr>
          <w:p>
            <w:pPr>
              <w:ind w:left="1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Unregistered Sales of Equity Securities and Use of Proceeds</w:t>
              </w:r>
            </w:hyperlink>
          </w:p>
        </w:tc>
        <w:tc>
          <w:tcPr>
            <w:tcW w:w="30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7360" w:type="dxa"/>
            <w:vAlign w:val="bottom"/>
          </w:tcPr>
          <w:p>
            <w:pPr>
              <w:ind w:left="1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Exhibits</w:t>
              </w:r>
            </w:hyperlink>
          </w:p>
        </w:tc>
        <w:tc>
          <w:tcPr>
            <w:tcW w:w="30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230"/>
        </w:trPr>
        <w:tc>
          <w:tcPr>
            <w:tcW w:w="820" w:type="dxa"/>
            <w:vAlign w:val="bottom"/>
          </w:tcPr>
          <w:p>
            <w:pPr>
              <w:spacing w:after="0"/>
              <w:rPr>
                <w:sz w:val="19"/>
                <w:szCs w:val="19"/>
                <w:color w:val="auto"/>
              </w:rPr>
            </w:pPr>
          </w:p>
        </w:tc>
        <w:tc>
          <w:tcPr>
            <w:tcW w:w="7360" w:type="dxa"/>
            <w:vAlign w:val="bottom"/>
          </w:tcPr>
          <w:p>
            <w:pPr>
              <w:ind w:left="16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Exhibit Index</w:t>
              </w:r>
            </w:hyperlink>
          </w:p>
        </w:tc>
        <w:tc>
          <w:tcPr>
            <w:tcW w:w="306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71</w:t>
              </w:r>
            </w:hyperlink>
          </w:p>
        </w:tc>
      </w:tr>
      <w:tr>
        <w:trPr>
          <w:trHeight w:val="230"/>
        </w:trPr>
        <w:tc>
          <w:tcPr>
            <w:tcW w:w="820" w:type="dxa"/>
            <w:vAlign w:val="bottom"/>
          </w:tcPr>
          <w:p>
            <w:pPr>
              <w:spacing w:after="0"/>
              <w:rPr>
                <w:sz w:val="20"/>
                <w:szCs w:val="20"/>
                <w:color w:val="auto"/>
              </w:rPr>
            </w:pPr>
          </w:p>
        </w:tc>
        <w:tc>
          <w:tcPr>
            <w:tcW w:w="7360" w:type="dxa"/>
            <w:vAlign w:val="bottom"/>
          </w:tcPr>
          <w:p>
            <w:pPr>
              <w:ind w:left="16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Signatures</w:t>
              </w:r>
            </w:hyperlink>
          </w:p>
        </w:tc>
        <w:tc>
          <w:tcPr>
            <w:tcW w:w="306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72</w:t>
              </w:r>
            </w:hyperlink>
          </w:p>
        </w:tc>
      </w:tr>
      <w:tr>
        <w:trPr>
          <w:trHeight w:val="1694"/>
        </w:trPr>
        <w:tc>
          <w:tcPr>
            <w:tcW w:w="8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receivable—net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80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 INTANGIBLE ASSETS—NET</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3,330.6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3,885.5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payroll and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2,563.6</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Arial" w:cs="Arial" w:eastAsia="Arial" w:hAnsi="Arial"/>
                <w:sz w:val="18"/>
                <w:szCs w:val="18"/>
                <w:color w:val="auto"/>
                <w:w w:val="88"/>
              </w:rPr>
              <w:t>Common stock, $0.001 par value—300 shares authorized; 161.8 and 171.7 shares issued and outstanding</w:t>
            </w:r>
          </w:p>
        </w:tc>
        <w:tc>
          <w:tcPr>
            <w:tcW w:w="300" w:type="dxa"/>
            <w:vAlign w:val="bottom"/>
          </w:tcPr>
          <w:p>
            <w:pPr>
              <w:spacing w:after="0"/>
              <w:rPr>
                <w:sz w:val="15"/>
                <w:szCs w:val="15"/>
                <w:color w:val="auto"/>
              </w:rPr>
            </w:pPr>
          </w:p>
        </w:tc>
        <w:tc>
          <w:tcPr>
            <w:tcW w:w="1220" w:type="dxa"/>
            <w:vAlign w:val="bottom"/>
            <w:vMerge w:val="restart"/>
          </w:tcPr>
          <w:p>
            <w:pPr>
              <w:jc w:val="right"/>
              <w:ind w:right="7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at June 30, 2020 and December 31, 2019, respectively</w:t>
            </w: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36"/>
        </w:trPr>
        <w:tc>
          <w:tcPr>
            <w:tcW w:w="80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3,330.6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3,885.5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37"/>
        </w:trPr>
        <w:tc>
          <w:tcPr>
            <w:tcW w:w="49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7"/>
        </w:trPr>
        <w:tc>
          <w:tcPr>
            <w:tcW w:w="494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37"/>
        </w:trPr>
        <w:tc>
          <w:tcPr>
            <w:tcW w:w="494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43"/>
        </w:trPr>
        <w:tc>
          <w:tcPr>
            <w:tcW w:w="49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intellectual property matter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INCOME—NET</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(Note 8):</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4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40" w:type="dxa"/>
            <w:vAlign w:val="bottom"/>
          </w:tcPr>
          <w:p>
            <w:pPr>
              <w:ind w:left="4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131.5</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unrealized gains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Less: tax provision related to change in unrealized gains 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0.7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133.3</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gridSpan w:val="9"/>
          </w:tcPr>
          <w:p>
            <w:pPr>
              <w:ind w:left="60"/>
              <w:spacing w:after="0"/>
              <w:rPr>
                <w:sz w:val="20"/>
                <w:szCs w:val="20"/>
                <w:color w:val="auto"/>
              </w:rPr>
            </w:pPr>
            <w:r>
              <w:rPr>
                <w:rFonts w:ascii="Arial" w:cs="Arial" w:eastAsia="Arial" w:hAnsi="Arial"/>
                <w:sz w:val="16"/>
                <w:szCs w:val="16"/>
                <w:b w:val="1"/>
                <w:bCs w:val="1"/>
                <w:color w:val="auto"/>
                <w:w w:val="95"/>
              </w:rPr>
              <w:t>Three Months Ended June 30, 2020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1920" w:type="dxa"/>
            <w:vAlign w:val="bottom"/>
            <w:gridSpan w:val="4"/>
            <w:vMerge w:val="restart"/>
          </w:tcPr>
          <w:p>
            <w:pPr>
              <w:jc w:val="right"/>
              <w:ind w:right="29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92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18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Accumulated</w:t>
            </w:r>
          </w:p>
        </w:tc>
        <w:tc>
          <w:tcPr>
            <w:tcW w:w="10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2020</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equity</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1,154.3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(613.1)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gridSpan w:val="9"/>
          </w:tcPr>
          <w:p>
            <w:pPr>
              <w:ind w:left="60"/>
              <w:spacing w:after="0"/>
              <w:rPr>
                <w:sz w:val="20"/>
                <w:szCs w:val="20"/>
                <w:color w:val="auto"/>
              </w:rPr>
            </w:pPr>
            <w:r>
              <w:rPr>
                <w:rFonts w:ascii="Arial" w:cs="Arial" w:eastAsia="Arial" w:hAnsi="Arial"/>
                <w:sz w:val="16"/>
                <w:szCs w:val="16"/>
                <w:b w:val="1"/>
                <w:bCs w:val="1"/>
                <w:color w:val="auto"/>
                <w:w w:val="95"/>
              </w:rPr>
              <w:t>Three Months Ended June 30, 2019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1920" w:type="dxa"/>
            <w:vAlign w:val="bottom"/>
            <w:gridSpan w:val="4"/>
            <w:vMerge w:val="restart"/>
          </w:tcPr>
          <w:p>
            <w:pPr>
              <w:jc w:val="right"/>
              <w:ind w:right="29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92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18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Accumulated</w:t>
            </w:r>
          </w:p>
        </w:tc>
        <w:tc>
          <w:tcPr>
            <w:tcW w:w="10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2019</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1,108.1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equity</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BALANCE—June 30, 2019</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1,130.2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5"/>
              </w:rPr>
              <w:t>Six Months Ended June 30, 2020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Earnings</w:t>
            </w:r>
          </w:p>
        </w:tc>
        <w:tc>
          <w:tcPr>
            <w:tcW w:w="180" w:type="dxa"/>
            <w:vAlign w:val="bottom"/>
          </w:tcPr>
          <w:p>
            <w:pPr>
              <w:spacing w:after="0"/>
              <w:rPr>
                <w:sz w:val="17"/>
                <w:szCs w:val="17"/>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8"/>
              </w:rPr>
              <w:t>(Accumulated</w:t>
            </w:r>
          </w:p>
        </w:tc>
        <w:tc>
          <w:tcPr>
            <w:tcW w:w="10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180" w:type="dxa"/>
            <w:vAlign w:val="bottom"/>
          </w:tcPr>
          <w:p>
            <w:pPr>
              <w:spacing w:after="0"/>
              <w:rPr>
                <w:sz w:val="18"/>
                <w:szCs w:val="18"/>
                <w:color w:val="auto"/>
              </w:rPr>
            </w:pPr>
          </w:p>
        </w:tc>
        <w:tc>
          <w:tcPr>
            <w:tcW w:w="82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equity</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(1,046.0)</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1,154.3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(613.1)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7"/>
        </w:trPr>
        <w:tc>
          <w:tcPr>
            <w:tcW w:w="4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5"/>
              </w:rPr>
              <w:t>Six Months Ended June 30, 2019</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equity</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Cumulative-effect adjustment from adoption of ASU 2018-</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BALANCE—June 30, 2019</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1,130.2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70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7"/>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8"/>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36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tcPr>
          <w:p>
            <w:pPr>
              <w:ind w:left="86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6"/>
        </w:trPr>
        <w:tc>
          <w:tcPr>
            <w:tcW w:w="8360" w:type="dxa"/>
            <w:vAlign w:val="bottom"/>
          </w:tcPr>
          <w:p>
            <w:pPr>
              <w:ind w:left="8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Amortization of investment premiums (discounts)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8360" w:type="dxa"/>
            <w:vAlign w:val="bottom"/>
          </w:tcPr>
          <w:p>
            <w:pPr>
              <w:ind w:left="86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tcPr>
          <w:p>
            <w:pPr>
              <w:ind w:left="1420"/>
              <w:spacing w:after="0"/>
              <w:rPr>
                <w:sz w:val="20"/>
                <w:szCs w:val="20"/>
                <w:color w:val="auto"/>
              </w:rPr>
            </w:pPr>
            <w:r>
              <w:rPr>
                <w:rFonts w:ascii="Arial" w:cs="Arial" w:eastAsia="Arial" w:hAnsi="Arial"/>
                <w:sz w:val="14"/>
                <w:szCs w:val="14"/>
                <w:color w:val="auto"/>
              </w:rPr>
              <w:t>Accounts receivable—net</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8360" w:type="dxa"/>
            <w:vAlign w:val="bottom"/>
          </w:tcPr>
          <w:p>
            <w:pPr>
              <w:ind w:left="14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Deferred contract costs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6"/>
        </w:trPr>
        <w:tc>
          <w:tcPr>
            <w:tcW w:w="8360" w:type="dxa"/>
            <w:vAlign w:val="bottom"/>
          </w:tcPr>
          <w:p>
            <w:pPr>
              <w:ind w:left="14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8360" w:type="dxa"/>
            <w:vAlign w:val="bottom"/>
          </w:tcPr>
          <w:p>
            <w:pPr>
              <w:ind w:left="142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6"/>
        </w:trPr>
        <w:tc>
          <w:tcPr>
            <w:tcW w:w="8360" w:type="dxa"/>
            <w:vAlign w:val="bottom"/>
          </w:tcPr>
          <w:p>
            <w:pPr>
              <w:ind w:left="142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2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186.9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566.4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investments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(748.1)</w:t>
            </w:r>
          </w:p>
        </w:tc>
        <w:tc>
          <w:tcPr>
            <w:tcW w:w="0" w:type="dxa"/>
            <w:vAlign w:val="bottom"/>
          </w:tcPr>
          <w:p>
            <w:pPr>
              <w:spacing w:after="0"/>
              <w:rPr>
                <w:sz w:val="1"/>
                <w:szCs w:val="1"/>
                <w:color w:val="auto"/>
              </w:rPr>
            </w:pPr>
          </w:p>
        </w:tc>
      </w:tr>
      <w:tr>
        <w:trPr>
          <w:trHeight w:val="197"/>
        </w:trPr>
        <w:tc>
          <w:tcPr>
            <w:tcW w:w="8360" w:type="dxa"/>
            <w:vAlign w:val="bottom"/>
          </w:tcPr>
          <w:p>
            <w:pPr>
              <w:ind w:left="460"/>
              <w:spacing w:after="0"/>
              <w:rPr>
                <w:sz w:val="20"/>
                <w:szCs w:val="20"/>
                <w:color w:val="auto"/>
              </w:rPr>
            </w:pPr>
            <w:r>
              <w:rPr>
                <w:rFonts w:ascii="Arial" w:cs="Arial" w:eastAsia="Arial" w:hAnsi="Arial"/>
                <w:sz w:val="14"/>
                <w:szCs w:val="14"/>
                <w:color w:val="auto"/>
              </w:rPr>
              <w:t>Sales of investments</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Maturities of investments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384.9</w:t>
            </w:r>
          </w:p>
        </w:tc>
        <w:tc>
          <w:tcPr>
            <w:tcW w:w="0" w:type="dxa"/>
            <w:vAlign w:val="bottom"/>
          </w:tcPr>
          <w:p>
            <w:pPr>
              <w:spacing w:after="0"/>
              <w:rPr>
                <w:sz w:val="1"/>
                <w:szCs w:val="1"/>
                <w:color w:val="auto"/>
              </w:rPr>
            </w:pPr>
          </w:p>
        </w:tc>
      </w:tr>
      <w:tr>
        <w:trPr>
          <w:trHeight w:val="197"/>
        </w:trPr>
        <w:tc>
          <w:tcPr>
            <w:tcW w:w="8360" w:type="dxa"/>
            <w:vAlign w:val="bottom"/>
          </w:tcPr>
          <w:p>
            <w:pPr>
              <w:ind w:left="46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7"/>
                <w:szCs w:val="17"/>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(375.6)</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(1,046.0)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97"/>
        </w:trPr>
        <w:tc>
          <w:tcPr>
            <w:tcW w:w="8360" w:type="dxa"/>
            <w:vAlign w:val="bottom"/>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(1,089.3)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17"/>
                <w:szCs w:val="17"/>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(306.1)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1,222.5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202"/>
        </w:trPr>
        <w:tc>
          <w:tcPr>
            <w:tcW w:w="836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916.4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6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60"/>
              <w:spacing w:after="0"/>
              <w:rPr>
                <w:sz w:val="20"/>
                <w:szCs w:val="20"/>
                <w:color w:val="auto"/>
              </w:rPr>
            </w:pPr>
            <w:r>
              <w:rPr>
                <w:rFonts w:ascii="Arial" w:cs="Arial" w:eastAsia="Arial" w:hAnsi="Arial"/>
                <w:sz w:val="14"/>
                <w:szCs w:val="14"/>
                <w:color w:val="auto"/>
              </w:rPr>
              <w:t>Liability for purchase of property and equipment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Liability incurred for repurchase of common stock</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2019, contained in our Annual Report on Form 10-K filed with the SEC on February 26, 2020.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2020 are not necessarily indicative of the results for the full year or for any future periods. The condensed consolidated balance sheet as of December 31, 2019 is derived from the audited consolidated financial statements for the year ended December 31, 2019. For 2020, the amounts previously reported as Income taxes payable are included in Accrued liabilities. Prior periods have been reclassified to conform with current period presentation.</w:t>
      </w:r>
    </w:p>
    <w:p>
      <w:pPr>
        <w:spacing w:after="0" w:line="21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to our significant accounting policies as of and for the three and six months ended June 30, 2020.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2016-13—Financial Instruments—Credit Losses (Topic 326): Measurement of Credit Losses on Financial Instruments (“Topic 326”), which provides guidance on how an entity should measure credit losses on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new approach to estimating credit losses (referred to as the current expected credit losses model) generally accelerates recognition of credit losses. We adopted Topic 326 on January 1, 2020 using the modified retrospective method. The adoption of this standard did not have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w:t>
      </w:r>
    </w:p>
    <w:p>
      <w:pPr>
        <w:spacing w:after="0" w:line="252"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Topic 350, Intangibles—Goodwill and Other, to determine which implementation costs to capitalize as assets or expense as incurred. We adopted ASU 2018-15 on January 1, 2020. The adoption of this standard did not have a material impact on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We adopted ASU 2018-13 on January 1, 2020. The adoption of this standard did not have a material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is effective for us beginning on January 1, 2021. We are currently evaluating the impact of ASU 2019-12 on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5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revenue consists of product and service revenue. Product revenue is generated by sales of our FortiGate products and other hardware and software solutions. Service revenue relates to sales of our security subscription services, which mainly consist of our FortiGuard security solutions, as well as our FortiCare technical support services and other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2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33"/>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352.6</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Service: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352.7</w:t>
            </w:r>
          </w:p>
        </w:tc>
      </w:tr>
      <w:tr>
        <w:trPr>
          <w:trHeight w:val="243"/>
        </w:trPr>
        <w:tc>
          <w:tcPr>
            <w:tcW w:w="4860" w:type="dxa"/>
            <w:vAlign w:val="bottom"/>
          </w:tcPr>
          <w:p>
            <w:pPr>
              <w:ind w:left="220"/>
              <w:spacing w:after="0"/>
              <w:rPr>
                <w:sz w:val="20"/>
                <w:szCs w:val="20"/>
                <w:color w:val="auto"/>
              </w:rPr>
            </w:pPr>
            <w:r>
              <w:rPr>
                <w:rFonts w:ascii="Arial" w:cs="Arial" w:eastAsia="Arial" w:hAnsi="Arial"/>
                <w:sz w:val="18"/>
                <w:szCs w:val="18"/>
                <w:color w:val="auto"/>
              </w:rPr>
              <w:t>Technical support and other</w:t>
            </w:r>
          </w:p>
        </w:tc>
        <w:tc>
          <w:tcPr>
            <w:tcW w:w="3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289.0</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641.7</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994.3</w:t>
            </w:r>
          </w:p>
        </w:tc>
      </w:tr>
      <w:tr>
        <w:trPr>
          <w:trHeight w:val="21"/>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During the three months ended June 30, 2020 and June 30, 2019, we recognized $307.9 million and $252.0 million in service revenue that was included in the deferred revenue balance as of December 31, 2019 and December 31, 2018, respectively. During the six months ended June 30, 2020 and June 30, 2019, we recognized $656.8 million and $540.6 million in service revenue that was included in the deferred revenue balance as of December 31, 2019 and December 31,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of June 30, 2020, the aggregate amount of the transaction price allocated to remaining performance obligations was $2.32 billion, which was substantially comprised of deferred security subscription and technical support services revenue. We expect to recognize approximately $1.28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Trade accounts receivable are recorded at the invoiced amount. On January 1, 2020, we adopted Topic 326, which provides guidance on how to measure credit losses on financial instruments, including accounts receivable. Prior to our adoption of Topic 326, our accounts receivable balance was reduced by an allowance for doubtful accounts that we determined based on our assessment of the collectability of customer accounts. Under Topic 326, our accounts receivable balance is reduced by an allowance for credit losses. We measure expected credit losses of accounts receivable on a collective (pool)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continues to exhibit similar risk characteristics with the other accounts receivable in the pool. If we determine that it does not, we evaluate it for expected credit losses on an individual basis.</w:t>
      </w:r>
    </w:p>
    <w:p>
      <w:pPr>
        <w:spacing w:after="0" w:line="19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COVID-19 pandemic and the recent economic downturn prompted us to perform additional credit reviews of our existing customers, including obtaining recent credit reports and reviewing their latest available statements of financial position. In addition, we have seen an increase in requests for extended payment terms. After performing our additional reviews, we increased the allowance for credit losses for certain accounts receivable.</w:t>
      </w:r>
    </w:p>
    <w:p>
      <w:pPr>
        <w:spacing w:after="0" w:line="17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allowance for credit losses was $2.2 million as of June 30, 2020, and the allowance for doubtful accounts was $1.2 million as of December 31, 2019. Provisions, write-offs and recoveries were not material during the six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June 30, 2020 and June 30, 2019 were $33.2 million and $25.9 million, respectively. Amortization of deferred contract costs during the six months ended June 30, 2020 and June 30, 2019 were $64.5 million and $51.0 million, respectively.</w:t>
      </w:r>
    </w:p>
    <w:p>
      <w:pPr>
        <w:sectPr>
          <w:pgSz w:w="11900" w:h="16838" w:orient="portrait"/>
          <w:cols w:equalWidth="0" w:num="1">
            <w:col w:w="11220"/>
          </w:cols>
          <w:pgMar w:left="320" w:top="125" w:right="35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following tables summarize our investments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5040" w:val="left"/>
        </w:tabs>
        <w:rPr>
          <w:sz w:val="20"/>
          <w:szCs w:val="20"/>
          <w:color w:val="auto"/>
        </w:rPr>
      </w:pPr>
      <w:r>
        <w:rPr>
          <w:rFonts w:ascii="Arial" w:cs="Arial" w:eastAsia="Arial" w:hAnsi="Arial"/>
          <w:sz w:val="18"/>
          <w:szCs w:val="18"/>
          <w:color w:val="auto"/>
        </w:rPr>
        <w:t>Corporate debt securities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Commercial paper</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p>
      <w:pPr>
        <w:ind w:left="60"/>
        <w:spacing w:after="0"/>
        <w:rPr>
          <w:sz w:val="20"/>
          <w:szCs w:val="20"/>
          <w:color w:val="auto"/>
        </w:rPr>
      </w:pPr>
      <w:r>
        <w:rPr>
          <w:rFonts w:ascii="Arial" w:cs="Arial" w:eastAsia="Arial" w:hAnsi="Arial"/>
          <w:sz w:val="18"/>
          <w:szCs w:val="18"/>
          <w:color w:val="auto"/>
        </w:rPr>
        <w:t>U.S. government securities</w:t>
      </w:r>
    </w:p>
    <w:p>
      <w:pPr>
        <w:spacing w:after="0" w:line="61" w:lineRule="exact"/>
        <w:rPr>
          <w:sz w:val="20"/>
          <w:szCs w:val="20"/>
          <w:color w:val="auto"/>
        </w:rPr>
      </w:pPr>
    </w:p>
    <w:p>
      <w:pPr>
        <w:ind w:left="480"/>
        <w:spacing w:after="0"/>
        <w:tabs>
          <w:tab w:leader="none" w:pos="5040" w:val="left"/>
        </w:tabs>
        <w:rPr>
          <w:sz w:val="20"/>
          <w:szCs w:val="20"/>
          <w:color w:val="auto"/>
        </w:rPr>
      </w:pPr>
      <w:r>
        <w:rPr>
          <w:rFonts w:ascii="Arial" w:cs="Arial" w:eastAsia="Arial" w:hAnsi="Arial"/>
          <w:sz w:val="18"/>
          <w:szCs w:val="18"/>
          <w:color w:val="auto"/>
        </w:rPr>
        <w:t>Total available-for-sale securities</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5040" w:val="left"/>
        </w:tabs>
        <w:rPr>
          <w:sz w:val="20"/>
          <w:szCs w:val="20"/>
          <w:color w:val="auto"/>
        </w:rPr>
      </w:pPr>
      <w:r>
        <w:rPr>
          <w:rFonts w:ascii="Arial" w:cs="Arial" w:eastAsia="Arial" w:hAnsi="Arial"/>
          <w:sz w:val="18"/>
          <w:szCs w:val="18"/>
          <w:color w:val="auto"/>
        </w:rPr>
        <w:t>Corporate debt securities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Commercial paper</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p>
      <w:pPr>
        <w:ind w:left="60"/>
        <w:spacing w:after="0"/>
        <w:rPr>
          <w:sz w:val="20"/>
          <w:szCs w:val="20"/>
          <w:color w:val="auto"/>
        </w:rPr>
      </w:pPr>
      <w:r>
        <w:rPr>
          <w:rFonts w:ascii="Arial" w:cs="Arial" w:eastAsia="Arial" w:hAnsi="Arial"/>
          <w:sz w:val="18"/>
          <w:szCs w:val="18"/>
          <w:color w:val="auto"/>
        </w:rPr>
        <w:t>U.S. government securities</w:t>
      </w:r>
    </w:p>
    <w:p>
      <w:pPr>
        <w:spacing w:after="0" w:line="61" w:lineRule="exact"/>
        <w:rPr>
          <w:sz w:val="20"/>
          <w:szCs w:val="20"/>
          <w:color w:val="auto"/>
        </w:rPr>
      </w:pPr>
    </w:p>
    <w:p>
      <w:pPr>
        <w:ind w:left="480"/>
        <w:spacing w:after="0"/>
        <w:tabs>
          <w:tab w:leader="none" w:pos="5040" w:val="left"/>
        </w:tabs>
        <w:rPr>
          <w:sz w:val="20"/>
          <w:szCs w:val="20"/>
          <w:color w:val="auto"/>
        </w:rPr>
      </w:pPr>
      <w:r>
        <w:rPr>
          <w:rFonts w:ascii="Arial" w:cs="Arial" w:eastAsia="Arial" w:hAnsi="Arial"/>
          <w:sz w:val="18"/>
          <w:szCs w:val="18"/>
          <w:color w:val="auto"/>
        </w:rPr>
        <w:t>Total available-for-sale securities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37465</wp:posOffset>
            </wp:positionV>
            <wp:extent cx="3909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91"/>
              </w:rPr>
              <w:t>Amortized</w:t>
            </w: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300" w:type="dxa"/>
            <w:vAlign w:val="bottom"/>
          </w:tcPr>
          <w:p>
            <w:pPr>
              <w:spacing w:after="0"/>
              <w:rPr>
                <w:sz w:val="17"/>
                <w:szCs w:val="17"/>
                <w:color w:val="auto"/>
              </w:rPr>
            </w:pPr>
          </w:p>
        </w:tc>
        <w:tc>
          <w:tcPr>
            <w:tcW w:w="1160" w:type="dxa"/>
            <w:vAlign w:val="bottom"/>
          </w:tcPr>
          <w:p>
            <w:pPr>
              <w:jc w:val="center"/>
              <w:ind w:right="253"/>
              <w:spacing w:after="0"/>
              <w:rPr>
                <w:sz w:val="20"/>
                <w:szCs w:val="20"/>
                <w:color w:val="auto"/>
              </w:rPr>
            </w:pPr>
            <w:r>
              <w:rPr>
                <w:rFonts w:ascii="Arial" w:cs="Arial" w:eastAsia="Arial" w:hAnsi="Arial"/>
                <w:sz w:val="16"/>
                <w:szCs w:val="16"/>
                <w:b w:val="1"/>
                <w:bCs w:val="1"/>
                <w:color w:val="auto"/>
              </w:rPr>
              <w:t>Fair</w:t>
            </w:r>
          </w:p>
        </w:tc>
      </w:tr>
      <w:tr>
        <w:trPr>
          <w:trHeight w:val="210"/>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502.2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505.1</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75.8</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69.0</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61.0</w:t>
            </w:r>
          </w:p>
        </w:tc>
      </w:tr>
      <w:tr>
        <w:trPr>
          <w:trHeight w:val="27"/>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707.6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710.9</w:t>
            </w:r>
          </w:p>
        </w:tc>
      </w:tr>
      <w:tr>
        <w:trPr>
          <w:trHeight w:val="27"/>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5"/>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2"/>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91"/>
              </w:rPr>
              <w:t>Amortized</w:t>
            </w:r>
          </w:p>
        </w:tc>
        <w:tc>
          <w:tcPr>
            <w:tcW w:w="22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22"/>
                <w:szCs w:val="22"/>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Unrealized</w:t>
            </w:r>
          </w:p>
        </w:tc>
        <w:tc>
          <w:tcPr>
            <w:tcW w:w="300" w:type="dxa"/>
            <w:vAlign w:val="bottom"/>
          </w:tcPr>
          <w:p>
            <w:pPr>
              <w:spacing w:after="0"/>
              <w:rPr>
                <w:sz w:val="22"/>
                <w:szCs w:val="22"/>
                <w:color w:val="auto"/>
              </w:rPr>
            </w:pPr>
          </w:p>
        </w:tc>
        <w:tc>
          <w:tcPr>
            <w:tcW w:w="1160" w:type="dxa"/>
            <w:vAlign w:val="bottom"/>
          </w:tcPr>
          <w:p>
            <w:pPr>
              <w:jc w:val="center"/>
              <w:ind w:right="253"/>
              <w:spacing w:after="0"/>
              <w:rPr>
                <w:sz w:val="20"/>
                <w:szCs w:val="20"/>
                <w:color w:val="auto"/>
              </w:rPr>
            </w:pPr>
            <w:r>
              <w:rPr>
                <w:rFonts w:ascii="Arial" w:cs="Arial" w:eastAsia="Arial" w:hAnsi="Arial"/>
                <w:sz w:val="16"/>
                <w:szCs w:val="16"/>
                <w:b w:val="1"/>
                <w:bCs w:val="1"/>
                <w:color w:val="auto"/>
              </w:rPr>
              <w:t>Fair</w:t>
            </w:r>
          </w:p>
        </w:tc>
      </w:tr>
      <w:tr>
        <w:trPr>
          <w:trHeight w:val="210"/>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576.1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577.0</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148.8</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66.4</w:t>
            </w:r>
          </w:p>
        </w:tc>
      </w:tr>
      <w:tr>
        <w:trPr>
          <w:trHeight w:val="270"/>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195.2</w:t>
            </w:r>
          </w:p>
        </w:tc>
      </w:tr>
      <w:tr>
        <w:trPr>
          <w:trHeight w:val="27"/>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1200" w:type="dxa"/>
            <w:vAlign w:val="bottom"/>
          </w:tcPr>
          <w:p>
            <w:pPr>
              <w:jc w:val="right"/>
              <w:ind w:right="173"/>
              <w:spacing w:after="0"/>
              <w:rPr>
                <w:sz w:val="20"/>
                <w:szCs w:val="20"/>
                <w:color w:val="auto"/>
              </w:rPr>
            </w:pPr>
            <w:r>
              <w:rPr>
                <w:rFonts w:ascii="Arial" w:cs="Arial" w:eastAsia="Arial" w:hAnsi="Arial"/>
                <w:sz w:val="18"/>
                <w:szCs w:val="18"/>
                <w:color w:val="auto"/>
              </w:rPr>
              <w:t>986.2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987.4</w:t>
            </w:r>
          </w:p>
        </w:tc>
      </w:tr>
      <w:tr>
        <w:trPr>
          <w:trHeight w:val="27"/>
        </w:trPr>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-1996440</wp:posOffset>
            </wp:positionV>
            <wp:extent cx="70891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-1653540</wp:posOffset>
            </wp:positionV>
            <wp:extent cx="708914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-2348230</wp:posOffset>
            </wp:positionV>
            <wp:extent cx="708914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7970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-556260</wp:posOffset>
            </wp:positionV>
            <wp:extent cx="70891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-213360</wp:posOffset>
            </wp:positionV>
            <wp:extent cx="7089140" cy="213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21399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-908050</wp:posOffset>
            </wp:positionV>
            <wp:extent cx="708914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18034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-1207770</wp:posOffset>
            </wp:positionV>
            <wp:extent cx="3909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60"/>
            <w:col w:w="5800"/>
          </w:cols>
          <w:pgMar w:left="320" w:top="125" w:right="359" w:bottom="1440" w:gutter="0" w:footer="0" w:header="0"/>
          <w:type w:val="continuous"/>
        </w:sectPr>
      </w:pPr>
    </w:p>
    <w:p>
      <w:pPr>
        <w:spacing w:after="0" w:line="114" w:lineRule="exact"/>
        <w:rPr>
          <w:sz w:val="20"/>
          <w:szCs w:val="20"/>
          <w:color w:val="auto"/>
        </w:rPr>
      </w:pPr>
    </w:p>
    <w:p>
      <w:pPr>
        <w:ind w:left="700" w:hanging="154"/>
        <w:spacing w:after="0"/>
        <w:tabs>
          <w:tab w:leader="none" w:pos="70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63" w:lineRule="exact"/>
        <w:rPr>
          <w:rFonts w:ascii="Arial" w:cs="Arial" w:eastAsia="Arial" w:hAnsi="Arial"/>
          <w:sz w:val="18"/>
          <w:szCs w:val="18"/>
          <w:color w:val="auto"/>
          <w:vertAlign w:val="superscript"/>
        </w:rPr>
      </w:pPr>
    </w:p>
    <w:p>
      <w:pPr>
        <w:ind w:left="5580"/>
        <w:spacing w:after="0"/>
        <w:rPr>
          <w:rFonts w:ascii="Arial" w:cs="Arial" w:eastAsia="Arial" w:hAnsi="Arial"/>
          <w:sz w:val="18"/>
          <w:szCs w:val="18"/>
          <w:color w:val="auto"/>
          <w:vertAlign w:val="superscript"/>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16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Total</w:t>
            </w:r>
          </w:p>
        </w:tc>
        <w:tc>
          <w:tcPr>
            <w:tcW w:w="9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64"/>
        </w:trPr>
        <w:tc>
          <w:tcPr>
            <w:tcW w:w="20" w:type="dxa"/>
            <w:vAlign w:val="bottom"/>
          </w:tcPr>
          <w:p>
            <w:pPr>
              <w:spacing w:after="0"/>
              <w:rPr>
                <w:sz w:val="22"/>
                <w:szCs w:val="22"/>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5"/>
          </w:tcPr>
          <w:p>
            <w:pPr>
              <w:ind w:left="260"/>
              <w:spacing w:after="0"/>
              <w:rPr>
                <w:sz w:val="20"/>
                <w:szCs w:val="20"/>
                <w:color w:val="auto"/>
              </w:rPr>
            </w:pPr>
            <w:r>
              <w:rPr>
                <w:rFonts w:ascii="Arial" w:cs="Arial" w:eastAsia="Arial" w:hAnsi="Arial"/>
                <w:sz w:val="16"/>
                <w:szCs w:val="16"/>
                <w:b w:val="1"/>
                <w:bCs w:val="1"/>
                <w:color w:val="auto"/>
              </w:rPr>
              <w:t>December 31, 2019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16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Total</w:t>
            </w:r>
          </w:p>
        </w:tc>
        <w:tc>
          <w:tcPr>
            <w:tcW w:w="9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480" w:type="dxa"/>
            <w:vAlign w:val="bottom"/>
            <w:gridSpan w:val="7"/>
          </w:tcPr>
          <w:p>
            <w:pPr>
              <w:ind w:left="620"/>
              <w:spacing w:after="0"/>
              <w:rPr>
                <w:sz w:val="20"/>
                <w:szCs w:val="20"/>
                <w:color w:val="auto"/>
              </w:rPr>
            </w:pPr>
            <w:r>
              <w:rPr>
                <w:rFonts w:ascii="Arial" w:cs="Arial" w:eastAsia="Arial" w:hAnsi="Arial"/>
                <w:sz w:val="18"/>
                <w:szCs w:val="18"/>
                <w:color w:val="auto"/>
                <w:w w:val="99"/>
              </w:rPr>
              <w:t>The contractual maturities of our investments were as follows (in millions):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jc w:val="right"/>
              <w:ind w:right="3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38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4"/>
          </w:tcPr>
          <w:p>
            <w:pPr>
              <w:ind w:left="280"/>
              <w:spacing w:after="0"/>
              <w:rPr>
                <w:sz w:val="20"/>
                <w:szCs w:val="20"/>
                <w:color w:val="auto"/>
              </w:rPr>
            </w:pPr>
            <w:r>
              <w:rPr>
                <w:rFonts w:ascii="Arial" w:cs="Arial" w:eastAsia="Arial" w:hAnsi="Arial"/>
                <w:sz w:val="16"/>
                <w:szCs w:val="16"/>
                <w:b w:val="1"/>
                <w:bCs w:val="1"/>
                <w:color w:val="auto"/>
              </w:rPr>
              <w:t>2019</w:t>
            </w:r>
          </w:p>
        </w:tc>
      </w:tr>
      <w:tr>
        <w:trPr>
          <w:trHeight w:val="33"/>
        </w:trPr>
        <w:tc>
          <w:tcPr>
            <w:tcW w:w="2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610.5</w:t>
            </w:r>
          </w:p>
        </w:tc>
        <w:tc>
          <w:tcPr>
            <w:tcW w:w="640" w:type="dxa"/>
            <w:vAlign w:val="bottom"/>
            <w:tcBorders>
              <w:bottom w:val="single" w:sz="8" w:color="CCEEFF"/>
            </w:tcBorders>
            <w:gridSpan w:val="3"/>
            <w:shd w:val="clear" w:color="auto" w:fill="CCEEFF"/>
          </w:tcPr>
          <w:p>
            <w:pPr>
              <w:jc w:val="center"/>
              <w:ind w:right="3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843.1</w:t>
            </w: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Due within one to three years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144.3</w:t>
            </w:r>
          </w:p>
        </w:tc>
      </w:tr>
      <w:tr>
        <w:trPr>
          <w:trHeight w:val="27"/>
        </w:trPr>
        <w:tc>
          <w:tcPr>
            <w:tcW w:w="2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710.9</w:t>
            </w:r>
          </w:p>
        </w:tc>
        <w:tc>
          <w:tcPr>
            <w:tcW w:w="640" w:type="dxa"/>
            <w:vAlign w:val="bottom"/>
            <w:gridSpan w:val="3"/>
            <w:shd w:val="clear" w:color="auto" w:fill="CCEEFF"/>
          </w:tcPr>
          <w:p>
            <w:pPr>
              <w:jc w:val="center"/>
              <w:ind w:right="39"/>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987.4</w:t>
            </w: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stockholders’ equity and in comprehensive income. Accrued interest of $3.7 million as of June 30, 2020 is excluded from both the fair value and the amortized cost of our available-for-sale securities and is recorded in Prepaid expenses and other current assets in our condensed consolidated balance sheet. We have elected to not record an allowance for credit losses for accrued interest for available-for-sale securities and will reverse the accrued interest against interest income in the period in which we determine the accrued interest to be uncollectible.</w:t>
      </w:r>
    </w:p>
    <w:p>
      <w:pPr>
        <w:spacing w:after="0" w:line="20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Prior to 2020, we followed the guidance in ASC 320 Investments—Debt and Equity Securities in determining whether unrealized losses were other than temporary. We adopted Topic 326 on January 1, 2020, and now consider whether unrealized losses have resulted from a credit loss or other factors. The unrealized losses on our available-for-sale securities as of June 30, 2020 and as of December 31, 2019 were caused by fluctuations in market value and interest rates as a result of the economic environment. We concluded that an allowance for credit losses was unnecessary as of June 30, 2020 and that the impairments as of December 31, 2019 were not other than temporary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w:t>
      </w:r>
    </w:p>
    <w:p>
      <w:pPr>
        <w:spacing w:after="0" w:line="20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Realized gains and losses on available-for-sale securities were insignificant in the periods presented and are included in Other income (expense)— net in our consolidated statements of income. We use the specific identification method to determine the cost basis of investments sold.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June 30, 2020 and December 31, 2019 (in millions):</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5"/>
          </w:tcPr>
          <w:p>
            <w:pPr>
              <w:ind w:left="48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7"/>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4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74"/>
        </w:trPr>
        <w:tc>
          <w:tcPr>
            <w:tcW w:w="2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r>
      <w:tr>
        <w:trPr>
          <w:trHeight w:val="223"/>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4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268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505.1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577.0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tcPr>
          <w:p>
            <w:pPr>
              <w:ind w:left="440"/>
              <w:spacing w:after="0"/>
              <w:rPr>
                <w:sz w:val="20"/>
                <w:szCs w:val="20"/>
                <w:color w:val="auto"/>
              </w:rPr>
            </w:pPr>
            <w:r>
              <w:rPr>
                <w:rFonts w:ascii="Arial" w:cs="Arial" w:eastAsia="Arial" w:hAnsi="Arial"/>
                <w:sz w:val="18"/>
                <w:szCs w:val="18"/>
                <w:color w:val="auto"/>
              </w:rPr>
              <w:t>Certificates of deposit and</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680" w:type="dxa"/>
            <w:vAlign w:val="bottom"/>
          </w:tcPr>
          <w:p>
            <w:pPr>
              <w:ind w:left="440"/>
              <w:spacing w:after="0"/>
              <w:rPr>
                <w:sz w:val="20"/>
                <w:szCs w:val="20"/>
                <w:color w:val="auto"/>
              </w:rPr>
            </w:pPr>
            <w:r>
              <w:rPr>
                <w:rFonts w:ascii="Arial" w:cs="Arial" w:eastAsia="Arial" w:hAnsi="Arial"/>
                <w:sz w:val="18"/>
                <w:szCs w:val="18"/>
                <w:color w:val="auto"/>
              </w:rPr>
              <w:t>term deposits</w:t>
            </w:r>
          </w:p>
        </w:tc>
        <w:tc>
          <w:tcPr>
            <w:tcW w:w="140" w:type="dxa"/>
            <w:vAlign w:val="bottom"/>
          </w:tcPr>
          <w:p>
            <w:pPr>
              <w:spacing w:after="0"/>
              <w:rPr>
                <w:sz w:val="20"/>
                <w:szCs w:val="20"/>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26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83"/>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8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6"/>
              </w:rPr>
              <w:t>1,057.9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1,019.4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809.2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68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680" w:type="dxa"/>
            <w:vAlign w:val="bottom"/>
          </w:tcPr>
          <w:p>
            <w:pPr>
              <w:ind w:left="44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9"/>
        </w:trPr>
        <w:tc>
          <w:tcPr>
            <w:tcW w:w="2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6"/>
              </w:rPr>
              <w:t>1,057.9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1,019.4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2020 and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200" w:type="dxa"/>
            <w:vAlign w:val="bottom"/>
          </w:tcPr>
          <w:p>
            <w:pPr>
              <w:jc w:val="center"/>
              <w:ind w:left="535"/>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200" w:type="dxa"/>
            <w:vAlign w:val="bottom"/>
          </w:tcPr>
          <w:p>
            <w:pPr>
              <w:jc w:val="center"/>
              <w:ind w:left="555"/>
              <w:spacing w:after="0"/>
              <w:rPr>
                <w:sz w:val="20"/>
                <w:szCs w:val="20"/>
                <w:color w:val="auto"/>
              </w:rPr>
            </w:pPr>
            <w:r>
              <w:rPr>
                <w:rFonts w:ascii="Arial" w:cs="Arial" w:eastAsia="Arial" w:hAnsi="Arial"/>
                <w:sz w:val="16"/>
                <w:szCs w:val="16"/>
                <w:b w:val="1"/>
                <w:bCs w:val="1"/>
                <w:color w:val="auto"/>
                <w:w w:val="89"/>
              </w:rPr>
              <w:t>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Finished goods</w:t>
            </w:r>
          </w:p>
        </w:tc>
        <w:tc>
          <w:tcPr>
            <w:tcW w:w="12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EQUIPMENT—Net</w:t>
            </w: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80" w:type="dxa"/>
            <w:vAlign w:val="bottom"/>
          </w:tcPr>
          <w:p>
            <w:pPr>
              <w:ind w:left="620"/>
              <w:spacing w:after="0"/>
              <w:rPr>
                <w:sz w:val="20"/>
                <w:szCs w:val="20"/>
                <w:color w:val="auto"/>
              </w:rPr>
            </w:pPr>
            <w:r>
              <w:rPr>
                <w:rFonts w:ascii="Arial" w:cs="Arial" w:eastAsia="Arial" w:hAnsi="Arial"/>
                <w:sz w:val="18"/>
                <w:szCs w:val="18"/>
                <w:color w:val="auto"/>
              </w:rPr>
              <w:t>Property and equipment—net consisted of the following (in millions):</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0" w:type="dxa"/>
            <w:vAlign w:val="bottom"/>
          </w:tcPr>
          <w:p>
            <w:pPr>
              <w:jc w:val="center"/>
              <w:ind w:left="535"/>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200" w:type="dxa"/>
            <w:vAlign w:val="bottom"/>
          </w:tcPr>
          <w:p>
            <w:pPr>
              <w:jc w:val="center"/>
              <w:ind w:left="555"/>
              <w:spacing w:after="0"/>
              <w:rPr>
                <w:sz w:val="20"/>
                <w:szCs w:val="20"/>
                <w:color w:val="auto"/>
              </w:rPr>
            </w:pPr>
            <w:r>
              <w:rPr>
                <w:rFonts w:ascii="Arial" w:cs="Arial" w:eastAsia="Arial" w:hAnsi="Arial"/>
                <w:sz w:val="16"/>
                <w:szCs w:val="16"/>
                <w:b w:val="1"/>
                <w:bCs w:val="1"/>
                <w:color w:val="auto"/>
                <w:w w:val="89"/>
              </w:rPr>
              <w:t>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2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200" w:type="dxa"/>
            <w:vAlign w:val="bottom"/>
            <w:tcBorders>
              <w:top w:val="single" w:sz="8" w:color="auto"/>
              <w:bottom w:val="single" w:sz="8" w:color="auto"/>
            </w:tcBorders>
          </w:tcPr>
          <w:p>
            <w:pPr>
              <w:jc w:val="right"/>
              <w:ind w:right="101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Construction-in-progress consists primarily of costs incurred in connection with the construction of a second building at our headquarters campus. Depreciation expense was $14.1 million and $12.3 million during the three months ended June 30, 2020 and June 30, 2019, respectively. Depreciation expense was $27.7 million and $25.0 million during the six months ended June 30, 2020 and June 30,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PRIVATELY HELD COMPANIES</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investments in the equity securities of privately held companies totaled $1.0 million and $5.3 million as of June 30, 2020 and December 31, 2019, respectively.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condensed consolidated balance sheets and would be measured at fair value if indicators of an increase in value or impairment existed. In the first quarter of 2020, we determined that one investment was impaired. As a result, we recognized and included a non-cash impairment charge of $4.3 million in Other income (expense)—net in our condensed consolidated statements of income. As of June 30, 2020, no other events have occurred that would affect the carrying value of these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June 30, 2020 and December 31, 2019, we had goodwill of $67.2 million. There were no impairments to goodwill during the six months ended June 30, 2020 or during prior periods.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other intangible assets—net as of June 30, 2020 and December 31, 2019 (in millions, except years):</w:t>
      </w:r>
    </w:p>
    <w:p>
      <w:pPr>
        <w:spacing w:after="0" w:line="181"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37465</wp:posOffset>
            </wp:positionV>
            <wp:extent cx="3583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intangible assets—net: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Finite-lived intangible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Developed technologies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 relationships</w:t>
      </w:r>
    </w:p>
    <w:p>
      <w:pPr>
        <w:spacing w:after="0" w:line="104"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Total other intangible assets—net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Weighted-Average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Useful Life (in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Accumulated</w:t>
            </w:r>
          </w:p>
        </w:tc>
        <w:tc>
          <w:tcPr>
            <w:tcW w:w="1300" w:type="dxa"/>
            <w:vAlign w:val="bottom"/>
          </w:tcPr>
          <w:p>
            <w:pPr>
              <w:spacing w:after="0"/>
              <w:rPr>
                <w:sz w:val="17"/>
                <w:szCs w:val="17"/>
                <w:color w:val="auto"/>
              </w:rPr>
            </w:pPr>
          </w:p>
        </w:tc>
      </w:tr>
      <w:tr>
        <w:trPr>
          <w:trHeight w:val="210"/>
        </w:trPr>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Years)</w:t>
            </w:r>
          </w:p>
        </w:tc>
        <w:tc>
          <w:tcPr>
            <w:tcW w:w="1420" w:type="dxa"/>
            <w:vAlign w:val="bottom"/>
            <w:gridSpan w:val="2"/>
          </w:tcPr>
          <w:p>
            <w:pPr>
              <w:ind w:left="460"/>
              <w:spacing w:after="0"/>
              <w:rPr>
                <w:sz w:val="20"/>
                <w:szCs w:val="20"/>
                <w:color w:val="auto"/>
              </w:rPr>
            </w:pPr>
            <w:r>
              <w:rPr>
                <w:rFonts w:ascii="Arial" w:cs="Arial" w:eastAsia="Arial" w:hAnsi="Arial"/>
                <w:sz w:val="16"/>
                <w:szCs w:val="16"/>
                <w:b w:val="1"/>
                <w:bCs w:val="1"/>
                <w:color w:val="auto"/>
              </w:rPr>
              <w:t>Gross</w:t>
            </w: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1300" w:type="dxa"/>
            <w:vAlign w:val="bottom"/>
          </w:tcPr>
          <w:p>
            <w:pPr>
              <w:ind w:left="540"/>
              <w:spacing w:after="0"/>
              <w:rPr>
                <w:sz w:val="20"/>
                <w:szCs w:val="20"/>
                <w:color w:val="auto"/>
              </w:rPr>
            </w:pPr>
            <w:r>
              <w:rPr>
                <w:rFonts w:ascii="Arial" w:cs="Arial" w:eastAsia="Arial" w:hAnsi="Arial"/>
                <w:sz w:val="16"/>
                <w:szCs w:val="16"/>
                <w:b w:val="1"/>
                <w:bCs w:val="1"/>
                <w:color w:val="auto"/>
              </w:rPr>
              <w:t>Net</w:t>
            </w:r>
          </w:p>
        </w:tc>
      </w:tr>
      <w:tr>
        <w:trPr>
          <w:trHeight w:val="3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-7620</wp:posOffset>
            </wp:positionV>
            <wp:extent cx="71151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334645</wp:posOffset>
            </wp:positionV>
            <wp:extent cx="71151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4.0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20.6</w:t>
            </w:r>
          </w:p>
        </w:tc>
      </w:tr>
      <w:tr>
        <w:trPr>
          <w:trHeight w:val="27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4.1</w:t>
            </w:r>
          </w:p>
        </w:tc>
        <w:tc>
          <w:tcPr>
            <w:tcW w:w="48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w:t>
            </w:r>
          </w:p>
        </w:tc>
      </w:tr>
      <w:tr>
        <w:trPr>
          <w:trHeight w:val="27"/>
        </w:trPr>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23.4</w:t>
            </w:r>
          </w:p>
        </w:tc>
      </w:tr>
      <w:tr>
        <w:trPr>
          <w:trHeight w:val="27"/>
        </w:trPr>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-213360</wp:posOffset>
            </wp:positionV>
            <wp:extent cx="711517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101"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3583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4860" w:space="720"/>
            <w:col w:w="564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55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Net</w:t>
            </w:r>
          </w:p>
        </w:tc>
      </w:tr>
      <w:tr>
        <w:trPr>
          <w:trHeight w:val="33"/>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w w:val="89"/>
              </w:rPr>
              <w:t>Other intangible assets—net:</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jc w:val="right"/>
              <w:ind w:right="3150"/>
              <w:spacing w:after="0"/>
              <w:rPr>
                <w:sz w:val="20"/>
                <w:szCs w:val="20"/>
                <w:color w:val="auto"/>
              </w:rPr>
            </w:pPr>
            <w:r>
              <w:rPr>
                <w:rFonts w:ascii="Arial" w:cs="Arial" w:eastAsia="Arial" w:hAnsi="Arial"/>
                <w:sz w:val="18"/>
                <w:szCs w:val="18"/>
                <w:color w:val="auto"/>
                <w:w w:val="99"/>
              </w:rPr>
              <w:t>Finite-lived intangible assets: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jc w:val="right"/>
              <w:ind w:right="3290"/>
              <w:spacing w:after="0"/>
              <w:rPr>
                <w:sz w:val="20"/>
                <w:szCs w:val="20"/>
                <w:color w:val="auto"/>
              </w:rPr>
            </w:pPr>
            <w:r>
              <w:rPr>
                <w:rFonts w:ascii="Arial" w:cs="Arial" w:eastAsia="Arial" w:hAnsi="Arial"/>
                <w:sz w:val="18"/>
                <w:szCs w:val="18"/>
                <w:color w:val="auto"/>
              </w:rPr>
              <w:t>Developed technologies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w:t>
            </w:r>
          </w:p>
        </w:tc>
      </w:tr>
      <w:tr>
        <w:trPr>
          <w:trHeight w:val="243"/>
        </w:trPr>
        <w:tc>
          <w:tcPr>
            <w:tcW w:w="5560" w:type="dxa"/>
            <w:vAlign w:val="bottom"/>
          </w:tcPr>
          <w:p>
            <w:pPr>
              <w:jc w:val="right"/>
              <w:ind w:right="335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w:t>
            </w:r>
          </w:p>
        </w:tc>
      </w:tr>
      <w:tr>
        <w:trPr>
          <w:trHeight w:val="27"/>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jc w:val="right"/>
              <w:ind w:right="273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was $3.7 million and $2.9 million during the three months ended June 30, 2020 and June 30,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$7.7 million and $5.9 million during the six months ended June 30, 2020 and June 30, 2019, respectively.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ind w:right="732"/>
              <w:spacing w:after="0"/>
              <w:rPr>
                <w:sz w:val="20"/>
                <w:szCs w:val="20"/>
                <w:color w:val="auto"/>
              </w:rPr>
            </w:pPr>
            <w:r>
              <w:rPr>
                <w:rFonts w:ascii="Arial" w:cs="Arial" w:eastAsia="Arial" w:hAnsi="Arial"/>
                <w:sz w:val="16"/>
                <w:szCs w:val="16"/>
                <w:b w:val="1"/>
                <w:bCs w:val="1"/>
                <w:color w:val="auto"/>
              </w:rPr>
              <w:t>Amount</w:t>
            </w:r>
          </w:p>
        </w:tc>
      </w:tr>
      <w:tr>
        <w:trPr>
          <w:trHeight w:val="33"/>
        </w:trPr>
        <w:tc>
          <w:tcPr>
            <w:tcW w:w="9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9000" w:type="dxa"/>
            <w:vAlign w:val="bottom"/>
          </w:tcPr>
          <w:p>
            <w:pPr>
              <w:ind w:left="320"/>
              <w:spacing w:after="0"/>
              <w:rPr>
                <w:sz w:val="20"/>
                <w:szCs w:val="20"/>
                <w:color w:val="auto"/>
              </w:rPr>
            </w:pPr>
            <w:r>
              <w:rPr>
                <w:rFonts w:ascii="Arial" w:cs="Arial" w:eastAsia="Arial" w:hAnsi="Arial"/>
                <w:sz w:val="18"/>
                <w:szCs w:val="18"/>
                <w:color w:val="auto"/>
              </w:rPr>
              <w:t>2020 (the remainder of 2020)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5.0</w:t>
            </w: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w:t>
            </w:r>
          </w:p>
        </w:tc>
      </w:tr>
      <w:tr>
        <w:trPr>
          <w:trHeight w:val="243"/>
        </w:trPr>
        <w:tc>
          <w:tcPr>
            <w:tcW w:w="9000" w:type="dxa"/>
            <w:vAlign w:val="bottom"/>
          </w:tcPr>
          <w:p>
            <w:pPr>
              <w:ind w:left="3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6.4</w:t>
            </w:r>
          </w:p>
        </w:tc>
      </w:tr>
      <w:tr>
        <w:trPr>
          <w:trHeight w:val="27"/>
        </w:trPr>
        <w:tc>
          <w:tcPr>
            <w:tcW w:w="9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r>
      <w:tr>
        <w:trPr>
          <w:trHeight w:val="264"/>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23.4</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3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131.5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170.6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170.6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Effect of potentially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86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175.0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5360" w:type="dxa"/>
            <w:vAlign w:val="bottom"/>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0.77</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0.75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ind w:left="80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9"/>
        </w:trPr>
        <w:tc>
          <w:tcPr>
            <w:tcW w:w="5400" w:type="dxa"/>
            <w:vAlign w:val="bottom"/>
          </w:tcPr>
          <w:p>
            <w:pPr>
              <w:spacing w:after="0"/>
              <w:rPr>
                <w:sz w:val="18"/>
                <w:szCs w:val="18"/>
                <w:color w:val="auto"/>
              </w:rPr>
            </w:pPr>
          </w:p>
        </w:tc>
        <w:tc>
          <w:tcPr>
            <w:tcW w:w="98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r>
      <w:tr>
        <w:trPr>
          <w:trHeight w:val="210"/>
        </w:trPr>
        <w:tc>
          <w:tcPr>
            <w:tcW w:w="63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5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14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0.4</w:t>
            </w: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0.5</w:t>
            </w:r>
          </w:p>
        </w:tc>
      </w:tr>
      <w:tr>
        <w:trPr>
          <w:trHeight w:val="27"/>
        </w:trPr>
        <w:tc>
          <w:tcPr>
            <w:tcW w:w="5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84"/>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0.8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0.9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have operating leases for offices, research and development facilities and data centers. Our leases have remaining terms that range from less than one year to approximately six years, some of which include one or more options to renew, with renewal terms of up to six years. We do not include renewal options in our lease terms for calculating our lease liability, as the renewal options allow us to maintain operational flexibility and we are not reasonably certain we will exercise these renewal options at the time of the lease commencement.</w:t>
      </w:r>
    </w:p>
    <w:p>
      <w:pPr>
        <w:spacing w:after="0" w:line="19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2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33"/>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r>
      <w:tr>
        <w:trPr>
          <w:trHeight w:val="263"/>
        </w:trPr>
        <w:tc>
          <w:tcPr>
            <w:tcW w:w="5720" w:type="dxa"/>
            <w:vAlign w:val="bottom"/>
          </w:tcPr>
          <w:p>
            <w:pPr>
              <w:ind w:left="340"/>
              <w:spacing w:after="0"/>
              <w:rPr>
                <w:sz w:val="20"/>
                <w:szCs w:val="20"/>
                <w:color w:val="auto"/>
              </w:rPr>
            </w:pPr>
            <w:r>
              <w:rPr>
                <w:rFonts w:ascii="Arial" w:cs="Arial" w:eastAsia="Arial" w:hAnsi="Arial"/>
                <w:sz w:val="18"/>
                <w:szCs w:val="18"/>
                <w:color w:val="auto"/>
              </w:rPr>
              <w:t>Total lease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9.9</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40" w:hanging="146"/>
        <w:spacing w:after="0"/>
        <w:tabs>
          <w:tab w:leader="none" w:pos="640"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Variable lease expense for the six months ended June 30, 2020 and June 30, 2019 predominantly included common area maintenance charges and parking expense.</w:t>
      </w:r>
    </w:p>
    <w:p>
      <w:pPr>
        <w:spacing w:after="0" w:line="232" w:lineRule="exact"/>
        <w:rPr>
          <w:rFonts w:ascii="Arial" w:cs="Arial" w:eastAsia="Arial" w:hAnsi="Arial"/>
          <w:sz w:val="17"/>
          <w:szCs w:val="17"/>
          <w:color w:val="auto"/>
          <w:vertAlign w:val="superscript"/>
        </w:rPr>
      </w:pPr>
    </w:p>
    <w:p>
      <w:pPr>
        <w:ind w:left="660"/>
        <w:spacing w:after="0"/>
        <w:rPr>
          <w:rFonts w:ascii="Arial" w:cs="Arial" w:eastAsia="Arial" w:hAnsi="Arial"/>
          <w:sz w:val="17"/>
          <w:szCs w:val="17"/>
          <w:color w:val="auto"/>
          <w:vertAlign w:val="superscript"/>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jc w:val="right"/>
              <w:ind w:right="94"/>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Classification</w:t>
            </w:r>
          </w:p>
        </w:tc>
        <w:tc>
          <w:tcPr>
            <w:tcW w:w="16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24"/>
                <w:szCs w:val="24"/>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1"/>
                <w:szCs w:val="2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24"/>
                <w:szCs w:val="24"/>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w:t>
            </w:r>
          </w:p>
        </w:tc>
        <w:tc>
          <w:tcPr>
            <w:tcW w:w="20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Six Months Ended</w:t>
            </w:r>
          </w:p>
        </w:tc>
        <w:tc>
          <w:tcPr>
            <w:tcW w:w="320" w:type="dxa"/>
            <w:vAlign w:val="bottom"/>
          </w:tcPr>
          <w:p>
            <w:pPr>
              <w:spacing w:after="0"/>
              <w:rPr>
                <w:sz w:val="18"/>
                <w:szCs w:val="18"/>
                <w:color w:val="auto"/>
              </w:rPr>
            </w:pPr>
          </w:p>
        </w:tc>
        <w:tc>
          <w:tcPr>
            <w:tcW w:w="2020" w:type="dxa"/>
            <w:vAlign w:val="bottom"/>
          </w:tcPr>
          <w:p>
            <w:pPr>
              <w:jc w:val="center"/>
              <w:ind w:right="215"/>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6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9"/>
        </w:trPr>
        <w:tc>
          <w:tcPr>
            <w:tcW w:w="6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320" w:type="dxa"/>
            <w:vAlign w:val="bottom"/>
          </w:tcPr>
          <w:p>
            <w:pPr>
              <w:spacing w:after="0"/>
              <w:rPr>
                <w:sz w:val="18"/>
                <w:szCs w:val="18"/>
                <w:color w:val="auto"/>
              </w:rPr>
            </w:pPr>
          </w:p>
        </w:tc>
        <w:tc>
          <w:tcPr>
            <w:tcW w:w="2020" w:type="dxa"/>
            <w:vAlign w:val="bottom"/>
          </w:tcPr>
          <w:p>
            <w:pPr>
              <w:jc w:val="center"/>
              <w:ind w:right="235"/>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6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ind w:right="235"/>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ind w:right="215"/>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70"/>
        </w:trPr>
        <w:tc>
          <w:tcPr>
            <w:tcW w:w="646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3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9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as of June 30, 2020 were as follows (in millions):</w:t>
      </w:r>
    </w:p>
    <w:p>
      <w:pPr>
        <w:spacing w:after="0" w:line="154" w:lineRule="exact"/>
        <w:rPr>
          <w:sz w:val="20"/>
          <w:szCs w:val="20"/>
          <w:color w:val="auto"/>
        </w:rPr>
      </w:pPr>
    </w:p>
    <w:p>
      <w:pPr>
        <w:ind w:left="20"/>
        <w:spacing w:after="0"/>
        <w:tabs>
          <w:tab w:leader="none" w:pos="9760" w:val="left"/>
        </w:tabs>
        <w:rPr>
          <w:sz w:val="20"/>
          <w:szCs w:val="20"/>
          <w:color w:val="auto"/>
        </w:rPr>
      </w:pPr>
      <w:r>
        <w:rPr>
          <w:rFonts w:ascii="Arial" w:cs="Arial" w:eastAsia="Arial" w:hAnsi="Arial"/>
          <w:sz w:val="18"/>
          <w:szCs w:val="18"/>
          <w:b w:val="1"/>
          <w:bCs w:val="1"/>
          <w:color w:val="auto"/>
        </w:rPr>
        <w:t>Year ending December 31,</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2020 (the remainder of 2020)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imputed interest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4.4</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57"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45.7</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5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1414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18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June 30, 2020, we had additional minimum lease payments of $8.2 million relating to operating leases that had been signed but had not yet commenced and therefore were excluded from the table above. These leases will commence during 2020 and will have lease terms of approximately three to seven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MUTUAL COVENANT-NOT-TO-SUE AND RELEASE AGREEMENT</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80" w:firstLine="357"/>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93"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During the three and six months ended June 30, 2020, we recorded $1.1 million and $37.9 million in Gain on IP matter in our condensed consolidated statements of income, respectively. We recorded $12.1 million in Accrued liabilities and Other liabilities in our condensed consolidated balance sheet as of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June 30, 2020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282.1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281.8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2020, we had $282.1 million of open purchase orders with our independent contract manufacturers that may not be cancelable.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June 30, 2020, we had $27.8 million in other contractual commitments having a remaining term in excess of one year that may not be cancelable.</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189"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maintain the Amended and Restated Fortinet, Inc. 2009 Equity Incentive Plan (the “Amended Plan”) pursuant to which we have granted RSUs and stock options. We also previously had an Employee Stock Purchase Plan (“ESPP”) for eligible employees, which was terminated in February 2019. As of June 30, 2020, there was a total of 12.0 million shares of common stock available for grant under the Amended Plan.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3600" w:type="dxa"/>
            <w:vAlign w:val="bottom"/>
            <w:gridSpan w:val="4"/>
          </w:tcPr>
          <w:p>
            <w:pPr>
              <w:jc w:val="right"/>
              <w:ind w:right="47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7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Weighted-Average</w:t>
            </w:r>
          </w:p>
        </w:tc>
      </w:tr>
      <w:tr>
        <w:trPr>
          <w:trHeight w:val="203"/>
        </w:trPr>
        <w:tc>
          <w:tcPr>
            <w:tcW w:w="7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Grant Date Fair Value</w:t>
            </w:r>
          </w:p>
        </w:tc>
      </w:tr>
      <w:tr>
        <w:trPr>
          <w:trHeight w:val="210"/>
        </w:trPr>
        <w:tc>
          <w:tcPr>
            <w:tcW w:w="760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r>
      <w:tr>
        <w:trPr>
          <w:trHeight w:val="33"/>
        </w:trPr>
        <w:tc>
          <w:tcPr>
            <w:tcW w:w="7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740" w:type="dxa"/>
            <w:vAlign w:val="bottom"/>
            <w:tcBorders>
              <w:bottom w:val="single" w:sz="8" w:color="CCEEFF"/>
            </w:tcBorders>
            <w:shd w:val="clear" w:color="auto" w:fill="CCEEFF"/>
          </w:tcPr>
          <w:p>
            <w:pPr>
              <w:jc w:val="center"/>
              <w:ind w:left="1133"/>
              <w:spacing w:after="0"/>
              <w:rPr>
                <w:sz w:val="20"/>
                <w:szCs w:val="20"/>
                <w:color w:val="auto"/>
              </w:rPr>
            </w:pPr>
            <w:r>
              <w:rPr>
                <w:rFonts w:ascii="Arial" w:cs="Arial" w:eastAsia="Arial" w:hAnsi="Arial"/>
                <w:sz w:val="18"/>
                <w:szCs w:val="18"/>
                <w:color w:val="auto"/>
                <w:w w:val="95"/>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64.56</w:t>
            </w:r>
          </w:p>
        </w:tc>
      </w:tr>
      <w:tr>
        <w:trPr>
          <w:trHeight w:val="243"/>
        </w:trPr>
        <w:tc>
          <w:tcPr>
            <w:tcW w:w="76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740" w:type="dxa"/>
            <w:vAlign w:val="bottom"/>
          </w:tcPr>
          <w:p>
            <w:pPr>
              <w:jc w:val="center"/>
              <w:ind w:left="1133"/>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120.02</w:t>
            </w:r>
          </w:p>
        </w:tc>
      </w:tr>
      <w:tr>
        <w:trPr>
          <w:trHeight w:val="27"/>
        </w:trPr>
        <w:tc>
          <w:tcPr>
            <w:tcW w:w="7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center"/>
              <w:ind w:left="1113"/>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72.69</w:t>
            </w:r>
          </w:p>
        </w:tc>
      </w:tr>
      <w:tr>
        <w:trPr>
          <w:trHeight w:val="243"/>
        </w:trPr>
        <w:tc>
          <w:tcPr>
            <w:tcW w:w="7600" w:type="dxa"/>
            <w:vAlign w:val="bottom"/>
          </w:tcPr>
          <w:p>
            <w:pPr>
              <w:ind w:left="440"/>
              <w:spacing w:after="0"/>
              <w:rPr>
                <w:sz w:val="20"/>
                <w:szCs w:val="20"/>
                <w:color w:val="auto"/>
              </w:rPr>
            </w:pPr>
            <w:r>
              <w:rPr>
                <w:rFonts w:ascii="Arial" w:cs="Arial" w:eastAsia="Arial" w:hAnsi="Arial"/>
                <w:sz w:val="18"/>
                <w:szCs w:val="18"/>
                <w:color w:val="auto"/>
              </w:rPr>
              <w:t>Vested</w:t>
            </w:r>
          </w:p>
        </w:tc>
        <w:tc>
          <w:tcPr>
            <w:tcW w:w="1740" w:type="dxa"/>
            <w:vAlign w:val="bottom"/>
          </w:tcPr>
          <w:p>
            <w:pPr>
              <w:jc w:val="center"/>
              <w:ind w:left="1113"/>
              <w:spacing w:after="0"/>
              <w:rPr>
                <w:sz w:val="20"/>
                <w:szCs w:val="20"/>
                <w:color w:val="auto"/>
              </w:rPr>
            </w:pPr>
            <w:r>
              <w:rPr>
                <w:rFonts w:ascii="Arial" w:cs="Arial" w:eastAsia="Arial" w:hAnsi="Arial"/>
                <w:sz w:val="18"/>
                <w:szCs w:val="18"/>
                <w:color w:val="auto"/>
                <w:w w:val="91"/>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56.98</w:t>
            </w:r>
          </w:p>
        </w:tc>
      </w:tr>
      <w:tr>
        <w:trPr>
          <w:trHeight w:val="27"/>
        </w:trPr>
        <w:tc>
          <w:tcPr>
            <w:tcW w:w="7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1740" w:type="dxa"/>
            <w:vAlign w:val="bottom"/>
            <w:tcBorders>
              <w:bottom w:val="single" w:sz="8" w:color="auto"/>
            </w:tcBorders>
            <w:shd w:val="clear" w:color="auto" w:fill="CCEEFF"/>
          </w:tcPr>
          <w:p>
            <w:pPr>
              <w:jc w:val="center"/>
              <w:ind w:left="1133"/>
              <w:spacing w:after="0"/>
              <w:rPr>
                <w:sz w:val="20"/>
                <w:szCs w:val="20"/>
                <w:color w:val="auto"/>
              </w:rPr>
            </w:pPr>
            <w:r>
              <w:rPr>
                <w:rFonts w:ascii="Arial" w:cs="Arial" w:eastAsia="Arial" w:hAnsi="Arial"/>
                <w:sz w:val="18"/>
                <w:szCs w:val="18"/>
                <w:color w:val="auto"/>
                <w:w w:val="95"/>
              </w:rPr>
              <w:t>5.8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81.49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June 30, 2020, total compensation expense related to unvested RSUs granted to employees and non-employees under the 2009 Plan, but not yet recognized, was $427.5 million, with a weighted-average remaining vesting period of 2.9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700" w:type="dxa"/>
            <w:vAlign w:val="bottom"/>
            <w:gridSpan w:val="4"/>
          </w:tcPr>
          <w:p>
            <w:pPr>
              <w:jc w:val="right"/>
              <w:ind w:right="296"/>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4"/>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060" w:type="dxa"/>
            <w:vAlign w:val="bottom"/>
          </w:tcPr>
          <w:p>
            <w:pPr>
              <w:jc w:val="center"/>
              <w:ind w:left="397"/>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96"/>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94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Arial" w:cs="Arial" w:eastAsia="Arial" w:hAnsi="Arial"/>
                <w:sz w:val="16"/>
                <w:szCs w:val="16"/>
                <w:b w:val="1"/>
                <w:bCs w:val="1"/>
                <w:color w:val="auto"/>
              </w:rPr>
              <w:t>2019</w:t>
            </w:r>
          </w:p>
        </w:tc>
      </w:tr>
      <w:tr>
        <w:trPr>
          <w:trHeight w:val="33"/>
        </w:trPr>
        <w:tc>
          <w:tcPr>
            <w:tcW w:w="4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21.1</w:t>
            </w:r>
          </w:p>
        </w:tc>
        <w:tc>
          <w:tcPr>
            <w:tcW w:w="10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24.5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56.5</w:t>
            </w: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32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820" w:type="dxa"/>
            <w:vAlign w:val="bottom"/>
          </w:tcPr>
          <w:p>
            <w:pPr>
              <w:spacing w:after="0"/>
              <w:rPr>
                <w:sz w:val="18"/>
                <w:szCs w:val="18"/>
                <w:color w:val="auto"/>
              </w:rPr>
            </w:pPr>
          </w:p>
        </w:tc>
        <w:tc>
          <w:tcPr>
            <w:tcW w:w="134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33"/>
        </w:trPr>
        <w:tc>
          <w:tcPr>
            <w:tcW w:w="48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7"/>
        </w:trPr>
        <w:tc>
          <w:tcPr>
            <w:tcW w:w="4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ind w:left="3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6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6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Aggregate</w:t>
            </w:r>
          </w:p>
        </w:tc>
      </w:tr>
      <w:tr>
        <w:trPr>
          <w:trHeight w:val="202"/>
        </w:trPr>
        <w:tc>
          <w:tcPr>
            <w:tcW w:w="63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w:t>
            </w: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3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40" w:type="dxa"/>
            <w:vAlign w:val="bottom"/>
          </w:tcPr>
          <w:p>
            <w:pPr>
              <w:spacing w:after="0"/>
              <w:rPr>
                <w:sz w:val="18"/>
                <w:szCs w:val="18"/>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118.50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244"/>
        </w:trPr>
        <w:tc>
          <w:tcPr>
            <w:tcW w:w="6320" w:type="dxa"/>
            <w:vAlign w:val="bottom"/>
          </w:tcPr>
          <w:p>
            <w:pPr>
              <w:ind w:left="20"/>
              <w:spacing w:after="0"/>
              <w:rPr>
                <w:sz w:val="20"/>
                <w:szCs w:val="20"/>
                <w:color w:val="auto"/>
              </w:rPr>
            </w:pPr>
            <w:r>
              <w:rPr>
                <w:rFonts w:ascii="Arial" w:cs="Arial" w:eastAsia="Arial" w:hAnsi="Arial"/>
                <w:sz w:val="18"/>
                <w:szCs w:val="18"/>
                <w:color w:val="auto"/>
              </w:rPr>
              <w:t>Options vested and expected to vest—June 30, 2020</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206.0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exercisable—June 30, 2020</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134.3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June 30, 2020 for all in-the-money stock options. Stock compensation expense is recognized on a straight-line basis over the vesting period of each stock option. As of June 30, 2020, total compensation expense related to unvested stock options granted to employees but not yet recognized was $38.5 million, with a weighted-average remaining vesting period of 3.0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8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r>
      <w:tr>
        <w:trPr>
          <w:trHeight w:val="33"/>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27.08</w:t>
            </w:r>
          </w:p>
        </w:tc>
      </w:tr>
      <w:tr>
        <w:trPr>
          <w:trHeight w:val="270"/>
        </w:trPr>
        <w:tc>
          <w:tcPr>
            <w:tcW w:w="4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6.2</w:t>
            </w: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700" w:type="dxa"/>
            <w:vAlign w:val="bottom"/>
            <w:gridSpan w:val="4"/>
          </w:tcPr>
          <w:p>
            <w:pPr>
              <w:jc w:val="right"/>
              <w:ind w:right="29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94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4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06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5.7</w:t>
            </w:r>
          </w:p>
        </w:tc>
      </w:tr>
      <w:tr>
        <w:trPr>
          <w:trHeight w:val="27"/>
        </w:trPr>
        <w:tc>
          <w:tcPr>
            <w:tcW w:w="4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5"/>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27.9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51.7</w:t>
            </w:r>
          </w:p>
        </w:tc>
      </w:tr>
      <w:tr>
        <w:trPr>
          <w:trHeight w:val="27"/>
        </w:trPr>
        <w:tc>
          <w:tcPr>
            <w:tcW w:w="4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w:t>
            </w: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5"/>
              </w:rPr>
              <w:t>49.6</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45.0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88.0</w:t>
            </w:r>
          </w:p>
        </w:tc>
      </w:tr>
      <w:tr>
        <w:trPr>
          <w:trHeight w:val="20"/>
        </w:trPr>
        <w:tc>
          <w:tcPr>
            <w:tcW w:w="4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June 30,</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18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7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7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2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81.1</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88.0</w:t>
            </w:r>
          </w:p>
        </w:tc>
      </w:tr>
      <w:tr>
        <w:trPr>
          <w:trHeight w:val="21"/>
        </w:trPr>
        <w:tc>
          <w:tcPr>
            <w:tcW w:w="50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19"/>
        </w:trPr>
        <w:tc>
          <w:tcPr>
            <w:tcW w:w="11240" w:type="dxa"/>
            <w:vAlign w:val="bottom"/>
            <w:gridSpan w:val="12"/>
          </w:tcPr>
          <w:p>
            <w:pPr>
              <w:jc w:val="center"/>
              <w:ind w:left="290"/>
              <w:spacing w:after="0"/>
              <w:rPr>
                <w:sz w:val="20"/>
                <w:szCs w:val="20"/>
                <w:color w:val="auto"/>
              </w:rPr>
            </w:pPr>
            <w:r>
              <w:rPr>
                <w:rFonts w:ascii="Arial" w:cs="Arial" w:eastAsia="Arial" w:hAnsi="Arial"/>
                <w:sz w:val="18"/>
                <w:szCs w:val="18"/>
                <w:color w:val="auto"/>
                <w:w w:val="89"/>
              </w:rPr>
              <w:t>Total income tax benefit associated with stock-based compensation that is recognized in the condensed consolidated statements of income is as</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follows (in millions):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45"/>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274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June 30,</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18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7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7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2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20.4</w:t>
            </w:r>
          </w:p>
        </w:tc>
      </w:tr>
      <w:tr>
        <w:trPr>
          <w:trHeight w:val="27"/>
        </w:trPr>
        <w:tc>
          <w:tcPr>
            <w:tcW w:w="5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Under the Share Repurchase Program originally approved by our board of directors in January 2016 (the “Repurchase Program”), our board of directors has authorized the repurchase of up to $2.5 billion of our outstanding common stock through February 28, 2021.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three and six months ended June 30, 2020, we repurchased 1.4 million and 11.4 million shares of common stock, respectively, under the Repurchase Program in open market transactions at an average price of $99.69 per share and $91.55 per share, respectively, for an aggregate purchase price of $146.1 million and $1.0 billion, respectively. As of June 30, 2020, $546.8 million remained available for future share repurchases under the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 xml:space="preserve">Our effective tax rate was 8% for the three months ended June 30, 2020, compared to an effective tax rate of 15% for the same period last year. Our effective tax rate was 9% for the six months ended June 30, 2020, compared to an effective tax rate of 10% for the same period last year. The effective tax rates for the periods presented are primarily comprised of U.S. federal and state taxes, withholding taxes, foreign taxes and excess tax benefits from stock-based compensation expense. The tax rates for the three months ended June 30, 2020 and June 30, 2019 were impacted by U.S. federal and state taxes, withholding taxes and foreign taxes that were $28.2 million and $24.5 million, respectively. U.S. federal and state taxes were lowered by a tax benefit of $5.0 million from the foreign-derived intangible income deduction for the three months ended June 30, 2020. The tax rates for the three months ended June 30, 2020 and June 30, 2019 were impacted by excess tax benefits from stock-based compensation expense of $10.0 million and $11.7 million, respectively, and release of reserves of $8.7 million and $10.0 million, respectively, on uncertain tax positions and the interest due to the expiration of the statute of limitations. The tax rate for the three months ended June 30, 2019 was further impacted by an increase in tax expense of $10.3 million related to the U.S. Court of Appeals for the Ninth Circuit’s (the “Ninth Circuit”) opinion in </w:t>
      </w:r>
      <w:r>
        <w:rPr>
          <w:rFonts w:ascii="Arial" w:cs="Arial" w:eastAsia="Arial" w:hAnsi="Arial"/>
          <w:sz w:val="16"/>
          <w:szCs w:val="16"/>
          <w:i w:val="1"/>
          <w:iCs w:val="1"/>
          <w:color w:val="auto"/>
        </w:rPr>
        <w:t>Altera Corporation and Subsidiaries vs. Commissioner of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w:t>
      </w:r>
      <w:r>
        <w:rPr>
          <w:rFonts w:ascii="Arial" w:cs="Arial" w:eastAsia="Arial" w:hAnsi="Arial"/>
          <w:sz w:val="16"/>
          <w:szCs w:val="16"/>
          <w:color w:val="auto"/>
        </w:rPr>
        <w:t>(“</w:t>
      </w:r>
      <w:r>
        <w:rPr>
          <w:rFonts w:ascii="Arial" w:cs="Arial" w:eastAsia="Arial" w:hAnsi="Arial"/>
          <w:sz w:val="16"/>
          <w:szCs w:val="16"/>
          <w:i w:val="1"/>
          <w:iCs w:val="1"/>
          <w:color w:val="auto"/>
        </w:rPr>
        <w:t>Altera</w:t>
      </w:r>
      <w:r>
        <w:rPr>
          <w:rFonts w:ascii="Arial" w:cs="Arial" w:eastAsia="Arial" w:hAnsi="Arial"/>
          <w:sz w:val="16"/>
          <w:szCs w:val="16"/>
          <w:color w:val="auto"/>
        </w:rPr>
        <w:t>”), as described below, regarding stock-based compensation expense in cost sharing arrangements.</w:t>
      </w:r>
    </w:p>
    <w:p>
      <w:pPr>
        <w:spacing w:after="0" w:line="19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tax rates for the six months ended June 30, 2020 and June 30, 2019 were impacted by U.S. federal and state taxes, withholding taxes and foreign taxes of $56.5 million and $42.0 million, respectively. U.S. federal and state taxes were lowered by a tax benefit of $9.6 million from the foreign-derived intangible income deduction for the six months ended June 30, 2020. The tax rates for the six months ended June 30, 2020 and June 30, 2019 were impacted by excess tax benefits from stock-based compensation expense of $25.2 million and $27.7 million, respectively, and release of reserves of $8.7 million and $10.0 million, respectively, on uncertain tax positions and the interest due to the expiration of the statute of limitations. The tax</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rate for the six months ended June 30, 2019 was further impacted by an increase in tax expense of $10.3 million related to the Ninth Circuit’s </w:t>
      </w:r>
      <w:r>
        <w:rPr>
          <w:rFonts w:ascii="Arial" w:cs="Arial" w:eastAsia="Arial" w:hAnsi="Arial"/>
          <w:sz w:val="18"/>
          <w:szCs w:val="18"/>
          <w:i w:val="1"/>
          <w:iCs w:val="1"/>
          <w:color w:val="auto"/>
        </w:rPr>
        <w:t>Altera</w:t>
      </w:r>
      <w:r>
        <w:rPr>
          <w:rFonts w:ascii="Arial" w:cs="Arial" w:eastAsia="Arial" w:hAnsi="Arial"/>
          <w:sz w:val="18"/>
          <w:szCs w:val="18"/>
          <w:color w:val="auto"/>
        </w:rPr>
        <w:t xml:space="preserve"> decision, regarding stock-based compensation expense in cost sharing arrangements.</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June 30, 2020 and December 31, 2019, unrecognized tax benefits were $62.9 million and $67.5 million, respectively. If recognized, $57.6 million of the unrecognized tax benefits would favorably affect our effective tax rate. It is our policy to include accrued interest and penalties related to uncertain tax benefits in income tax expense. As of June 30, 2020 and December 31, 2019, accrued interest and penalties were $13.4 million and $14.1 million, respectively. It is reasonably possible that our gross unrecognized tax benefits will decrease by up to $4.4 million in the next 12 months, due to the lapse of the statute of limitations. This decrease, if recognized, would positively impact our effective tax rate, and would be recognized as additional tax benefits.</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21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 xml:space="preserve">On June 7, 2019, the Ninth Circuit overturned the U.S. Tax Court’s decision in </w:t>
      </w:r>
      <w:r>
        <w:rPr>
          <w:rFonts w:ascii="Arial" w:cs="Arial" w:eastAsia="Arial" w:hAnsi="Arial"/>
          <w:sz w:val="18"/>
          <w:szCs w:val="18"/>
          <w:i w:val="1"/>
          <w:iCs w:val="1"/>
          <w:color w:val="auto"/>
        </w:rPr>
        <w:t>Altera</w:t>
      </w:r>
      <w:r>
        <w:rPr>
          <w:rFonts w:ascii="Arial" w:cs="Arial" w:eastAsia="Arial" w:hAnsi="Arial"/>
          <w:sz w:val="18"/>
          <w:szCs w:val="18"/>
          <w:color w:val="auto"/>
        </w:rPr>
        <w:t xml:space="preserve"> and ruled in favor of the Commissioner, validating the regulations requiring that stock-based compensation be included in a cost sharing arrangement. On June 22, 2020, the Supreme Court of the United States (the “Supreme Court”) issued an order declining the petition for certiorari in </w:t>
      </w:r>
      <w:r>
        <w:rPr>
          <w:rFonts w:ascii="Arial" w:cs="Arial" w:eastAsia="Arial" w:hAnsi="Arial"/>
          <w:sz w:val="18"/>
          <w:szCs w:val="18"/>
          <w:i w:val="1"/>
          <w:iCs w:val="1"/>
          <w:color w:val="auto"/>
        </w:rPr>
        <w:t>Altera</w:t>
      </w:r>
      <w:r>
        <w:rPr>
          <w:rFonts w:ascii="Arial" w:cs="Arial" w:eastAsia="Arial" w:hAnsi="Arial"/>
          <w:sz w:val="18"/>
          <w:szCs w:val="18"/>
          <w:color w:val="auto"/>
        </w:rPr>
        <w:t>. As a result, the Ninth Circuit’s decision requiring that stock-based compensation be included in cost sharing arrangements is the controlling law at present. However, as we are no longer part of a cost sharing arrangement, this does not impact our future income tax provisions. The Ninth Circuit’s decision, together with Supreme Court’s order, did not have a material impact on our condensed consolidated financial statements.</w:t>
      </w:r>
    </w:p>
    <w:p>
      <w:pPr>
        <w:spacing w:after="0" w:line="216" w:lineRule="exact"/>
        <w:rPr>
          <w:sz w:val="20"/>
          <w:szCs w:val="20"/>
          <w:color w:val="auto"/>
        </w:rPr>
      </w:pPr>
    </w:p>
    <w:p>
      <w:pPr>
        <w:ind w:right="280" w:firstLine="360"/>
        <w:spacing w:after="0" w:line="293" w:lineRule="auto"/>
        <w:rPr>
          <w:sz w:val="20"/>
          <w:szCs w:val="20"/>
          <w:color w:val="auto"/>
        </w:rPr>
      </w:pPr>
      <w:r>
        <w:rPr>
          <w:rFonts w:ascii="Arial" w:cs="Arial" w:eastAsia="Arial" w:hAnsi="Arial"/>
          <w:sz w:val="16"/>
          <w:szCs w:val="16"/>
          <w:color w:val="auto"/>
        </w:rPr>
        <w:t>On March 27, 2020, the President signed into law the Coronavirus Aid, Relief, and Economic Security Act (the “CARES Act”).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do not expect there to be a material tax impact on our condensed consolidated financial statements at this time and will continue to assess the implications of the CARES Act and its continuing developments and interpretations.</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9, 2020, the United States Department of the Treasury and the Internal Revenue Service (the “IRS”) released final Section 250 regulations, providing guidance on foreign-derived intangible income deduction and global intangible low-taxed income. Generally, the final regulations are applicable for taxable years beginning on or after January 1, 2021. However, taxpayers may apply the final regulations for taxable years beginning on or after January 1, 2018. We are in the process of analyzing the tax impact from the final regulations on our foreign-derived intangible income deduction calculation.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PLANS</w:t>
      </w:r>
    </w:p>
    <w:p>
      <w:pPr>
        <w:spacing w:after="0" w:line="2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June 30, 2020 and June 30, 2019 were $2.2 million and $1.7 million, respectively. Our matching contributions to our 401(k) Plan and the RRSP for the six months ended June 30, 2020 and June 30, 2019 were $4.4 million and $3.4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who are held accountable for operations, operating results and plans for levels or components below the consolidated unit level. Accordingly, we have determined that we have one operating segment, and therefore, one reportable segment.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6"/>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9"/>
          </w:tcPr>
          <w:p>
            <w:pPr>
              <w:ind w:left="6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5"/>
                <w:szCs w:val="15"/>
                <w:color w:val="auto"/>
              </w:rPr>
            </w:pPr>
          </w:p>
        </w:tc>
        <w:tc>
          <w:tcPr>
            <w:tcW w:w="1200" w:type="dxa"/>
            <w:vAlign w:val="bottom"/>
          </w:tcPr>
          <w:p>
            <w:pPr>
              <w:jc w:val="right"/>
              <w:ind w:right="414"/>
              <w:spacing w:after="0" w:line="17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453"/>
              <w:spacing w:after="0" w:line="176"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13"/>
              <w:spacing w:after="0" w:line="176" w:lineRule="exact"/>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53"/>
              <w:spacing w:after="0" w:line="176" w:lineRule="exact"/>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gridSpan w:val="4"/>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21"/>
                <w:szCs w:val="21"/>
                <w:color w:val="auto"/>
              </w:rPr>
            </w:pP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4"/>
          </w:tcPr>
          <w:p>
            <w:pPr>
              <w:ind w:left="180"/>
              <w:spacing w:after="0"/>
              <w:rPr>
                <w:sz w:val="20"/>
                <w:szCs w:val="20"/>
                <w:color w:val="auto"/>
              </w:rPr>
            </w:pPr>
            <w:r>
              <w:rPr>
                <w:rFonts w:ascii="Arial" w:cs="Arial" w:eastAsia="Arial" w:hAnsi="Arial"/>
                <w:sz w:val="18"/>
                <w:szCs w:val="18"/>
                <w:color w:val="auto"/>
              </w:rPr>
              <w:t>Total Americas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426.0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Asia Pacific (“APAC”)</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 w:type="dxa"/>
            <w:vAlign w:val="bottom"/>
            <w:shd w:val="clear" w:color="auto" w:fill="CCEEFF"/>
          </w:tcPr>
          <w:p>
            <w:pPr>
              <w:spacing w:after="0"/>
              <w:rPr>
                <w:sz w:val="24"/>
                <w:szCs w:val="24"/>
                <w:color w:val="auto"/>
              </w:rPr>
            </w:pP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994.3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4"/>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245.5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tcBorders>
              <w:bottom w:val="single" w:sz="8" w:color="CCEEFF"/>
            </w:tcBorders>
            <w:gridSpan w:val="2"/>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Americas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Total property and equipment—net</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392.6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7"/>
            <w:vMerge w:val="restart"/>
          </w:tcPr>
          <w:p>
            <w:pPr>
              <w:ind w:left="4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9"/>
          </w:tcPr>
          <w:p>
            <w:pPr>
              <w:ind w:left="6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Exclusive Networks Group</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Ingram Micro</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120" w:type="dxa"/>
            <w:vAlign w:val="bottom"/>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235"/>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555"/>
              <w:spacing w:after="0"/>
              <w:rPr>
                <w:sz w:val="20"/>
                <w:szCs w:val="20"/>
                <w:color w:val="auto"/>
              </w:rPr>
            </w:pPr>
            <w:r>
              <w:rPr>
                <w:rFonts w:ascii="Arial" w:cs="Arial" w:eastAsia="Arial" w:hAnsi="Arial"/>
                <w:sz w:val="16"/>
                <w:szCs w:val="16"/>
                <w:b w:val="1"/>
                <w:bCs w:val="1"/>
                <w:color w:val="auto"/>
              </w:rPr>
              <w:t>2019</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Exclusive Networks Group</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9020" w:type="dxa"/>
            <w:vAlign w:val="bottom"/>
            <w:gridSpan w:val="2"/>
          </w:tcPr>
          <w:p>
            <w:pPr>
              <w:spacing w:after="0"/>
              <w:rPr>
                <w:sz w:val="20"/>
                <w:szCs w:val="20"/>
                <w:color w:val="auto"/>
              </w:rPr>
            </w:pPr>
            <w:r>
              <w:rPr>
                <w:rFonts w:ascii="Arial" w:cs="Arial" w:eastAsia="Arial" w:hAnsi="Arial"/>
                <w:sz w:val="18"/>
                <w:szCs w:val="18"/>
                <w:color w:val="auto"/>
              </w:rPr>
              <w:t>Ingram Micro</w:t>
            </w:r>
          </w:p>
        </w:tc>
        <w:tc>
          <w:tcPr>
            <w:tcW w:w="4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36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Represents less than 10%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8880" w:hanging="652"/>
        <w:spacing w:after="0" w:line="566" w:lineRule="auto"/>
        <w:tabs>
          <w:tab w:leader="none" w:pos="327"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Share Repurchase</w:t>
      </w:r>
    </w:p>
    <w:p>
      <w:pPr>
        <w:jc w:val="both"/>
        <w:ind w:right="40" w:firstLine="648"/>
        <w:spacing w:after="0" w:line="286" w:lineRule="auto"/>
        <w:rPr>
          <w:sz w:val="20"/>
          <w:szCs w:val="20"/>
          <w:color w:val="auto"/>
        </w:rPr>
      </w:pPr>
      <w:r>
        <w:rPr>
          <w:rFonts w:ascii="Arial" w:cs="Arial" w:eastAsia="Arial" w:hAnsi="Arial"/>
          <w:sz w:val="17"/>
          <w:szCs w:val="17"/>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August 6, 2020, $1.05 billion remained available for future share repurchases under the Repurchase Program.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20, 2020, we acquired OPAQ Networks, Inc. (“OPAQ”), a privately held Secure Access Service Edge cloud provider. We acquired OPAQ for approximately $13.0 million in cash consideration, subject to certain adjustments.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are currently in the process of evaluating the business combination accounting, including the consideration transferred and the initial purchase price allocation.</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duration and impact of the COVID-19 pandemic;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6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related policies;</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functionality and value in our standalone and bundled subscription service offerings;</w:t>
      </w:r>
    </w:p>
    <w:p>
      <w:pPr>
        <w:spacing w:after="0" w:line="197" w:lineRule="exact"/>
        <w:rPr>
          <w:rFonts w:ascii="Arial" w:cs="Arial" w:eastAsia="Arial" w:hAnsi="Arial"/>
          <w:sz w:val="18"/>
          <w:szCs w:val="18"/>
          <w:color w:val="auto"/>
        </w:rPr>
      </w:pPr>
    </w:p>
    <w:p>
      <w:pPr>
        <w:jc w:val="both"/>
        <w:ind w:left="1300" w:right="60" w:hanging="644"/>
        <w:spacing w:after="0" w:line="259"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97" w:lineRule="exact"/>
        <w:rPr>
          <w:rFonts w:ascii="Arial" w:cs="Arial" w:eastAsia="Arial" w:hAnsi="Arial"/>
          <w:sz w:val="18"/>
          <w:szCs w:val="18"/>
          <w:color w:val="auto"/>
        </w:rPr>
      </w:pPr>
    </w:p>
    <w:p>
      <w:pPr>
        <w:ind w:left="1300" w:right="600" w:hanging="644"/>
        <w:spacing w:after="0" w:line="277"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2020;</w:t>
      </w:r>
    </w:p>
    <w:p>
      <w:pPr>
        <w:spacing w:after="0" w:line="197" w:lineRule="exact"/>
        <w:rPr>
          <w:rFonts w:ascii="Arial" w:cs="Arial" w:eastAsia="Arial" w:hAnsi="Arial"/>
          <w:sz w:val="18"/>
          <w:szCs w:val="18"/>
          <w:i w:val="1"/>
          <w:iCs w:val="1"/>
          <w:color w:val="auto"/>
        </w:rPr>
      </w:pPr>
    </w:p>
    <w:p>
      <w:pPr>
        <w:ind w:left="1300" w:right="24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2020;</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2020;</w:t>
      </w:r>
    </w:p>
    <w:p>
      <w:pPr>
        <w:spacing w:after="0" w:line="252" w:lineRule="exact"/>
        <w:rPr>
          <w:rFonts w:ascii="Arial" w:cs="Arial" w:eastAsia="Arial" w:hAnsi="Arial"/>
          <w:sz w:val="18"/>
          <w:szCs w:val="18"/>
          <w:i w:val="1"/>
          <w:iCs w:val="1"/>
          <w:color w:val="auto"/>
        </w:rPr>
      </w:pPr>
    </w:p>
    <w:p>
      <w:pPr>
        <w:ind w:left="1300" w:right="80" w:hanging="644"/>
        <w:spacing w:after="0" w:line="277"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2020 spending on our headquarters expansion project;</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00" w:right="120" w:hanging="644"/>
        <w:spacing w:after="0" w:line="277" w:lineRule="auto"/>
        <w:tabs>
          <w:tab w:leader="none" w:pos="1295"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expectations regarding uncertain tax benefits and our effective domestic and global tax rates, and the impact of the Tax Cuts and Jobs Act (the “2017 Tax Act”) and the U.S. Court of Appeals for the Ninth Circuit’s (the “Ninth Circuit”) decision in Altera Corporation and Subsidiaries vs. Commissioner of Internal Revenue (“Altera”) regarding stock-based compensation in cost sharing arrangements;</w:t>
      </w:r>
    </w:p>
    <w:p>
      <w:pPr>
        <w:spacing w:after="0" w:line="187" w:lineRule="exact"/>
        <w:rPr>
          <w:rFonts w:ascii="Arial" w:cs="Arial" w:eastAsia="Arial" w:hAnsi="Arial"/>
          <w:sz w:val="19"/>
          <w:szCs w:val="19"/>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hanging="328"/>
        <w:spacing w:after="0" w:line="291" w:lineRule="auto"/>
        <w:tabs>
          <w:tab w:leader="none" w:pos="655"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Security-Driven Networking</w:t>
      </w:r>
      <w:r>
        <w:rPr>
          <w:rFonts w:ascii="Arial" w:cs="Arial" w:eastAsia="Arial" w:hAnsi="Arial"/>
          <w:sz w:val="16"/>
          <w:szCs w:val="16"/>
          <w:color w:val="auto"/>
        </w:rPr>
        <w:t>—We derive a majority of product sales from our FortiGate network security appliances. Our FortiGate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appliances include a broad set of built-in security and networking features and functionalities, including firewall, next-generation firewall, secure web gateway, secure sockets layer inspection, software-defined wide-area network (“SD-WAN”), intrusion prevention, data leak prevention, virtual private network (“VPN”), switch and wireless controller and wide area network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 (“SPU”) technology within our appliances, enabling us to add security and network functionality with minimal impact to network throughput performance.</w:t>
      </w:r>
    </w:p>
    <w:p>
      <w:pPr>
        <w:spacing w:after="0" w:line="193" w:lineRule="exact"/>
        <w:rPr>
          <w:rFonts w:ascii="Arial" w:cs="Arial" w:eastAsia="Arial" w:hAnsi="Arial"/>
          <w:sz w:val="16"/>
          <w:szCs w:val="16"/>
          <w:b w:val="1"/>
          <w:bCs w:val="1"/>
          <w:i w:val="1"/>
          <w:iCs w:val="1"/>
          <w:color w:val="auto"/>
        </w:rPr>
      </w:pPr>
    </w:p>
    <w:p>
      <w:pPr>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Security</w:t>
      </w:r>
      <w:r>
        <w:rPr>
          <w:rFonts w:ascii="Arial" w:cs="Arial" w:eastAsia="Arial" w:hAnsi="Arial"/>
          <w:sz w:val="18"/>
          <w:szCs w:val="18"/>
          <w:color w:val="auto"/>
        </w:rPr>
        <w:t>—The Fortinet Security Fabric platform is a broad, automated and integrated security platform that extends beyond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cover other attack vectors. Other infrastructure solutions covered include Secure Access (Wi-Fi and switch) and teleworker and remote security solutions such as FortiAuthenticator, FortiClient and FortiToken.</w:t>
      </w:r>
    </w:p>
    <w:p>
      <w:pPr>
        <w:spacing w:after="0" w:line="210" w:lineRule="exact"/>
        <w:rPr>
          <w:rFonts w:ascii="Arial" w:cs="Arial" w:eastAsia="Arial" w:hAnsi="Arial"/>
          <w:sz w:val="18"/>
          <w:szCs w:val="18"/>
          <w:color w:val="auto"/>
        </w:rPr>
      </w:pPr>
    </w:p>
    <w:p>
      <w:pPr>
        <w:ind w:left="660" w:right="80" w:hanging="328"/>
        <w:spacing w:after="0" w:line="30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Dynamic Cloud Security</w:t>
      </w:r>
      <w:r>
        <w:rPr>
          <w:rFonts w:ascii="Arial" w:cs="Arial" w:eastAsia="Arial" w:hAnsi="Arial"/>
          <w:sz w:val="16"/>
          <w:szCs w:val="16"/>
          <w:color w:val="auto"/>
        </w:rPr>
        <w:t>—We help customers connect securely to and across their hybrid, public and private cloud environments by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through our virtual firewall and other software products. Our public and private cloud security solutions, including virtual appliances and hosted solutions, extend the core capabilities of the Fortinet Security Fabric platform to provide businesses with the same level of cybersecurity and threat intelligence in and across cloud environments that they receive on their physical networks, delivering security that follows their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color w:val="auto"/>
        </w:rPr>
        <w:t>applications and data. Fortinet cloud security offerings are available across all major cloud providers, including Amazon Web Services, Microsoft Azure, Google Cloud, Oracle Cloud, Alibaba Cloud and IBM Cloud. Our Cloud Security portfolio also includes securing applications, including email and web.</w:t>
      </w:r>
    </w:p>
    <w:p>
      <w:pPr>
        <w:spacing w:after="0" w:line="211" w:lineRule="exact"/>
        <w:rPr>
          <w:sz w:val="20"/>
          <w:szCs w:val="20"/>
          <w:color w:val="auto"/>
        </w:rPr>
      </w:pPr>
    </w:p>
    <w:p>
      <w:pPr>
        <w:ind w:left="660" w:right="14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w:t>
      </w:r>
      <w:r>
        <w:rPr>
          <w:rFonts w:ascii="Arial" w:cs="Arial" w:eastAsia="Arial" w:hAnsi="Arial"/>
          <w:sz w:val="18"/>
          <w:szCs w:val="18"/>
          <w:color w:val="auto"/>
        </w:rPr>
        <w:t>“</w:t>
      </w:r>
      <w:r>
        <w:rPr>
          <w:rFonts w:ascii="Arial" w:cs="Arial" w:eastAsia="Arial" w:hAnsi="Arial"/>
          <w:sz w:val="18"/>
          <w:szCs w:val="18"/>
          <w:b w:val="1"/>
          <w:bCs w:val="1"/>
          <w:i w:val="1"/>
          <w:iCs w:val="1"/>
          <w:color w:val="auto"/>
        </w:rPr>
        <w:t>IoT</w:t>
      </w:r>
      <w:r>
        <w:rPr>
          <w:rFonts w:ascii="Arial" w:cs="Arial" w:eastAsia="Arial" w:hAnsi="Arial"/>
          <w:sz w:val="18"/>
          <w:szCs w:val="18"/>
          <w:color w:val="auto"/>
        </w:rPr>
        <w:t>”</w:t>
      </w:r>
      <w:r>
        <w:rPr>
          <w:rFonts w:ascii="Arial" w:cs="Arial" w:eastAsia="Arial" w:hAnsi="Arial"/>
          <w:sz w:val="18"/>
          <w:szCs w:val="18"/>
          <w:b w:val="1"/>
          <w:bCs w:val="1"/>
          <w:i w:val="1"/>
          <w:iCs w:val="1"/>
          <w:color w:val="auto"/>
        </w:rPr>
        <w:t>) and Operational Technology (</w:t>
      </w:r>
      <w:r>
        <w:rPr>
          <w:rFonts w:ascii="Arial" w:cs="Arial" w:eastAsia="Arial" w:hAnsi="Arial"/>
          <w:sz w:val="18"/>
          <w:szCs w:val="18"/>
          <w:color w:val="auto"/>
        </w:rPr>
        <w:t>“</w:t>
      </w:r>
      <w:r>
        <w:rPr>
          <w:rFonts w:ascii="Arial" w:cs="Arial" w:eastAsia="Arial" w:hAnsi="Arial"/>
          <w:sz w:val="18"/>
          <w:szCs w:val="18"/>
          <w:b w:val="1"/>
          <w:bCs w:val="1"/>
          <w:i w:val="1"/>
          <w:iCs w:val="1"/>
          <w:color w:val="auto"/>
        </w:rPr>
        <w:t>OT</w:t>
      </w:r>
      <w:r>
        <w:rPr>
          <w:rFonts w:ascii="Arial" w:cs="Arial" w:eastAsia="Arial" w:hAnsi="Arial"/>
          <w:sz w:val="18"/>
          <w:szCs w:val="18"/>
          <w:color w:val="auto"/>
        </w:rPr>
        <w:t>”</w:t>
      </w:r>
      <w:r>
        <w:rPr>
          <w:rFonts w:ascii="Arial" w:cs="Arial" w:eastAsia="Arial" w:hAnsi="Arial"/>
          <w:sz w:val="18"/>
          <w:szCs w:val="18"/>
          <w:b w:val="1"/>
          <w:bCs w:val="1"/>
          <w:i w:val="1"/>
          <w:iCs w:val="1"/>
          <w:color w:val="auto"/>
        </w:rPr>
        <w:t>) Security</w:t>
      </w:r>
      <w:r>
        <w:rPr>
          <w:rFonts w:ascii="Arial" w:cs="Arial" w:eastAsia="Arial" w:hAnsi="Arial"/>
          <w:sz w:val="18"/>
          <w:szCs w:val="18"/>
          <w:color w:val="auto"/>
        </w:rPr>
        <w:t>—We protect end-customers from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the digitization of OT devices has generated new opportunities for us to grow our business. We offer network access control solutions that provide visibility, control and automated event responses in order to secure IoT devices.</w:t>
      </w:r>
    </w:p>
    <w:p>
      <w:pPr>
        <w:spacing w:after="0" w:line="214" w:lineRule="exact"/>
        <w:rPr>
          <w:rFonts w:ascii="Arial" w:cs="Arial" w:eastAsia="Arial" w:hAnsi="Arial"/>
          <w:sz w:val="18"/>
          <w:szCs w:val="18"/>
          <w:color w:val="auto"/>
        </w:rPr>
      </w:pPr>
    </w:p>
    <w:p>
      <w:pPr>
        <w:ind w:left="660" w:right="320" w:hanging="328"/>
        <w:spacing w:after="0" w:line="284"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AI-Driven Security Operations</w:t>
      </w:r>
      <w:r>
        <w:rPr>
          <w:rFonts w:ascii="Arial" w:cs="Arial" w:eastAsia="Arial" w:hAnsi="Arial"/>
          <w:sz w:val="16"/>
          <w:szCs w:val="16"/>
          <w:color w:val="auto"/>
        </w:rPr>
        <w:t>—We develop and provide AI-driven security operations solutions, including FortiGuard and other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subscription services and our security operations, analytics, and reporting (“SOAR”) capabilities and solutions, that can be applied across the entire Fortinet Security Fabric platform. These solutions help customers better secure their environments by delivering deeper intelligence and insights and by narrowing the gaps in security skills and resources that are present in many organizations.</w:t>
      </w:r>
    </w:p>
    <w:p>
      <w:pPr>
        <w:spacing w:after="0" w:line="18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addition to our security solutions, our customers may purchase FortiGuard and other security subscription services to receive threat intelligence updates, FortiCare technical support services and the support of Technical Account Managers, Resident Engineers and professional service consultants for implementations or training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 was $615.5 million and $1.19 billion during the three and six months ended June 30, 2020, respectively, an increase of 18% and 20%, respectively, compared to $521.7 million and $994.3 million in the same periods last year, respectively. Product revenue was $211.9 million and $404.2 million during the three and six months ended June 30, 2020, respectively, an increase of 12% and 15%, respectively, compared to $189.9 million and $352.6 million in the same periods last year, respectively. Service revenue was $403.6 million and $788.2 million during the three and six months ended June 30, 2020, respectively, an increase of 22% and 23%, respectively, compared to $331.8 million and $641.7 million in the same periods last year, respectively.</w:t>
      </w:r>
    </w:p>
    <w:p>
      <w:pPr>
        <w:spacing w:after="0" w:line="219"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gross profit was $480.4 million and $928.6 million during the three and six months ended June 30, 2020, respectively, an increase of 22% and 23%, respectively, compared to $393.4 million and $753.0 million in the same periods last year.</w:t>
      </w:r>
    </w:p>
    <w:p>
      <w:pPr>
        <w:spacing w:after="0" w:line="197" w:lineRule="exact"/>
        <w:rPr>
          <w:rFonts w:ascii="Arial" w:cs="Arial" w:eastAsia="Arial" w:hAnsi="Arial"/>
          <w:sz w:val="18"/>
          <w:szCs w:val="18"/>
          <w:color w:val="auto"/>
        </w:rPr>
      </w:pPr>
    </w:p>
    <w:p>
      <w:pPr>
        <w:ind w:left="660" w:right="30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generated operating income of $116.7 million and $232.6 million during the three and six months ended June 30, 2020, respectively, an increase of 55% and 85%, respectively, compared to $75.2 million and $125.8 million in the same periods last year, respectively. Operating income during the three and six months ended June 30, 2020 included gains on an intellectual property (“IP”) matter of $1.1 million and $37.9 million, respectively.</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cash equivalents and investments were $1.63 billion as of June 30, 2020, a decrease of $582.6 million, or 26%, from December 31, 2019.</w:t>
      </w:r>
    </w:p>
    <w:p>
      <w:pPr>
        <w:spacing w:after="0" w:line="275" w:lineRule="exact"/>
        <w:rPr>
          <w:rFonts w:ascii="Arial" w:cs="Arial" w:eastAsia="Arial" w:hAnsi="Arial"/>
          <w:sz w:val="16"/>
          <w:szCs w:val="16"/>
          <w:color w:val="auto"/>
        </w:rPr>
      </w:pPr>
    </w:p>
    <w:p>
      <w:pPr>
        <w:ind w:left="660" w:right="4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six months ended June 30, 2020, we repurchased 11.4 million shares of common stock under our Share Repurchase Program (the “Repurchase Program”), for a total purchase price of $1.05 billion.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revenue was $2.32 billion as of June 30, 2020, an increase of $186.9 million, or 9%, from December 31, 2019.</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$566.4 million, which includes $50.0 million proceeds from an IP matter, during the six months ended June 30, 2020, an increase of $170.0 million, or 43%, compared to the same period last year.</w:t>
      </w:r>
    </w:p>
    <w:p>
      <w:pPr>
        <w:spacing w:after="0" w:line="1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revenue growth was driven by both product and service revenue. On a geographic basis, revenue continues to be diversified globally, which remains a key strength of our business. Product revenue grew 12% and 15% during the three and six months ended June 30, 2020, respectively, compared to the same periods last year. We experienced revenue growth across several of our hardware and software products, including SD-WAN and teleworker and remote security solutions. Service revenue growth of 22% and 23% during the three and six months ended June 30, 2020, respectively, compared to the same periods last year was driven by the strength of our FortiGuard and other security subscription revenue, which grew 22%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23%, respectively, and of our FortiCare technical support and other service revenue, which grew 22% and 23%, respectively, compared to the same periods last year.</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and six months ended June 30, 2020, we recognized gains of $1.1 million and $37.9 million, respectively, on an IP matter in connection with a mutual covenant-not-to-sue and release agreement with a competitor in the network security industry. Excluding the gains on the IP matter, operating expenses as a percentage of revenue decreased by 1.9% and 1.6%, respectively, during the three and six months ended June 30, 2020 compared to the same periods last year. Headcount increased to 7,756 employees and contractors as of June 30, 2020, a 4% growth compared to 7,448 as of March 31, 2020 and a 10% growth compared to 7,082 as of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ind w:right="100" w:firstLine="405"/>
        <w:spacing w:after="0"/>
        <w:rPr>
          <w:sz w:val="20"/>
          <w:szCs w:val="20"/>
          <w:color w:val="auto"/>
        </w:rPr>
      </w:pPr>
      <w:r>
        <w:rPr>
          <w:rFonts w:ascii="Arial" w:cs="Arial" w:eastAsia="Arial" w:hAnsi="Arial"/>
          <w:sz w:val="18"/>
          <w:szCs w:val="18"/>
          <w:color w:val="212529"/>
        </w:rPr>
        <w:t>The United States and the global community we serve are facing unprecedented challenges posed by the COVID-19 pandemic. In response to the pandemic, we have taken a number of actions to protect our employees, including restricting travel and directing most of our employees to work from home. Where onsite work is permitted, we have implemented measures such as staggered work shifts, social distancing, health safety awareness training and frequent disinfection of shared spaces. We have implemented our readiness plans, which include steps to maintain critical internet infrastructure with most employees working remotely. We have not conducted any employee layoffs related to the COVID-19 pandemic, and we do not anticipate any related layoffs for the foreseeable future.</w:t>
      </w:r>
    </w:p>
    <w:p>
      <w:pPr>
        <w:spacing w:after="0" w:line="2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212529"/>
        </w:rPr>
        <w:t>We have also increased our employee charitable contribution matching program to match employees’ contributions up to $2,000 per employee. We are also providing free online information technology security training for the public, aimed at helping high school and college students and professionals augment their security skill sets to open career opportunities and to help narrow the security skills gap. As of August 6, 2020, there have been over 500,000 registrations for our free online trainings since we launched the program. Costs incurred to date relating to COVID-19 pandemic impact mitigation efforts have not been material.</w:t>
      </w:r>
    </w:p>
    <w:p>
      <w:pPr>
        <w:spacing w:after="0" w:line="2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212529"/>
        </w:rPr>
        <w:t xml:space="preserve">While the broader implications of the COVID-19 pandemic on our employees and overall financial performance remain uncertain, we have seen certain impacts on our business and operations, results of operations, financial condition, cash flows, liquidity and capital and financial resources as of and during the three and </w:t>
      </w:r>
      <w:r>
        <w:rPr>
          <w:rFonts w:ascii="Arial" w:cs="Arial" w:eastAsia="Arial" w:hAnsi="Arial"/>
          <w:sz w:val="18"/>
          <w:szCs w:val="18"/>
          <w:color w:val="000000"/>
        </w:rPr>
        <w:t>six</w:t>
      </w:r>
      <w:r>
        <w:rPr>
          <w:rFonts w:ascii="Arial" w:cs="Arial" w:eastAsia="Arial" w:hAnsi="Arial"/>
          <w:sz w:val="18"/>
          <w:szCs w:val="18"/>
          <w:color w:val="212529"/>
        </w:rPr>
        <w:t xml:space="preserve"> months ended June 30, 2020. Conversely, some aspects of our business do not appear to have been significantly affected. During the three and six months ended June 30, 2020, we have observed the following:</w:t>
      </w:r>
    </w:p>
    <w:p>
      <w:pPr>
        <w:spacing w:after="0" w:line="214" w:lineRule="exact"/>
        <w:rPr>
          <w:sz w:val="20"/>
          <w:szCs w:val="20"/>
          <w:color w:val="auto"/>
        </w:rPr>
      </w:pPr>
    </w:p>
    <w:p>
      <w:pPr>
        <w:ind w:left="660" w:right="280" w:hanging="328"/>
        <w:spacing w:after="0" w:line="30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practice of social distancing in most countries has reduced the ability for travel by our employees. In-person sales and marketing events or meetings that would normally have been held during the three and six months ended June 30, 2020 were canceled, postponed or converted into virtual events. As a result, expenses related to travel and marketing events decreased significantly. To the extent that it becomes safe for our employees to travel and for us to hold or attend marketing events, we expect these expenses to increase in the future.</w:t>
      </w:r>
    </w:p>
    <w:p>
      <w:pPr>
        <w:spacing w:after="0" w:line="184"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offered payment terms in excess of our contractual agreements to some of our distributor customers, which we believe will result in an increase to the average collection period of our trade receivables.</w:t>
      </w:r>
    </w:p>
    <w:p>
      <w:pPr>
        <w:spacing w:after="0" w:line="197" w:lineRule="exact"/>
        <w:rPr>
          <w:rFonts w:ascii="Arial" w:cs="Arial" w:eastAsia="Arial" w:hAnsi="Arial"/>
          <w:sz w:val="18"/>
          <w:szCs w:val="18"/>
          <w:color w:val="auto"/>
        </w:rPr>
      </w:pPr>
    </w:p>
    <w:p>
      <w:pPr>
        <w:ind w:left="660" w:right="5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and geographic regions in which we experienced the fastest billings growth in the second quarter of 2020, as compared to the second quarter of 2019, were countries and geographic regions in which the COVID-19 pandemic is generally considered to have had a comparatively less severe impact on the population and economy during the quarter.</w:t>
      </w:r>
    </w:p>
    <w:p>
      <w:pPr>
        <w:spacing w:after="0" w:line="21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noted that, for some of our customers, sales cycles appear to have lengthened, though it is unclear by how long or whether this trend will persist.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average service contract duration remained consistent with the same period of 2019.</w:t>
      </w:r>
    </w:p>
    <w:p>
      <w:pPr>
        <w:spacing w:after="0" w:line="252"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our supply chain, our product backlog was in line with historical averages and our suppliers delivered over 90% of their commitments to us. Our channel inventory levels were consistent with prior quarters. In order to mitigate supply chain risk, we have increased, and we plan to further increase, our on-hand stock of certain products.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yield on investment-grade debt has decreased, contributing to the decrease in our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28"/>
        <w:spacing w:after="0" w:line="29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accordance with the Coronavirus Aid, Relief, and Economic Security Act (the “CARES Act”), we have deferred the deposit and payment of our employer’s share of Social Security taxes. This did not materially affect net cash provided by operating activities during the period.</w:t>
      </w:r>
    </w:p>
    <w:p>
      <w:pPr>
        <w:spacing w:after="0" w:line="17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212529"/>
        </w:rPr>
        <w:t>T</w:t>
      </w:r>
      <w:r>
        <w:rPr>
          <w:rFonts w:ascii="Arial" w:cs="Arial" w:eastAsia="Arial" w:hAnsi="Arial"/>
          <w:sz w:val="17"/>
          <w:szCs w:val="17"/>
          <w:color w:val="000000"/>
        </w:rPr>
        <w:t>hrough the filing of this Quarterly Report on Form 10-Q, t</w:t>
      </w:r>
      <w:r>
        <w:rPr>
          <w:rFonts w:ascii="Arial" w:cs="Arial" w:eastAsia="Arial" w:hAnsi="Arial"/>
          <w:sz w:val="17"/>
          <w:szCs w:val="17"/>
          <w:color w:val="212529"/>
        </w:rPr>
        <w:t>here have been no material changes to the trends described above. Going forward, however, the situation is uncertain, rapidly changing and hard to predict, and the COVID-19 pandemic may have a material negative impact on our future periods, including our results for the three months ending September 30, 2020, our annual results for 2020, and beyond. To highlight the uncertainty remaining for the three months ending September 30, 2020, it should be noted that, due to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we experience significant changes in our billings growth rates, it will impact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duration and severity of the economic downturn from the pandemic may negatively impact our business and operations, results of operations, financial condition, cash flows, liquidity and capital and financial resources in a material way. As a result, the effects of the pandemic may not be fully reflected in our results of operations until future periods. For further discussion, see Part II, Item 1A of this Quarterly Report on Form 10-Q.</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5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primarily sell our products and services through a two-tier distribution model. We sell to distributors that sell to networking security and enterprise-focused resellers and to service providers and managed security service providers (“MSSPs”), who, in turn, sell to our end-customers. In certain cases, we sell directly to large service providers and major systems integrators. We also offer our products through major cloud providers, and have recognized revenue on a usage basis from Amazon Web Services, Microsoft Azure, IBM Cloud, Google Cloud, Oracle Cloud and Alibaba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their private cloud.</w:t>
      </w:r>
    </w:p>
    <w:p>
      <w:pPr>
        <w:spacing w:after="0" w:line="204"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The invoice is typically payable within 30 to 60 days, though we have recently offered extended payment terms to certain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7"/>
              </w:rPr>
              <w:t>June 30, 2020</w:t>
            </w:r>
          </w:p>
        </w:tc>
        <w:tc>
          <w:tcPr>
            <w:tcW w:w="32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June 30, 2019</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521.7</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2,322.8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1,866.5</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711.5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622.4</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247.0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195.1</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177.8</w:t>
            </w:r>
          </w:p>
        </w:tc>
      </w:tr>
      <w:tr>
        <w:trPr>
          <w:trHeight w:val="27"/>
        </w:trPr>
        <w:tc>
          <w:tcPr>
            <w:tcW w:w="8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$2.32 billion as of June 30, 2020, an increase of $186.9 million, or 9%, from December 31, 2019.</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$711.5 million for the three months ended June 30, 2020, an increase of 14% compared to $622.4 million in the same period last year.</w:t>
      </w:r>
    </w:p>
    <w:p>
      <w:pPr>
        <w:spacing w:after="0" w:line="2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June 30, 2019</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521.7</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Change in 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100.7</w:t>
            </w:r>
          </w:p>
        </w:tc>
      </w:tr>
      <w:tr>
        <w:trPr>
          <w:trHeight w:val="26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711.5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622.4</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June 30, 2019</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195.1</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270"/>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177.8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0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(53.3)</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six months ended June 30, 2020, as compared to the critical accounting policies and estimates described in our Annual Report on Form 10-K filed with the SEC on February 26, 2020 (the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June 30,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7"/>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87"/>
              </w:rPr>
              <w:t>June 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89"/>
              </w:rPr>
              <w:t>2019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13"/>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ind w:left="380"/>
              <w:spacing w:after="0"/>
              <w:rPr>
                <w:sz w:val="20"/>
                <w:szCs w:val="20"/>
                <w:color w:val="auto"/>
              </w:rPr>
            </w:pPr>
            <w:r>
              <w:rPr>
                <w:rFonts w:ascii="Arial" w:cs="Arial" w:eastAsia="Arial" w:hAnsi="Arial"/>
                <w:sz w:val="16"/>
                <w:szCs w:val="16"/>
                <w:b w:val="1"/>
                <w:bCs w:val="1"/>
                <w:color w:val="auto"/>
                <w:w w:val="98"/>
              </w:rPr>
              <w:t>% Change</w:t>
            </w: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22.0</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w w:val="92"/>
              </w:rPr>
              <w:t>12 %</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22</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93.8</w:t>
            </w: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34.7</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w w:val="92"/>
              </w:rPr>
              <w:t>15 %</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7"/>
        </w:trPr>
        <w:tc>
          <w:tcPr>
            <w:tcW w:w="3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36.4</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19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22.7</w:t>
            </w: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22</w:t>
            </w:r>
          </w:p>
        </w:tc>
        <w:tc>
          <w:tcPr>
            <w:tcW w:w="200" w:type="dxa"/>
            <w:vAlign w:val="bottom"/>
          </w:tcPr>
          <w:p>
            <w:pPr>
              <w:spacing w:after="0"/>
              <w:rPr>
                <w:sz w:val="21"/>
                <w:szCs w:val="2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615.5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93.8</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Total revenue increased by $93.8 million, or 18%, during the three months ended June 30, 2020 compared to the same period last year. We continued to experience diversification of revenue globally and across both customer and industry segments. Revenue from all regions grew, with EMEA contributing the largest portion of our revenue growth on an absolute dollar basis.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Product revenue increased by $22.0 million, or 12%, during the three months ended June 30, 2020 compared to the same period last year. We experienced revenue growth across many of our hardware and software products due to an increase in product revenue from our FortiGate solutions, including SD-WAN, as well as growth in sales of our Infrastructure Security, Cloud Security and Endpoint Protection solutions, including virtual firewall, teleworker and remote security solutions.</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Service revenue increased by $71.8 million, or 22%, during the three months ended June 30, 2020 compared to the same period last year. FortiGuard and other security subscription and FortiCare technical support and other revenues increased by $39.5 million, or 22%, and by $32.3 million, or 22%, respectively, during the three months ended June 30, 2020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 Of the service revenue recognized during the three months ended June 30, 2020, 91% was included in the deferred revenue balance as of March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3200" w:type="dxa"/>
            <w:vAlign w:val="bottom"/>
            <w:gridSpan w:val="5"/>
          </w:tcPr>
          <w:p>
            <w:pPr>
              <w:jc w:val="right"/>
              <w:ind w:right="456"/>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540" w:type="dxa"/>
            <w:vAlign w:val="bottom"/>
            <w:gridSpan w:val="3"/>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1980" w:type="dxa"/>
            <w:vAlign w:val="bottom"/>
          </w:tcPr>
          <w:p>
            <w:pPr>
              <w:jc w:val="right"/>
              <w:ind w:right="4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
          </w:tcPr>
          <w:p>
            <w:pPr>
              <w:jc w:val="right"/>
              <w:ind w:right="195"/>
              <w:spacing w:after="0"/>
              <w:rPr>
                <w:sz w:val="20"/>
                <w:szCs w:val="20"/>
                <w:color w:val="auto"/>
              </w:rPr>
            </w:pPr>
            <w:r>
              <w:rPr>
                <w:rFonts w:ascii="Arial" w:cs="Arial" w:eastAsia="Arial" w:hAnsi="Arial"/>
                <w:sz w:val="16"/>
                <w:szCs w:val="16"/>
                <w:b w:val="1"/>
                <w:bCs w:val="1"/>
                <w:color w:val="auto"/>
              </w:rPr>
              <w:t>(in millions, except percentages)</w:t>
            </w: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440"/>
              <w:spacing w:after="0"/>
              <w:rPr>
                <w:sz w:val="20"/>
                <w:szCs w:val="20"/>
                <w:color w:val="auto"/>
              </w:rPr>
            </w:pPr>
            <w:r>
              <w:rPr>
                <w:rFonts w:ascii="Arial" w:cs="Arial" w:eastAsia="Arial" w:hAnsi="Arial"/>
                <w:sz w:val="18"/>
                <w:szCs w:val="18"/>
                <w:color w:val="auto"/>
              </w:rPr>
              <w:t>Product</w:t>
            </w:r>
          </w:p>
        </w:tc>
        <w:tc>
          <w:tcPr>
            <w:tcW w:w="1220" w:type="dxa"/>
            <w:vAlign w:val="bottom"/>
          </w:tcPr>
          <w:p>
            <w:pPr>
              <w:jc w:val="right"/>
              <w:ind w:right="10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84.4</w:t>
            </w:r>
          </w:p>
        </w:tc>
        <w:tc>
          <w:tcPr>
            <w:tcW w:w="1540" w:type="dxa"/>
            <w:vAlign w:val="bottom"/>
            <w:gridSpan w:val="3"/>
          </w:tcPr>
          <w:p>
            <w:pPr>
              <w:jc w:val="right"/>
              <w:ind w:right="103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82.7</w:t>
            </w:r>
          </w:p>
        </w:tc>
        <w:tc>
          <w:tcPr>
            <w:tcW w:w="1600" w:type="dxa"/>
            <w:vAlign w:val="bottom"/>
            <w:gridSpan w:val="3"/>
          </w:tcPr>
          <w:p>
            <w:pPr>
              <w:jc w:val="right"/>
              <w:ind w:right="1115"/>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9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r>
      <w:tr>
        <w:trPr>
          <w:trHeight w:val="263"/>
        </w:trPr>
        <w:tc>
          <w:tcPr>
            <w:tcW w:w="34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2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135.1</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128.3</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6.8</w:t>
            </w:r>
          </w:p>
        </w:tc>
        <w:tc>
          <w:tcPr>
            <w:tcW w:w="1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r>
      <w:tr>
        <w:trPr>
          <w:trHeight w:val="21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r>
      <w:tr>
        <w:trPr>
          <w:trHeight w:val="243"/>
        </w:trPr>
        <w:tc>
          <w:tcPr>
            <w:tcW w:w="3440" w:type="dxa"/>
            <w:vAlign w:val="bottom"/>
          </w:tcPr>
          <w:p>
            <w:pPr>
              <w:ind w:left="440"/>
              <w:spacing w:after="0"/>
              <w:rPr>
                <w:sz w:val="20"/>
                <w:szCs w:val="20"/>
                <w:color w:val="auto"/>
              </w:rPr>
            </w:pPr>
            <w:r>
              <w:rPr>
                <w:rFonts w:ascii="Arial" w:cs="Arial" w:eastAsia="Arial" w:hAnsi="Arial"/>
                <w:sz w:val="18"/>
                <w:szCs w:val="18"/>
                <w:color w:val="auto"/>
              </w:rPr>
              <w:t>Product</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Total gross margin</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3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Total gross margin increased by 2.7 percentage points during the three months ended June 30, 2020 compared to the same period last year, driven by improvements to both product and service gross margins.</w:t>
      </w:r>
    </w:p>
    <w:p>
      <w:pPr>
        <w:spacing w:after="0" w:line="19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Product gross margin increased by 3.7 percentage points during the three months ended June 30, 2020 compared to the same period last year. Product gross margin benefited from increased software sales and lower direct costs of hardware as a percentage of product revenue. Cost of product revenue was comprised primarily of third party contract manufacturers’ costs and the costs of materials used in production.</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Service gross margin increased by 1.1 percentage points during the three months ended June 30, 2020 compared to the same period last year, as we experienced lower costs to replace and repair our products and our personnel costs grew more slowly than our service revenue. Cost of service revenue was comprised primarily of personnel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 of</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8"/>
                <w:szCs w:val="18"/>
                <w:color w:val="auto"/>
              </w:rPr>
            </w:pPr>
          </w:p>
        </w:tc>
        <w:tc>
          <w:tcPr>
            <w:tcW w:w="142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(in millions, except percentages)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14.7</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IP matter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8"/>
                <w:szCs w:val="18"/>
                <w:color w:val="auto"/>
                <w:w w:val="88"/>
              </w:rPr>
              <w:t>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45.5</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Not meaningful</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Research and development expense increased by $14.7 million, or 22%, during the three months ended June 30, 2020 compared to the same period last year, primarily due to an increase of $12.0 million in personnel-related costs as a result of increased headcount to support the development of new products, continued enhancements to our existing products and patent creation. We currently intend to continue to invest in our research and development organization, and expect research and development expense to remain at or increase in absolute dollars during the remainder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Sales and marketing expense increased by $27.3 million, or 12%, during the three months ended June 30, 2020 compared to the same period last year, primarily due to an increase of $40.4 million in personnel-related costs as a result of increases to sales and marketing headcount in order to drive global market share gains. This increase was offset by savings related to decreased travel and fewer in-person marketing events as a result of the COVID-19 pandemic. We currently intend to continue to make investments in our sales resources and infrastructure and marketing strategy, which are critical to support our future growth, and expect sales and marketing expense to remain at or increase in absolute dollars during the remainder of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General and administrative expense increased by $4.6 million, or 19%, during the three months ended June 30, 2020 compared to the same period last year, primarily due to an increase in personnel-related costs of $3.2 million and an increase in the provision for expected credit losses of $1.1 million. We currently expect general and administrative expense to remain at or increase in absolute dollars during the remainder of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three months ended June 30, 2020, we recorded $1.1 in amortization of the deferred component as a gain on IP matter in our condensed consolidated statements of income. See Note 10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generated operating income of $116.7 million during the three months ended June 30, 2020, an increase of $41.5 million, or 55%, compared to $75.2 million in the same period last year. Operating income as a percentage of revenue increased to 19% during the three months ended June 30, 2020 compared to 14% in the same period last year. The increase in operating margin is primarily due to the 2.7 percentage point improvement in gross margin and the 2.2 percentage point decrease in sales and marketing expense as a percentage of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15"/>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440" w:type="dxa"/>
            <w:vAlign w:val="bottom"/>
          </w:tcPr>
          <w:p>
            <w:pPr>
              <w:jc w:val="center"/>
              <w:ind w:right="275"/>
              <w:spacing w:after="0"/>
              <w:rPr>
                <w:sz w:val="20"/>
                <w:szCs w:val="20"/>
                <w:color w:val="auto"/>
              </w:rPr>
            </w:pPr>
            <w:r>
              <w:rPr>
                <w:rFonts w:ascii="Arial" w:cs="Arial" w:eastAsia="Arial" w:hAnsi="Arial"/>
                <w:sz w:val="16"/>
                <w:szCs w:val="16"/>
                <w:b w:val="1"/>
                <w:bCs w:val="1"/>
                <w:color w:val="auto"/>
                <w:w w:val="87"/>
              </w:rPr>
              <w:t>June 30,</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440" w:type="dxa"/>
            <w:vAlign w:val="bottom"/>
          </w:tcPr>
          <w:p>
            <w:pPr>
              <w:jc w:val="right"/>
              <w:ind w:right="655"/>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720" w:type="dxa"/>
            <w:vAlign w:val="bottom"/>
          </w:tcPr>
          <w:p>
            <w:pPr>
              <w:ind w:left="280"/>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3"/>
          </w:tcPr>
          <w:p>
            <w:pPr>
              <w:ind w:left="44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(7.0)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Other income (expense)—net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0.9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000"/>
              <w:spacing w:after="0"/>
              <w:rPr>
                <w:sz w:val="20"/>
                <w:szCs w:val="20"/>
                <w:color w:val="auto"/>
              </w:rPr>
            </w:pPr>
            <w:r>
              <w:rPr>
                <w:rFonts w:ascii="Arial" w:cs="Arial" w:eastAsia="Arial" w:hAnsi="Arial"/>
                <w:sz w:val="18"/>
                <w:szCs w:val="18"/>
                <w:color w:val="auto"/>
              </w:rPr>
              <w:t>(0.4)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53"/>
              <w:spacing w:after="0"/>
              <w:rPr>
                <w:sz w:val="20"/>
                <w:szCs w:val="20"/>
                <w:color w:val="auto"/>
              </w:rPr>
            </w:pPr>
            <w:r>
              <w:rPr>
                <w:rFonts w:ascii="Arial" w:cs="Arial" w:eastAsia="Arial" w:hAnsi="Arial"/>
                <w:sz w:val="18"/>
                <w:szCs w:val="18"/>
                <w:color w:val="auto"/>
              </w:rPr>
              <w:t>1.3</w:t>
            </w:r>
          </w:p>
        </w:tc>
        <w:tc>
          <w:tcPr>
            <w:tcW w:w="1700" w:type="dxa"/>
            <w:vAlign w:val="bottom"/>
          </w:tcPr>
          <w:p>
            <w:pPr>
              <w:jc w:val="right"/>
              <w:spacing w:after="0"/>
              <w:rPr>
                <w:sz w:val="20"/>
                <w:szCs w:val="20"/>
                <w:color w:val="auto"/>
              </w:rPr>
            </w:pPr>
            <w:r>
              <w:rPr>
                <w:rFonts w:ascii="Arial" w:cs="Arial" w:eastAsia="Arial" w:hAnsi="Arial"/>
                <w:sz w:val="18"/>
                <w:szCs w:val="18"/>
                <w:color w:val="auto"/>
              </w:rPr>
              <w:t>(325)%</w:t>
            </w:r>
          </w:p>
        </w:tc>
      </w:tr>
    </w:tbl>
    <w:p>
      <w:pPr>
        <w:spacing w:after="0" w:line="3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Interest income—net decreased during the three months ended June 30, 2020 compared to the same period last year, primarily due to lower interest rates and lower invested balances of cash, cash equivalents and investments. The lower cash, cash equivalents and investments were mainly due to our repurchases of common stock under the Repurchase Program during the past twelve months. Interest income—net varies depending on our average investment balances during the period, types and mix of investments, and market interest rates. The change in other income (expense)—net during the three months ended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June 30, 2020 compared to the same period last year was primarily due to net gains from foreign currency exchange compared to net losses in the same period last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140" w:type="dxa"/>
            <w:vAlign w:val="bottom"/>
            <w:gridSpan w:val="3"/>
          </w:tcPr>
          <w:p>
            <w:pPr>
              <w:jc w:val="right"/>
              <w:ind w:right="45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260" w:type="dxa"/>
            <w:vAlign w:val="bottom"/>
          </w:tcPr>
          <w:p>
            <w:pPr>
              <w:jc w:val="center"/>
              <w:ind w:left="437"/>
              <w:spacing w:after="0"/>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260" w:type="dxa"/>
            <w:vAlign w:val="bottom"/>
          </w:tcPr>
          <w:p>
            <w:pPr>
              <w:jc w:val="right"/>
              <w:ind w:right="117"/>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1540" w:type="dxa"/>
            <w:vAlign w:val="bottom"/>
          </w:tcPr>
          <w:p>
            <w:pPr>
              <w:ind w:left="106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800" w:type="dxa"/>
            <w:vAlign w:val="bottom"/>
          </w:tcPr>
          <w:p>
            <w:pPr>
              <w:spacing w:after="0"/>
              <w:rPr>
                <w:sz w:val="18"/>
                <w:szCs w:val="18"/>
                <w:color w:val="auto"/>
              </w:rPr>
            </w:pPr>
          </w:p>
        </w:tc>
        <w:tc>
          <w:tcPr>
            <w:tcW w:w="1660" w:type="dxa"/>
            <w:vAlign w:val="bottom"/>
          </w:tcPr>
          <w:p>
            <w:pPr>
              <w:jc w:val="right"/>
              <w:ind w:right="475"/>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60" w:type="dxa"/>
            <w:vAlign w:val="bottom"/>
            <w:gridSpan w:val="4"/>
          </w:tcPr>
          <w:p>
            <w:pPr>
              <w:ind w:left="1040"/>
              <w:spacing w:after="0"/>
              <w:rPr>
                <w:sz w:val="20"/>
                <w:szCs w:val="20"/>
                <w:color w:val="auto"/>
              </w:rPr>
            </w:pPr>
            <w:r>
              <w:rPr>
                <w:rFonts w:ascii="Arial" w:cs="Arial" w:eastAsia="Arial" w:hAnsi="Arial"/>
                <w:sz w:val="16"/>
                <w:szCs w:val="16"/>
                <w:b w:val="1"/>
                <w:bCs w:val="1"/>
                <w:color w:val="auto"/>
                <w:w w:val="96"/>
              </w:rPr>
              <w:t>(in millions, except percentages)</w:t>
            </w: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54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13.1</w:t>
            </w:r>
          </w:p>
        </w:tc>
        <w:tc>
          <w:tcPr>
            <w:tcW w:w="1520" w:type="dxa"/>
            <w:vAlign w:val="bottom"/>
            <w:tcBorders>
              <w:bottom w:val="single" w:sz="8" w:color="CCEEFF"/>
            </w:tcBorders>
            <w:gridSpan w:val="2"/>
            <w:shd w:val="clear" w:color="auto" w:fill="CCEEFF"/>
          </w:tcPr>
          <w:p>
            <w:pPr>
              <w:jc w:val="right"/>
              <w:ind w:right="10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12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337"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Our effective tax rate was 8% for the three months ended June 30, 2020 compared to an effective tax rate of 15% for the same period last year. The provision for income taxes for the three months ended June 30, 2020 was primarily comprised of U.S. federal and state taxes, withholding taxes and foreign taxes that were $28.2 million, which included a tax benefit of $5.0 million from the foreign-derived intangible income deduction. This tax provision for income taxes was favorably affected by excess tax benefits from stock-based compensation expense of $10.0 million and release of reserves of $8.7 million on uncertain tax positions and the interest due to the expiration of the statute of limitations.</w:t>
      </w:r>
    </w:p>
    <w:p>
      <w:pPr>
        <w:spacing w:after="0" w:line="201"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 xml:space="preserve">The provision for income taxes for the three months ended June 30, 2019 was comprised of U.S. federal and state taxes, withholding taxes, and foreign taxes that were $24.5 million, which were offset by excess tax benefits from stock-based compensation expense of $11.7 million and release of reserves of $10.0 million on uncertain tax positions and the interest due to the expiration of the statute of limitations. This tax provision for income taxes was further impacted by an increase in tax expense of $10.3 million for an unrecognized tax benefit related to the Ninth Circuit’s </w:t>
      </w:r>
      <w:r>
        <w:rPr>
          <w:rFonts w:ascii="Arial" w:cs="Arial" w:eastAsia="Arial" w:hAnsi="Arial"/>
          <w:sz w:val="17"/>
          <w:szCs w:val="17"/>
          <w:i w:val="1"/>
          <w:iCs w:val="1"/>
          <w:color w:val="auto"/>
        </w:rPr>
        <w:t>Altera</w:t>
      </w:r>
      <w:r>
        <w:rPr>
          <w:rFonts w:ascii="Arial" w:cs="Arial" w:eastAsia="Arial" w:hAnsi="Arial"/>
          <w:sz w:val="17"/>
          <w:szCs w:val="17"/>
          <w:color w:val="auto"/>
        </w:rPr>
        <w:t xml:space="preserve"> decision, regarding stock-based compensation expense in cost sharing arrangements.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June 30,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7"/>
          </w:tcPr>
          <w:p>
            <w:pPr>
              <w:ind w:left="360"/>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87"/>
              </w:rPr>
              <w:t>June 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89"/>
              </w:rPr>
              <w:t>2019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13"/>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ind w:left="380"/>
              <w:spacing w:after="0"/>
              <w:rPr>
                <w:sz w:val="20"/>
                <w:szCs w:val="20"/>
                <w:color w:val="auto"/>
              </w:rPr>
            </w:pPr>
            <w:r>
              <w:rPr>
                <w:rFonts w:ascii="Arial" w:cs="Arial" w:eastAsia="Arial" w:hAnsi="Arial"/>
                <w:sz w:val="16"/>
                <w:szCs w:val="16"/>
                <w:b w:val="1"/>
                <w:bCs w:val="1"/>
                <w:color w:val="auto"/>
                <w:w w:val="98"/>
              </w:rPr>
              <w:t>% Change</w:t>
            </w: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51.6</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w w:val="92"/>
              </w:rPr>
              <w:t>15 %</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146.5</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23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1,192.4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198.1</w:t>
            </w: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76.4</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w w:val="92"/>
              </w:rPr>
              <w:t>18 %</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79.9</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22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6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41.8</w:t>
            </w: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21"/>
                <w:szCs w:val="2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1,192.4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994.3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198.1</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9"/>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Total revenue increased by $198.1 million, or 20%, during the six months ended June 30, 2020 compared to the same period last year. We continued to experience diversification of revenue globally and across both customer and industry segments. Revenue from all regions grew, with EMEA contributing the largest portion of our revenue growth on a percentage basis and on an absolute dollar basis.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Product revenue increased by $51.6 million, or 15%, during the six months ended June 30, 2020 compared to the same period last year. We experienced revenue growth across many of our hardware and software products due to an increase in product revenue from our FortiGate solutions, including SD-WAN, as well as growth in sales of our Infrastructure Security, Cloud Security and Endpoint Protection solutions, including virtual firewall, teleworker and remote security solutions.</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Service revenue increased by $146.5 million, or 23%, during the six months ended June 30, 2020 compared to the same period last year. FortiGuard and other security subscription and FortiCare technical support and other revenues increased by $81.3 million, or 23%, and by $65.2 million, or 23%, respectively, during the six months ended June 30, 2020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 Of the service revenue recognized during the six months ended June 30, 2020, 83% was included in the deferred revenue balance as of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gridSpan w:val="4"/>
          </w:tcPr>
          <w:p>
            <w:pPr>
              <w:jc w:val="right"/>
              <w:ind w:right="556"/>
              <w:spacing w:after="0"/>
              <w:rPr>
                <w:sz w:val="20"/>
                <w:szCs w:val="20"/>
                <w:color w:val="auto"/>
              </w:rPr>
            </w:pPr>
            <w:r>
              <w:rPr>
                <w:rFonts w:ascii="Arial" w:cs="Arial" w:eastAsia="Arial" w:hAnsi="Arial"/>
                <w:sz w:val="16"/>
                <w:szCs w:val="16"/>
                <w:b w:val="1"/>
                <w:bCs w:val="1"/>
                <w:color w:val="auto"/>
                <w:w w:val="95"/>
              </w:rPr>
              <w:t>Six Months Ended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540" w:type="dxa"/>
            <w:vAlign w:val="bottom"/>
            <w:gridSpan w:val="3"/>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8"/>
                <w:szCs w:val="18"/>
                <w:color w:val="auto"/>
              </w:rPr>
            </w:pPr>
          </w:p>
        </w:tc>
        <w:tc>
          <w:tcPr>
            <w:tcW w:w="1980" w:type="dxa"/>
            <w:vAlign w:val="bottom"/>
          </w:tcPr>
          <w:p>
            <w:pPr>
              <w:jc w:val="right"/>
              <w:ind w:right="4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5"/>
          </w:tcPr>
          <w:p>
            <w:pPr>
              <w:jc w:val="right"/>
              <w:ind w:right="135"/>
              <w:spacing w:after="0"/>
              <w:rPr>
                <w:sz w:val="20"/>
                <w:szCs w:val="20"/>
                <w:color w:val="auto"/>
              </w:rPr>
            </w:pPr>
            <w:r>
              <w:rPr>
                <w:rFonts w:ascii="Arial" w:cs="Arial" w:eastAsia="Arial" w:hAnsi="Arial"/>
                <w:sz w:val="16"/>
                <w:szCs w:val="16"/>
                <w:b w:val="1"/>
                <w:bCs w:val="1"/>
                <w:color w:val="auto"/>
              </w:rPr>
              <w:t>(in millions, except percentages)</w:t>
            </w: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440"/>
              <w:spacing w:after="0"/>
              <w:rPr>
                <w:sz w:val="20"/>
                <w:szCs w:val="20"/>
                <w:color w:val="auto"/>
              </w:rPr>
            </w:pPr>
            <w:r>
              <w:rPr>
                <w:rFonts w:ascii="Arial" w:cs="Arial" w:eastAsia="Arial" w:hAnsi="Arial"/>
                <w:sz w:val="18"/>
                <w:szCs w:val="18"/>
                <w:color w:val="auto"/>
              </w:rPr>
              <w:t>Product</w:t>
            </w:r>
          </w:p>
        </w:tc>
        <w:tc>
          <w:tcPr>
            <w:tcW w:w="1220" w:type="dxa"/>
            <w:vAlign w:val="bottom"/>
          </w:tcPr>
          <w:p>
            <w:pPr>
              <w:jc w:val="right"/>
              <w:ind w:right="10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160.7</w:t>
            </w:r>
          </w:p>
        </w:tc>
        <w:tc>
          <w:tcPr>
            <w:tcW w:w="1540" w:type="dxa"/>
            <w:vAlign w:val="bottom"/>
            <w:gridSpan w:val="3"/>
          </w:tcPr>
          <w:p>
            <w:pPr>
              <w:jc w:val="right"/>
              <w:ind w:right="103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152.9</w:t>
            </w:r>
          </w:p>
        </w:tc>
        <w:tc>
          <w:tcPr>
            <w:tcW w:w="1540" w:type="dxa"/>
            <w:vAlign w:val="bottom"/>
            <w:gridSpan w:val="3"/>
          </w:tcPr>
          <w:p>
            <w:pPr>
              <w:jc w:val="right"/>
              <w:ind w:right="1055"/>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103.1</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1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r>
      <w:tr>
        <w:trPr>
          <w:trHeight w:val="263"/>
        </w:trPr>
        <w:tc>
          <w:tcPr>
            <w:tcW w:w="34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2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263.8</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241.3</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22.5</w:t>
            </w:r>
          </w:p>
        </w:tc>
        <w:tc>
          <w:tcPr>
            <w:tcW w:w="19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r>
      <w:tr>
        <w:trPr>
          <w:trHeight w:val="21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r>
      <w:tr>
        <w:trPr>
          <w:trHeight w:val="243"/>
        </w:trPr>
        <w:tc>
          <w:tcPr>
            <w:tcW w:w="3440" w:type="dxa"/>
            <w:vAlign w:val="bottom"/>
          </w:tcPr>
          <w:p>
            <w:pPr>
              <w:ind w:left="440"/>
              <w:spacing w:after="0"/>
              <w:rPr>
                <w:sz w:val="20"/>
                <w:szCs w:val="20"/>
                <w:color w:val="auto"/>
              </w:rPr>
            </w:pPr>
            <w:r>
              <w:rPr>
                <w:rFonts w:ascii="Arial" w:cs="Arial" w:eastAsia="Arial" w:hAnsi="Arial"/>
                <w:sz w:val="18"/>
                <w:szCs w:val="18"/>
                <w:color w:val="auto"/>
              </w:rPr>
              <w:t>Product</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Total gross margin</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3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gross margin increased by 2.2 percentage points during the six months ended June 30, 2020 compared to the same period last year, driven by improvements to both product and service gross margins.</w:t>
      </w:r>
    </w:p>
    <w:p>
      <w:pPr>
        <w:spacing w:after="0" w:line="197" w:lineRule="exact"/>
        <w:rPr>
          <w:sz w:val="20"/>
          <w:szCs w:val="20"/>
          <w:color w:val="auto"/>
        </w:rPr>
      </w:pPr>
    </w:p>
    <w:p>
      <w:pPr>
        <w:jc w:val="both"/>
        <w:ind w:right="500" w:firstLine="648"/>
        <w:spacing w:after="0" w:line="311" w:lineRule="auto"/>
        <w:rPr>
          <w:sz w:val="20"/>
          <w:szCs w:val="20"/>
          <w:color w:val="auto"/>
        </w:rPr>
      </w:pPr>
      <w:r>
        <w:rPr>
          <w:rFonts w:ascii="Arial" w:cs="Arial" w:eastAsia="Arial" w:hAnsi="Arial"/>
          <w:sz w:val="16"/>
          <w:szCs w:val="16"/>
          <w:color w:val="auto"/>
        </w:rPr>
        <w:t>Product gross margin increased by 3.6 percentage points during the six months ended June 30, 2020 compared to the same period last year. Product gross margin benefited from increased software sales and lower direct costs of hardware as a percentage of product revenue. Cost of product revenue was comprised primarily of third-party contract manufacturers’ costs and the costs of materials used in production.</w:t>
      </w:r>
    </w:p>
    <w:p>
      <w:pPr>
        <w:spacing w:after="0" w:line="17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Service gross margin increased by 0.7 percentage points during the six months ended June 30, 2020 compared to the same period last year, as our personnel costs grew more slowly than our service revenue and we experienced lower costs to replace and repair our products. Cost of service revenue was comprised primarily of personnel costs.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ind w:left="360"/>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 of</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8"/>
                <w:szCs w:val="18"/>
                <w:color w:val="auto"/>
              </w:rPr>
            </w:pPr>
          </w:p>
        </w:tc>
        <w:tc>
          <w:tcPr>
            <w:tcW w:w="142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(in millions, except percentages)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26.4</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173"/>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IP matter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8"/>
                <w:szCs w:val="18"/>
                <w:color w:val="auto"/>
                <w:w w:val="88"/>
              </w:rPr>
              <w:t>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68.8</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Not meaningful</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Research and development expense increased by $26.4 million, or 19%, during the six months ended June 30, 2020 compared to the same period last year, primarily due to an increase of $23.6 million in personnel-related costs as a result of increased headcount to support the development of new products, continued enhancements to our existing products and patent creation. We currently intend to continue to invest in our research and development organization, and expect research and development expense to remain at or increase in absolute dollars during the remainder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Sales and marketing expense increased by $71.4 million, or 16%, during the six months ended June 30, 2020 compared to the same period last year, primarily due to an increase of $78.3 million in personnel-related costs as a result of increases to sales and marketing headcount in order to drive global market share gains. This increase was offset by savings related to decreased travel and fewer in-person marketing events as a result of the COVID-19 pandemic. We currently intend to continue to make investments in our sales resources and infrastructure and marketing strategy, which are critical to support our future growth, and expect sales and marketing expense to remain at or increase in absolute dollars during the remainder of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General and administrative expense increased by $8.9 million, or 18%, during the six months ended June 30, 2020 compared to the same period last year, primarily due to an increase in personnel-related costs of $5.6 million and an increase in the provision for expected credit losses of $1.1 million. We currently expect general and administrative expense to remain at or increase in absolute dollars during the remainder of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six months ended June 30, 2020, we recorded $36.0 million upfront and an additional $1.9 million in amortization of the deferred component as a gain on IP matter in our condensed consolidated statements of income. See Note 10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generated operating income of $232.6 million during the six months ended June 30, 2020, an increase of $106.8 million, or 85%, compared to $125.8 million in the same period last year. Operating income as a percentage of revenue increased to 20% during the six months ended June 30, 2020 compared to 13% in the same period last year. The increase in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margin is primarily due to the $37.9 million gain on IP matter, the 2.2 percentage point improvement in gross margin and the 1.4 percentage point decrease in sales and marketing expense as a percentage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Six Months Ended</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center"/>
              <w:ind w:right="515"/>
              <w:spacing w:after="0"/>
              <w:rPr>
                <w:sz w:val="20"/>
                <w:szCs w:val="20"/>
                <w:color w:val="auto"/>
              </w:rPr>
            </w:pPr>
            <w:r>
              <w:rPr>
                <w:rFonts w:ascii="Arial" w:cs="Arial" w:eastAsia="Arial" w:hAnsi="Arial"/>
                <w:sz w:val="16"/>
                <w:szCs w:val="16"/>
                <w:b w:val="1"/>
                <w:bCs w:val="1"/>
                <w:color w:val="auto"/>
                <w:w w:val="87"/>
              </w:rPr>
              <w:t>June 30,</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ind w:right="655"/>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720" w:type="dxa"/>
            <w:vAlign w:val="bottom"/>
          </w:tcPr>
          <w:p>
            <w:pPr>
              <w:jc w:val="right"/>
              <w:ind w:right="83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w w:val="95"/>
              </w:rPr>
              <w:t>(in millions, except percentages)</w:t>
            </w:r>
          </w:p>
        </w:tc>
        <w:tc>
          <w:tcPr>
            <w:tcW w:w="170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income—net</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13.2</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21.2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Other income (expense)—net</w:t>
            </w:r>
          </w:p>
        </w:tc>
        <w:tc>
          <w:tcPr>
            <w:tcW w:w="1200" w:type="dxa"/>
            <w:vAlign w:val="bottom"/>
          </w:tcPr>
          <w:p>
            <w:pPr>
              <w:jc w:val="right"/>
              <w:ind w:right="1015"/>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40"/>
              <w:spacing w:after="0"/>
              <w:rPr>
                <w:sz w:val="20"/>
                <w:szCs w:val="20"/>
                <w:color w:val="auto"/>
              </w:rPr>
            </w:pPr>
            <w:r>
              <w:rPr>
                <w:rFonts w:ascii="Arial" w:cs="Arial" w:eastAsia="Arial" w:hAnsi="Arial"/>
                <w:sz w:val="18"/>
                <w:szCs w:val="18"/>
                <w:color w:val="auto"/>
              </w:rPr>
              <w:t>(7.1)</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ind w:left="760"/>
              <w:spacing w:after="0"/>
              <w:rPr>
                <w:sz w:val="20"/>
                <w:szCs w:val="20"/>
                <w:color w:val="auto"/>
              </w:rPr>
            </w:pPr>
            <w:r>
              <w:rPr>
                <w:rFonts w:ascii="Arial" w:cs="Arial" w:eastAsia="Arial" w:hAnsi="Arial"/>
                <w:sz w:val="18"/>
                <w:szCs w:val="18"/>
                <w:color w:val="auto"/>
              </w:rPr>
              <w:t>(0.9)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93"/>
              <w:spacing w:after="0"/>
              <w:rPr>
                <w:sz w:val="20"/>
                <w:szCs w:val="20"/>
                <w:color w:val="auto"/>
              </w:rPr>
            </w:pPr>
            <w:r>
              <w:rPr>
                <w:rFonts w:ascii="Arial" w:cs="Arial" w:eastAsia="Arial" w:hAnsi="Arial"/>
                <w:sz w:val="18"/>
                <w:szCs w:val="18"/>
                <w:color w:val="auto"/>
              </w:rPr>
              <w:t>(6.2)</w:t>
            </w:r>
          </w:p>
        </w:tc>
        <w:tc>
          <w:tcPr>
            <w:tcW w:w="1700" w:type="dxa"/>
            <w:vAlign w:val="bottom"/>
          </w:tcPr>
          <w:p>
            <w:pPr>
              <w:jc w:val="right"/>
              <w:spacing w:after="0"/>
              <w:rPr>
                <w:sz w:val="20"/>
                <w:szCs w:val="20"/>
                <w:color w:val="auto"/>
              </w:rPr>
            </w:pPr>
            <w:r>
              <w:rPr>
                <w:rFonts w:ascii="Arial" w:cs="Arial" w:eastAsia="Arial" w:hAnsi="Arial"/>
                <w:sz w:val="18"/>
                <w:szCs w:val="18"/>
                <w:color w:val="auto"/>
              </w:rPr>
              <w:t>689 %</w:t>
            </w:r>
          </w:p>
        </w:tc>
      </w:tr>
    </w:tbl>
    <w:p>
      <w:pPr>
        <w:spacing w:after="0" w:line="33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Interest income—net decreased during the six months ended June 30, 2020 compared to the same period last year, primarily due to lower interest rates and lower invested balances of cash, cash equivalents and investments. The lower cash, cash equivalents and investments were mainly due to our repurchases of common stock under the Repurchase Program during the past twelve months. Interest income—net varies depending on our average investment balances during the period, types and mix of investments, and market interest rates. The change in other income (expense)—net during the six months ended June 30, 2020 compared to the same period last year was the result of a $4.3 million impairment charge on an investment in a privately held company during the first quarter of 2020. In addition, foreign currency exchange losses increased by $2.4 million compared to the same period last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40" w:type="dxa"/>
            <w:vAlign w:val="bottom"/>
            <w:gridSpan w:val="2"/>
          </w:tcPr>
          <w:p>
            <w:pPr>
              <w:jc w:val="right"/>
              <w:ind w:right="575"/>
              <w:spacing w:after="0"/>
              <w:rPr>
                <w:sz w:val="20"/>
                <w:szCs w:val="20"/>
                <w:color w:val="auto"/>
              </w:rPr>
            </w:pPr>
            <w:r>
              <w:rPr>
                <w:rFonts w:ascii="Arial" w:cs="Arial" w:eastAsia="Arial" w:hAnsi="Arial"/>
                <w:sz w:val="16"/>
                <w:szCs w:val="16"/>
                <w:b w:val="1"/>
                <w:bCs w:val="1"/>
                <w:color w:val="auto"/>
                <w:w w:val="90"/>
              </w:rPr>
              <w:t>Six Months Ended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220" w:type="dxa"/>
            <w:vAlign w:val="bottom"/>
          </w:tcPr>
          <w:p>
            <w:pPr>
              <w:jc w:val="center"/>
              <w:ind w:left="516"/>
              <w:spacing w:after="0"/>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220" w:type="dxa"/>
            <w:vAlign w:val="bottom"/>
          </w:tcPr>
          <w:p>
            <w:pPr>
              <w:jc w:val="right"/>
              <w:ind w:right="76"/>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60" w:type="dxa"/>
            <w:vAlign w:val="bottom"/>
          </w:tcPr>
          <w:p>
            <w:pPr>
              <w:spacing w:after="0"/>
              <w:rPr>
                <w:sz w:val="18"/>
                <w:szCs w:val="18"/>
                <w:color w:val="auto"/>
              </w:rPr>
            </w:pPr>
          </w:p>
        </w:tc>
        <w:tc>
          <w:tcPr>
            <w:tcW w:w="1680" w:type="dxa"/>
            <w:vAlign w:val="bottom"/>
          </w:tcPr>
          <w:p>
            <w:pPr>
              <w:jc w:val="right"/>
              <w:ind w:right="475"/>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4"/>
          </w:tcPr>
          <w:p>
            <w:pPr>
              <w:ind w:left="1060"/>
              <w:spacing w:after="0"/>
              <w:rPr>
                <w:sz w:val="20"/>
                <w:szCs w:val="20"/>
                <w:color w:val="auto"/>
              </w:rPr>
            </w:pPr>
            <w:r>
              <w:rPr>
                <w:rFonts w:ascii="Arial" w:cs="Arial" w:eastAsia="Arial" w:hAnsi="Arial"/>
                <w:sz w:val="16"/>
                <w:szCs w:val="16"/>
                <w:b w:val="1"/>
                <w:bCs w:val="1"/>
                <w:color w:val="auto"/>
                <w:w w:val="97"/>
              </w:rPr>
              <w:t>(in millions, except percentages)</w:t>
            </w: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22.6</w:t>
            </w:r>
          </w:p>
        </w:tc>
        <w:tc>
          <w:tcPr>
            <w:tcW w:w="15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14.6</w:t>
            </w:r>
          </w:p>
        </w:tc>
        <w:tc>
          <w:tcPr>
            <w:tcW w:w="1560" w:type="dxa"/>
            <w:vAlign w:val="bottom"/>
            <w:tcBorders>
              <w:bottom w:val="single" w:sz="8" w:color="CCEEFF"/>
            </w:tcBorders>
            <w:gridSpan w:val="2"/>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1275"/>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350"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Our effective tax rate was 9% for the six months ended June 30, 2020 compared to an effective tax rate of 10% for the same period last year. The provision for income taxes for the six months ended June 30, 2020 was primarily comprised of U.S. federal and state taxes, withholding taxes and foreign taxes that were $56.5 million, which included a tax benefit of $9.6 million from the foreign-derived intangible income deduction. This tax provision for income taxes was favorably affected by excess tax benefits from stock-based compensation expense of $25.2 million and release of reserves of $8.7 million on uncertain tax positions and the interest due to the expiration of the statute of limitations.</w:t>
      </w:r>
    </w:p>
    <w:p>
      <w:pPr>
        <w:spacing w:after="0" w:line="20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provision for income taxes for the six months ended June 30, 2019 was comprised of U.S. federal and state taxes, withholding taxes, and foreign taxes that were $42.0 million, which were offset by excess tax benefits from stock-based compensation expense of $27.7 million and release of reserves of $10.0 million on uncertain tax positions and the interest due to the expiration of the statute of limitations. This tax provision for income taxes was further impacted by an increase in tax expense of $10.3 million for an unrecognized tax benefit related to the Ninth Circuit’s Altera decision, regarding stock-based compensation expense in cost sharing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center"/>
              <w:ind w:left="935"/>
              <w:spacing w:after="0"/>
              <w:rPr>
                <w:sz w:val="20"/>
                <w:szCs w:val="20"/>
                <w:color w:val="auto"/>
              </w:rPr>
            </w:pPr>
            <w:r>
              <w:rPr>
                <w:rFonts w:ascii="Arial" w:cs="Arial" w:eastAsia="Arial" w:hAnsi="Arial"/>
                <w:sz w:val="16"/>
                <w:szCs w:val="16"/>
                <w:b w:val="1"/>
                <w:bCs w:val="1"/>
                <w:color w:val="auto"/>
                <w:w w:val="89"/>
              </w:rPr>
              <w:t>As of</w:t>
            </w:r>
          </w:p>
        </w:tc>
        <w:tc>
          <w:tcPr>
            <w:tcW w:w="1300" w:type="dxa"/>
            <w:vAlign w:val="bottom"/>
          </w:tcPr>
          <w:p>
            <w:pPr>
              <w:spacing w:after="0"/>
              <w:rPr>
                <w:sz w:val="18"/>
                <w:szCs w:val="18"/>
                <w:color w:val="auto"/>
              </w:rPr>
            </w:pPr>
          </w:p>
        </w:tc>
      </w:tr>
      <w:tr>
        <w:trPr>
          <w:trHeight w:val="33"/>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center"/>
              <w:ind w:right="2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1,222.5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987.4</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1,627.3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2,209.9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0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1,295.4</w:t>
            </w:r>
          </w:p>
        </w:tc>
      </w:tr>
      <w:tr>
        <w:trPr>
          <w:trHeight w:val="21"/>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447"/>
        </w:trPr>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4"/>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center"/>
              <w:ind w:right="2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396.4</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(375.6)</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w:t>
            </w:r>
          </w:p>
        </w:tc>
      </w:tr>
      <w:tr>
        <w:trPr>
          <w:trHeight w:val="21"/>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proceeds associated with stock option exercises, issuances of common stock under our the Amended and Restated Fortinet, Inc. 2009 Equity Incentive Plan (the “Amended Plan”) and payment of taxes in connection with the net settlement of equity awards, real estate and other capital expenditures and business acquisitions.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recent years, we have received significant capital resources from our billings to customers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During the six months ended June 30, 2020, we repurchased $1.05 billion in shares of our common stock under the Repurchase Program. As of August 6, 2020, $1.05 billion remained available for future share repurchases under the Repurchase Program.</w:t>
      </w:r>
    </w:p>
    <w:p>
      <w:pPr>
        <w:spacing w:after="0" w:line="19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Construction of a second building at our headquarters campus started in the fourth quarter of 2018 and related spending will continue in 2020 and until project completion. We estimate 2020 spending on the headquarters campus project to be between $100.0 million and $110.0 million dollars. The COVID-19 pandemic has resulted in a delay to the project schedule. We now estimate construction to be completed in early 2021.</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2020, our cash, cash equivalents and investments of $1.63 billion were invested primarily in deposit accounts, money market funds, corporate debt securities, commercial paper, certificates of deposit and term deposits and U.S. government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$113.6 million as of June 30, 2020 and $109.3 million as of December 31, 2019.</w:t>
      </w:r>
    </w:p>
    <w:p>
      <w:pPr>
        <w:spacing w:after="0" w:line="19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timing and extent of spending to support development efforts, the expansion of sales and</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marketing activities, the introduction of new and enhanced products and services offerings, the continuing market acceptance of our products,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accounts receivable, inventory and prepaid expenses and other current assets.</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operating activities during the six months ended June 30, 2020 provided $566.4 million in cash as a result of the continued growth of our business and our ability to successfully manage our working capital. Changes in operating assets and liabilities primarily resulted from an increase in sales of our FortiGuard and other security subscription and FortiCare technical support services to new and existing customers, as reflected by an increase in our deferred revenue, and proceeds from the mutual covenant-not-to-sue and release agreement. Our total deferred revenue balance grew $186.9 million, or 9%, during the six months ended June 30,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six months ended June 30, 2020, cash provided by investing activities was $216.8 million, primarily driven by $278.8 million in cash proceeds from maturities and sales of investments, net of purchases of investments, and partially offset by $58.5 million of purchases of property and equipment, a large portion of which relates to our headquarters building construction.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97"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During the six months ended June 30, 2020, cash used in financing activities was $1.09 billion, primarily driven by $1.05 billion used to repurchase shares of our common stock and $43.2 million used to pay tax withholding, net of proceeds from the issuance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ind w:right="160" w:firstLine="357"/>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six months ended June 30, 2020 to the contractual obligations and commitments disclosed in Management’s Discussion and Analysis of Financial Condition and Results of Operations, set forth in Part II, Item 7, of the Form 10-K. See Note 11 of the notes to condensed consolidated financial statements included in Part I, Item 1 of this Quarterly Report on Form 10-Q for additional information regarding contractual obligations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2020 compared to the disclosures in Part II, Item 7A of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2020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six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52"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and may be impacted by the COVID-19 pandemic in ways that we are not able to foresee;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of channel partner and end-customer orders, and our reliance on a concentration of shipments at the end of each quarter;</w:t>
      </w:r>
    </w:p>
    <w:p>
      <w:pPr>
        <w:spacing w:after="0" w:line="275" w:lineRule="exact"/>
        <w:rPr>
          <w:rFonts w:ascii="Arial" w:cs="Arial" w:eastAsia="Arial" w:hAnsi="Arial"/>
          <w:sz w:val="16"/>
          <w:szCs w:val="16"/>
          <w:color w:val="auto"/>
        </w:rPr>
      </w:pPr>
    </w:p>
    <w:p>
      <w:pPr>
        <w:ind w:left="1300" w:right="8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170"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52"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component and product inventory shortages, including those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3"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97"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fires,</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00"/>
        <w:spacing w:after="0" w:line="308" w:lineRule="auto"/>
        <w:rPr>
          <w:sz w:val="20"/>
          <w:szCs w:val="20"/>
          <w:color w:val="auto"/>
        </w:rPr>
      </w:pPr>
      <w:r>
        <w:rPr>
          <w:rFonts w:ascii="Arial" w:cs="Arial" w:eastAsia="Arial" w:hAnsi="Arial"/>
          <w:sz w:val="17"/>
          <w:szCs w:val="17"/>
          <w:color w:val="auto"/>
        </w:rPr>
        <w:t>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73" w:lineRule="exact"/>
        <w:rPr>
          <w:sz w:val="20"/>
          <w:szCs w:val="20"/>
          <w:color w:val="auto"/>
        </w:rPr>
      </w:pPr>
    </w:p>
    <w:p>
      <w:pPr>
        <w:ind w:left="1300" w:right="1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20" w:hanging="644"/>
        <w:spacing w:after="0" w:line="259"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13" w:lineRule="exact"/>
        <w:rPr>
          <w:rFonts w:ascii="Arial" w:cs="Arial" w:eastAsia="Arial" w:hAnsi="Arial"/>
          <w:sz w:val="18"/>
          <w:szCs w:val="18"/>
          <w:color w:val="auto"/>
        </w:rPr>
      </w:pPr>
    </w:p>
    <w:p>
      <w:pPr>
        <w:jc w:val="both"/>
        <w:ind w:left="1300" w:right="20" w:hanging="644"/>
        <w:spacing w:after="0" w:line="263"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software defined wide area network (“SD-WAN”), infrastructure security, cloud security and endpoint protection, IoT and OT security opportunities;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52" w:lineRule="exact"/>
        <w:rPr>
          <w:rFonts w:ascii="Arial" w:cs="Arial" w:eastAsia="Arial" w:hAnsi="Arial"/>
          <w:sz w:val="18"/>
          <w:szCs w:val="18"/>
          <w:color w:val="auto"/>
        </w:rPr>
      </w:pPr>
    </w:p>
    <w:p>
      <w:pPr>
        <w:ind w:left="1300" w:right="12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of revenue recognition for our sales, including any impacts resulting from extension of payment terms to distributors;</w:t>
      </w:r>
    </w:p>
    <w:p>
      <w:pPr>
        <w:spacing w:after="0" w:line="223"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52"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70" w:lineRule="exact"/>
        <w:rPr>
          <w:rFonts w:ascii="Arial" w:cs="Arial" w:eastAsia="Arial" w:hAnsi="Arial"/>
          <w:sz w:val="18"/>
          <w:szCs w:val="18"/>
          <w:color w:val="auto"/>
        </w:rPr>
      </w:pPr>
    </w:p>
    <w:p>
      <w:pPr>
        <w:ind w:left="1300" w:right="280" w:hanging="644"/>
        <w:spacing w:after="0" w:line="308"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2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80" w:hanging="644"/>
        <w:spacing w:after="0" w:line="311" w:lineRule="auto"/>
        <w:tabs>
          <w:tab w:leader="none" w:pos="12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5" w:lineRule="exact"/>
        <w:rPr>
          <w:rFonts w:ascii="Arial" w:cs="Arial" w:eastAsia="Arial" w:hAnsi="Arial"/>
          <w:sz w:val="16"/>
          <w:szCs w:val="16"/>
          <w:color w:val="auto"/>
        </w:rPr>
      </w:pPr>
    </w:p>
    <w:p>
      <w:pPr>
        <w:ind w:left="1300" w:right="48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 with service providers and distributors;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52" w:lineRule="exact"/>
        <w:rPr>
          <w:rFonts w:ascii="Arial" w:cs="Arial" w:eastAsia="Arial" w:hAnsi="Arial"/>
          <w:sz w:val="18"/>
          <w:szCs w:val="18"/>
          <w:color w:val="auto"/>
        </w:rPr>
      </w:pPr>
    </w:p>
    <w:p>
      <w:pPr>
        <w:ind w:left="1300" w:right="120" w:hanging="644"/>
        <w:spacing w:after="0" w:line="308"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308"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right="14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6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The COVID-19 pandemic has negatively impacted the global economy, disrupted global supply chains and demand for certain solutions and created significant volatility in, and disruption of, global financial markets. The extent of the future impact of the COVID-19 pandemic on our operational and financial performance, including on demand for our products and services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 customers,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2020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31% of our total net accounts receivable as of June 30, 2020.</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98" w:lineRule="exact"/>
        <w:rPr>
          <w:sz w:val="20"/>
          <w:szCs w:val="20"/>
          <w:color w:val="auto"/>
        </w:rPr>
      </w:pPr>
    </w:p>
    <w:p>
      <w:pPr>
        <w:ind w:right="200" w:firstLine="648"/>
        <w:spacing w:after="0" w:line="274" w:lineRule="auto"/>
        <w:rPr>
          <w:sz w:val="20"/>
          <w:szCs w:val="20"/>
          <w:color w:val="auto"/>
        </w:rPr>
      </w:pPr>
      <w:r>
        <w:rPr>
          <w:rFonts w:ascii="Arial" w:cs="Arial" w:eastAsia="Arial" w:hAnsi="Arial"/>
          <w:sz w:val="16"/>
          <w:szCs w:val="16"/>
          <w:color w:val="auto"/>
        </w:rPr>
        <w:t>Exclusive Networks Group (“Exclusive”) and Ingram Micro, Inc. (“Ingram Micro”) accounted for 31% and 11% of our total net accounts receivable as of June 30, 2020, respectively. During the three and six months ended June 30, 2020, Exclusive accounted for 31% of our total revenue. During the three months ended June 30, 2019, Exclusive and Ingram Micro accounted for 31% and 11% of our total revenue, respectively. During the six months ended June 30, 2019, Exclusive and Ingram Micro accounted for 31% and 11% of our total revenue, respectively. In addition to other risks associated with the concentration of accounts receivable and revenue from these distributors, Exclusive is a private entity and we may not have sufficient information to assess its financial condition and, accordingly, if Exclusive were to experience financial difficulties, we might not have advance notice. Additionally, Exclusive may face liquidity risk as a private equity-backed company, which may harm our ability to collect on our accounts receivable.</w:t>
      </w:r>
    </w:p>
    <w:p>
      <w:pPr>
        <w:spacing w:after="0" w:line="19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that existing channel partners will continue to perform. The loss of one or more of our significant channel partners or the failure to obtain and ship a number of large orders each quarter through them could harm our operating results.</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224" w:lineRule="exact"/>
        <w:rPr>
          <w:rFonts w:ascii="Arial" w:cs="Arial" w:eastAsia="Arial" w:hAnsi="Arial"/>
          <w:sz w:val="18"/>
          <w:szCs w:val="18"/>
          <w:color w:val="auto"/>
        </w:rPr>
      </w:pPr>
    </w:p>
    <w:p>
      <w:pPr>
        <w:ind w:left="1300" w:right="180" w:hanging="644"/>
        <w:spacing w:after="0" w:line="232" w:lineRule="auto"/>
        <w:tabs>
          <w:tab w:leader="none" w:pos="1295" w:val="left"/>
        </w:tabs>
        <w:numPr>
          <w:ilvl w:val="0"/>
          <w:numId w:val="16"/>
        </w:numPr>
        <w:rPr>
          <w:rFonts w:ascii="Arial" w:cs="Arial" w:eastAsia="Arial" w:hAnsi="Arial"/>
          <w:sz w:val="22"/>
          <w:szCs w:val="22"/>
          <w:color w:val="auto"/>
        </w:rPr>
      </w:pPr>
      <w:r>
        <w:rPr>
          <w:rFonts w:ascii="Arial" w:cs="Arial" w:eastAsia="Arial" w:hAnsi="Arial"/>
          <w:sz w:val="18"/>
          <w:szCs w:val="18"/>
          <w:color w:val="auto"/>
        </w:rPr>
        <w:t>disruption in manufacturing or shipping based on power outages, system failures, labor disputes, natural disasters or widespread public health problems including pandemics and epidemics such as the COVID-19 pandemic;</w:t>
      </w:r>
    </w:p>
    <w:p>
      <w:pPr>
        <w:spacing w:after="0" w:line="216" w:lineRule="exact"/>
        <w:rPr>
          <w:rFonts w:ascii="Arial" w:cs="Arial" w:eastAsia="Arial" w:hAnsi="Arial"/>
          <w:sz w:val="22"/>
          <w:szCs w:val="22"/>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97" w:lineRule="exact"/>
        <w:rPr>
          <w:rFonts w:ascii="Arial" w:cs="Arial" w:eastAsia="Arial" w:hAnsi="Arial"/>
          <w:sz w:val="18"/>
          <w:szCs w:val="18"/>
          <w:color w:val="auto"/>
        </w:rPr>
      </w:pPr>
    </w:p>
    <w:p>
      <w:pPr>
        <w:ind w:left="1300" w:hanging="644"/>
        <w:spacing w:after="0" w:line="301"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84" w:lineRule="exact"/>
        <w:rPr>
          <w:rFonts w:ascii="Arial" w:cs="Arial" w:eastAsia="Arial" w:hAnsi="Arial"/>
          <w:sz w:val="16"/>
          <w:szCs w:val="16"/>
          <w:color w:val="auto"/>
        </w:rPr>
      </w:pPr>
    </w:p>
    <w:p>
      <w:pPr>
        <w:ind w:left="1300" w:right="20" w:hanging="644"/>
        <w:spacing w:after="0" w:line="259"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8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0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selling to these customers. Sales to these organizations involve risks that may not be present, or that are present to a lesser extent, with sales to smaller entities. These risks include:</w:t>
      </w:r>
    </w:p>
    <w:p>
      <w:pPr>
        <w:spacing w:after="0" w:line="197" w:lineRule="exact"/>
        <w:rPr>
          <w:sz w:val="20"/>
          <w:szCs w:val="20"/>
          <w:color w:val="auto"/>
        </w:rPr>
      </w:pPr>
    </w:p>
    <w:p>
      <w:pPr>
        <w:ind w:left="1300" w:right="24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40" w:hanging="644"/>
        <w:spacing w:after="0" w:line="263"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8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increases for any reason, inventory shortfalls could result. If we cannot manufacture and ship our products due to, for example, natural disasters and health emergencies such as earthquakes, fires, power outages, typhoons, floods,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order to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20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9" w:lineRule="exact"/>
        <w:rPr>
          <w:sz w:val="20"/>
          <w:szCs w:val="20"/>
          <w:color w:val="auto"/>
        </w:rPr>
      </w:pPr>
    </w:p>
    <w:p>
      <w:pPr>
        <w:jc w:val="both"/>
        <w:ind w:right="24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53"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attempts to overload our servers with denial-of-service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and our customers’ networks, we cannot guarantee that our security products, processes and services will prevent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2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and other security subscription or FortiCare updates or our FortiGate appliances and operating systems could result in a failure of our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FortiGuard and other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6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12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9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1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9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1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ASICs, our business would be harmed.</w:t>
      </w:r>
    </w:p>
    <w:p>
      <w:pPr>
        <w:spacing w:after="0" w:line="24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7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7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Brazilian real,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5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our solutions to the U.S. government, whether directly or through channel partners, also subjects us to certain regulatory and contractual requirements and risks. Failure to comply with these requirements by either us or our channel partners could subject us to investigations, fines, suspension or debarment from doing business with the U.S. government or one of its divisions, and other penalties and damages,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election year instability in the United States, continued uncertainty surrounding the United Kingdom’s departure from the EU and trade disputes and tariffs, may negatively impact markets and cause weaker macro-economic conditions. The effects of these events may continue due to potential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U.S. government shutdowns and developments resulting from the 2020 presidential election, instability in the United Kingdom and the EU as negotiations for the terms of Brexit continue, with the ultimate outcome still uncertain, and the United States’ ongoing trade disputes with China and other countries. The continuing effect of any or all of these events could adversely impact demand for our products, harm our operations and weaken our financial results.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6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during 2018 and 2019 the United States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could result in increased costs. Any decreased use of our products or limitation on our ability to export or sell our products would likely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As part of the Circular Economy Action Plan, the European Commission amended the EU Waste Framework Directive (“WFD”) to include a number of measures related to waste prevention and recycling. Starting on January 5, 2021, we will be responsible for submitting product data to a database of hazardous substances known as the </w:t>
      </w:r>
      <w:r>
        <w:rPr>
          <w:rFonts w:ascii="Arial" w:cs="Arial" w:eastAsia="Arial" w:hAnsi="Arial"/>
          <w:sz w:val="18"/>
          <w:szCs w:val="18"/>
          <w:i w:val="1"/>
          <w:iCs w:val="1"/>
          <w:color w:val="auto"/>
        </w:rPr>
        <w:t>Substances of Concern In articles, as such and in complex objects (Products)</w:t>
      </w:r>
      <w:r>
        <w:rPr>
          <w:rFonts w:ascii="Arial" w:cs="Arial" w:eastAsia="Arial" w:hAnsi="Arial"/>
          <w:sz w:val="18"/>
          <w:szCs w:val="18"/>
          <w:color w:val="auto"/>
        </w:rPr>
        <w:t xml:space="preserve"> database (the “SCIP database”). The SCIP database was established under the WFD and will be managed by the European Chemicals Agency. We expect to incur costs in order to comply with this new requirement.</w:t>
      </w:r>
    </w:p>
    <w:p>
      <w:pPr>
        <w:spacing w:after="0" w:line="216"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60" w:hanging="644"/>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0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37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acquire and integrate other businesses, products or technologies could seriously harm our competitive position.</w:t>
      </w:r>
    </w:p>
    <w:p>
      <w:pPr>
        <w:spacing w:after="0" w:line="275"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IP, such as patents. For example, we closed our acquisitions of enSilo and CyberSponse in the fourth quarter of 2019, and we acquired OPAQ Networks, Inc. in July 2020. For any possible future acquisitions, we may not be successful in negotiating the terms of the acquisition or financing the acquisition.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IP could significantly divert management time and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22"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2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0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We face many competitors across the different cybersecurity markets. Our competitors include companies such as Barracuda,</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Check Point, Cisco, CrowdStrike, F5 Networks, FireEye, Forcepoint, Imperva, Juniper, McAfee, Palo Alto Networks, Proofpoint, SonicWALL, Sophos, Trend Micro and Zscaler.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2019, our internal controls over financial reporting were effective, we cannot predict the outcome of our testing in 2020 or future periods. We may incur additional expenses and commitment of management’s time in connection with further evaluations, both of which could materially increase our operating expenses and accordingly reduce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lease standard is principles based and interpretation of those principles may vary from company to company based on their unique circumstances. Management will continue to make judgments and assumptions based on our interpretation of the new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the six months ended June 30, 2020, the closing price of our common stock ranged from $75.70 to $145.62 per share.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Share repurchases under our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August 6, 2020, $1.05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19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June 30, 2020 (in millions, except per share amounts):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Announced Plan or Program</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14"/>
        </w:trPr>
        <w:tc>
          <w:tcPr>
            <w:tcW w:w="39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19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Paid per Share</w:t>
            </w:r>
          </w:p>
        </w:tc>
        <w:tc>
          <w:tcPr>
            <w:tcW w:w="100" w:type="dxa"/>
            <w:vAlign w:val="bottom"/>
            <w:vMerge w:val="restart"/>
          </w:tcPr>
          <w:p>
            <w:pPr>
              <w:spacing w:after="0"/>
              <w:rPr>
                <w:sz w:val="9"/>
                <w:szCs w:val="9"/>
                <w:color w:val="auto"/>
              </w:rPr>
            </w:pPr>
          </w:p>
        </w:tc>
        <w:tc>
          <w:tcPr>
            <w:tcW w:w="1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 April 30, 2020</w:t>
            </w:r>
          </w:p>
        </w:tc>
        <w:tc>
          <w:tcPr>
            <w:tcW w:w="1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May 1 - May 31, 2020</w:t>
            </w:r>
          </w:p>
        </w:tc>
        <w:tc>
          <w:tcPr>
            <w:tcW w:w="19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7"/>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 June 30, 2020</w:t>
            </w:r>
          </w:p>
        </w:tc>
        <w:tc>
          <w:tcPr>
            <w:tcW w:w="1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63"/>
        </w:trPr>
        <w:tc>
          <w:tcPr>
            <w:tcW w:w="4020" w:type="dxa"/>
            <w:vAlign w:val="bottom"/>
            <w:gridSpan w:val="2"/>
          </w:tcPr>
          <w:p>
            <w:pPr>
              <w:ind w:left="176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2"/>
                <w:szCs w:val="22"/>
                <w:color w:val="auto"/>
              </w:rPr>
            </w:pPr>
          </w:p>
        </w:tc>
        <w:tc>
          <w:tcPr>
            <w:tcW w:w="19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648"/>
        <w:spacing w:after="0" w:line="324"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153"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1080"/>
          </w:cols>
          <w:pgMar w:left="320" w:top="283" w:right="499" w:bottom="1440" w:gutter="0" w:footer="0" w:header="0"/>
        </w:sectPr>
      </w:pPr>
    </w:p>
    <w:p>
      <w:pPr>
        <w:spacing w:after="0" w:line="86" w:lineRule="exact"/>
        <w:rPr>
          <w:sz w:val="20"/>
          <w:szCs w:val="20"/>
          <w:color w:val="auto"/>
        </w:rPr>
      </w:pPr>
    </w:p>
    <w:p>
      <w:pPr>
        <w:ind w:left="40"/>
        <w:spacing w:after="0"/>
        <w:tabs>
          <w:tab w:leader="none" w:pos="740" w:val="left"/>
        </w:tabs>
        <w:rPr>
          <w:rFonts w:ascii="Arial" w:cs="Arial" w:eastAsia="Arial" w:hAnsi="Arial"/>
          <w:sz w:val="14"/>
          <w:szCs w:val="14"/>
          <w:color w:val="0000FF"/>
        </w:rPr>
      </w:pPr>
      <w:hyperlink r:id="rId115">
        <w:r>
          <w:rPr>
            <w:rFonts w:ascii="Arial" w:cs="Arial" w:eastAsia="Arial" w:hAnsi="Arial"/>
            <w:sz w:val="14"/>
            <w:szCs w:val="14"/>
            <w:u w:val="single" w:color="auto"/>
            <w:color w:val="0000FF"/>
          </w:rPr>
          <w:t>3.1</w:t>
        </w:r>
      </w:hyperlink>
      <w:r>
        <w:rPr>
          <w:rFonts w:ascii="Arial" w:cs="Arial" w:eastAsia="Arial" w:hAnsi="Arial"/>
          <w:sz w:val="14"/>
          <w:szCs w:val="14"/>
          <w:color w:val="0000FF"/>
        </w:rPr>
        <w:tab/>
      </w:r>
      <w:r>
        <w:rPr>
          <w:rFonts w:ascii="Arial" w:cs="Arial" w:eastAsia="Arial" w:hAnsi="Arial"/>
          <w:sz w:val="12"/>
          <w:szCs w:val="12"/>
          <w:color w:val="0000FF"/>
        </w:rPr>
        <w:t>Amended and Restated Bylaws</w:t>
      </w:r>
    </w:p>
    <w:p>
      <w:pPr>
        <w:spacing w:after="0" w:line="244" w:lineRule="exact"/>
        <w:rPr>
          <w:sz w:val="20"/>
          <w:szCs w:val="20"/>
          <w:color w:val="auto"/>
        </w:rPr>
      </w:pPr>
    </w:p>
    <w:p>
      <w:pPr>
        <w:ind w:left="760" w:hanging="714"/>
        <w:spacing w:after="0" w:line="253" w:lineRule="auto"/>
        <w:tabs>
          <w:tab w:leader="none" w:pos="740" w:val="left"/>
        </w:tabs>
        <w:rPr>
          <w:rFonts w:ascii="Arial" w:cs="Arial" w:eastAsia="Arial" w:hAnsi="Arial"/>
          <w:sz w:val="14"/>
          <w:szCs w:val="14"/>
          <w:color w:val="0000FF"/>
        </w:rPr>
      </w:pPr>
      <w:hyperlink w:anchor="page76">
        <w:r>
          <w:rPr>
            <w:rFonts w:ascii="Arial" w:cs="Arial" w:eastAsia="Arial" w:hAnsi="Arial"/>
            <w:sz w:val="14"/>
            <w:szCs w:val="14"/>
            <w:u w:val="single" w:color="auto"/>
            <w:color w:val="0000FF"/>
          </w:rPr>
          <w:t>31.1</w:t>
        </w:r>
      </w:hyperlink>
      <w:r>
        <w:rPr>
          <w:rFonts w:ascii="Arial" w:cs="Arial" w:eastAsia="Arial" w:hAnsi="Arial"/>
          <w:sz w:val="14"/>
          <w:szCs w:val="14"/>
          <w:color w:val="000000"/>
        </w:rPr>
        <w:t>*</w:t>
      </w:r>
      <w:r>
        <w:rPr>
          <w:rFonts w:ascii="Arial" w:cs="Arial" w:eastAsia="Arial" w:hAnsi="Arial"/>
          <w:sz w:val="14"/>
          <w:szCs w:val="14"/>
          <w:color w:val="0000FF"/>
        </w:rPr>
        <w:tab/>
        <w:t>Certification of Chief Executive Officer pursuant to Exchange Act Rules 13a-14(a) and 15d-14(a), as adopted pursuant to Section 302 of the Sarbanes-Oxley Act of 2002</w:t>
      </w:r>
    </w:p>
    <w:p>
      <w:pPr>
        <w:spacing w:after="0" w:line="66" w:lineRule="exact"/>
        <w:rPr>
          <w:sz w:val="20"/>
          <w:szCs w:val="20"/>
          <w:color w:val="auto"/>
        </w:rPr>
      </w:pPr>
    </w:p>
    <w:p>
      <w:pPr>
        <w:ind w:left="760" w:right="40" w:hanging="714"/>
        <w:spacing w:after="0" w:line="253" w:lineRule="auto"/>
        <w:tabs>
          <w:tab w:leader="none" w:pos="740" w:val="left"/>
        </w:tabs>
        <w:rPr>
          <w:rFonts w:ascii="Arial" w:cs="Arial" w:eastAsia="Arial" w:hAnsi="Arial"/>
          <w:sz w:val="14"/>
          <w:szCs w:val="14"/>
          <w:color w:val="0000FF"/>
        </w:rPr>
      </w:pPr>
      <w:hyperlink w:anchor="page77">
        <w:r>
          <w:rPr>
            <w:rFonts w:ascii="Arial" w:cs="Arial" w:eastAsia="Arial" w:hAnsi="Arial"/>
            <w:sz w:val="14"/>
            <w:szCs w:val="14"/>
            <w:u w:val="single" w:color="auto"/>
            <w:color w:val="0000FF"/>
          </w:rPr>
          <w:t>31.2</w:t>
        </w:r>
      </w:hyperlink>
      <w:r>
        <w:rPr>
          <w:rFonts w:ascii="Arial" w:cs="Arial" w:eastAsia="Arial" w:hAnsi="Arial"/>
          <w:sz w:val="14"/>
          <w:szCs w:val="14"/>
          <w:color w:val="000000"/>
        </w:rPr>
        <w:t>*</w:t>
      </w:r>
      <w:r>
        <w:rPr>
          <w:rFonts w:ascii="Arial" w:cs="Arial" w:eastAsia="Arial" w:hAnsi="Arial"/>
          <w:sz w:val="14"/>
          <w:szCs w:val="14"/>
          <w:color w:val="0000FF"/>
        </w:rPr>
        <w:tab/>
        <w:t>Certification of Chief Financial Officer pursuant to Exchange Act Rules 13a-14(a) and 15d-14(a),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20"/>
                <w:szCs w:val="20"/>
                <w:color w:val="auto"/>
              </w:rPr>
            </w:pPr>
            <w:r>
              <w:rPr>
                <w:rFonts w:ascii="Arial" w:cs="Arial" w:eastAsia="Arial" w:hAnsi="Arial"/>
                <w:sz w:val="14"/>
                <w:szCs w:val="14"/>
                <w:color w:val="auto"/>
              </w:rPr>
              <w:t>Current Report on Form 8-K (File   July 21, 2020</w:t>
            </w: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2"/>
        </w:trPr>
        <w:tc>
          <w:tcPr>
            <w:tcW w:w="3780" w:type="dxa"/>
            <w:vAlign w:val="bottom"/>
          </w:tcPr>
          <w:p>
            <w:pPr>
              <w:spacing w:after="0"/>
              <w:rPr>
                <w:sz w:val="20"/>
                <w:szCs w:val="20"/>
                <w:color w:val="auto"/>
              </w:rPr>
            </w:pPr>
            <w:r>
              <w:rPr>
                <w:rFonts w:ascii="Arial" w:cs="Arial" w:eastAsia="Arial" w:hAnsi="Arial"/>
                <w:sz w:val="14"/>
                <w:szCs w:val="14"/>
                <w:color w:val="auto"/>
              </w:rPr>
              <w:t>No. 001-34511)</w:t>
            </w:r>
          </w:p>
        </w:tc>
        <w:tc>
          <w:tcPr>
            <w:tcW w:w="1020" w:type="dxa"/>
            <w:vAlign w:val="bottom"/>
          </w:tcPr>
          <w:p>
            <w:pPr>
              <w:spacing w:after="0"/>
              <w:rPr>
                <w:sz w:val="15"/>
                <w:szCs w:val="15"/>
                <w:color w:val="auto"/>
              </w:rPr>
            </w:pPr>
          </w:p>
        </w:tc>
      </w:tr>
    </w:tbl>
    <w:p>
      <w:pPr>
        <w:spacing w:after="0" w:line="871" w:lineRule="exact"/>
        <w:rPr>
          <w:sz w:val="20"/>
          <w:szCs w:val="20"/>
          <w:color w:val="auto"/>
        </w:rPr>
      </w:pPr>
    </w:p>
    <w:p>
      <w:pPr>
        <w:sectPr>
          <w:pgSz w:w="11900" w:h="16838" w:orient="portrait"/>
          <w:cols w:equalWidth="0" w:num="2">
            <w:col w:w="6080" w:space="200"/>
            <w:col w:w="4800"/>
          </w:cols>
          <w:pgMar w:left="320" w:top="283" w:right="499" w:bottom="1440" w:gutter="0" w:footer="0" w:header="0"/>
          <w:type w:val="continuous"/>
        </w:sectPr>
      </w:pPr>
    </w:p>
    <w:p>
      <w:pPr>
        <w:ind w:left="40"/>
        <w:spacing w:after="0"/>
        <w:tabs>
          <w:tab w:leader="none" w:pos="740" w:val="left"/>
        </w:tabs>
        <w:rPr>
          <w:rFonts w:ascii="Arial" w:cs="Arial" w:eastAsia="Arial" w:hAnsi="Arial"/>
          <w:sz w:val="14"/>
          <w:szCs w:val="14"/>
          <w:color w:val="0000FF"/>
        </w:rPr>
      </w:pPr>
      <w:hyperlink w:anchor="page79">
        <w:r>
          <w:rPr>
            <w:rFonts w:ascii="Arial" w:cs="Arial" w:eastAsia="Arial" w:hAnsi="Arial"/>
            <w:sz w:val="14"/>
            <w:szCs w:val="14"/>
            <w:u w:val="single" w:color="auto"/>
            <w:color w:val="0000FF"/>
          </w:rPr>
          <w:t>32.1</w:t>
        </w:r>
      </w:hyperlink>
      <w:r>
        <w:rPr>
          <w:rFonts w:ascii="Arial" w:cs="Arial" w:eastAsia="Arial" w:hAnsi="Arial"/>
          <w:sz w:val="14"/>
          <w:szCs w:val="14"/>
          <w:color w:val="000000"/>
        </w:rPr>
        <w:t>#</w:t>
      </w:r>
      <w:r>
        <w:rPr>
          <w:rFonts w:ascii="Arial" w:cs="Arial" w:eastAsia="Arial" w:hAnsi="Arial"/>
          <w:sz w:val="14"/>
          <w:szCs w:val="14"/>
          <w:color w:val="0000FF"/>
        </w:rPr>
        <w:tab/>
      </w:r>
      <w:r>
        <w:rPr>
          <w:rFonts w:ascii="Arial" w:cs="Arial" w:eastAsia="Arial" w:hAnsi="Arial"/>
          <w:sz w:val="13"/>
          <w:szCs w:val="13"/>
          <w:color w:val="0000FF"/>
        </w:rPr>
        <w:t>Certifications of Chief Executive Officer and Chief Financial Officer pursuant to 18 U.S.C.</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Section 1350, as adopted pursuant to Section 906 of the Sarbanes-Oxley Act of 2002</w:t>
      </w:r>
    </w:p>
    <w:p>
      <w:pPr>
        <w:spacing w:after="0" w:line="95"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3"/>
          <w:szCs w:val="13"/>
          <w:color w:val="auto"/>
        </w:rPr>
        <w:t>Inline XBRL Instance Document - the instance document does not appear in the interactive</w:t>
      </w:r>
    </w:p>
    <w:p>
      <w:pPr>
        <w:ind w:left="760"/>
        <w:spacing w:after="0"/>
        <w:rPr>
          <w:sz w:val="20"/>
          <w:szCs w:val="20"/>
          <w:color w:val="auto"/>
        </w:rPr>
      </w:pPr>
      <w:r>
        <w:rPr>
          <w:rFonts w:ascii="Arial" w:cs="Arial" w:eastAsia="Arial" w:hAnsi="Arial"/>
          <w:sz w:val="14"/>
          <w:szCs w:val="14"/>
          <w:color w:val="auto"/>
        </w:rPr>
        <w:t>data file because its XBRL tags are embedded within the inline XBRL document.</w:t>
      </w:r>
    </w:p>
    <w:p>
      <w:pPr>
        <w:spacing w:after="0" w:line="8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4"/>
          <w:szCs w:val="14"/>
          <w:color w:val="auto"/>
        </w:rPr>
        <w:t>101.SCH*</w:t>
      </w:r>
      <w:r>
        <w:rPr>
          <w:sz w:val="20"/>
          <w:szCs w:val="20"/>
          <w:color w:val="auto"/>
        </w:rPr>
        <w:tab/>
      </w:r>
      <w:r>
        <w:rPr>
          <w:rFonts w:ascii="Arial" w:cs="Arial" w:eastAsia="Arial" w:hAnsi="Arial"/>
          <w:sz w:val="13"/>
          <w:szCs w:val="13"/>
          <w:color w:val="auto"/>
        </w:rPr>
        <w:t>Inline XBRL Taxonomy Extension Schema Document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101.CAL*  Inline XBRL Taxonomy Extension Calculation Linkbase Document</w:t>
      </w:r>
    </w:p>
    <w:p>
      <w:pPr>
        <w:spacing w:after="0" w:line="96"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4"/>
          <w:szCs w:val="14"/>
          <w:color w:val="auto"/>
        </w:rPr>
        <w:t>101.DEF*</w:t>
      </w:r>
      <w:r>
        <w:rPr>
          <w:sz w:val="20"/>
          <w:szCs w:val="20"/>
          <w:color w:val="auto"/>
        </w:rPr>
        <w:tab/>
      </w:r>
      <w:r>
        <w:rPr>
          <w:rFonts w:ascii="Arial" w:cs="Arial" w:eastAsia="Arial" w:hAnsi="Arial"/>
          <w:sz w:val="13"/>
          <w:szCs w:val="13"/>
          <w:color w:val="auto"/>
        </w:rPr>
        <w:t>Inline XBRL Taxonomy Extension Definition Linkbase Document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  Inline XBRL Taxonomy Extension Label Linkbase Document</w:t>
      </w:r>
    </w:p>
    <w:p>
      <w:pPr>
        <w:spacing w:after="0" w:line="96"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3"/>
          <w:szCs w:val="13"/>
          <w:color w:val="auto"/>
        </w:rPr>
        <w:t>Inline XBRL Taxonomy Extension Presentation Linkbase Document</w:t>
      </w:r>
    </w:p>
    <w:p>
      <w:pPr>
        <w:spacing w:after="0" w:line="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 the cover page from the Company’s Quarterly Report on</w:t>
      </w:r>
    </w:p>
    <w:p>
      <w:pPr>
        <w:ind w:left="760"/>
        <w:spacing w:after="0"/>
        <w:rPr>
          <w:sz w:val="20"/>
          <w:szCs w:val="20"/>
          <w:color w:val="auto"/>
        </w:rPr>
      </w:pPr>
      <w:r>
        <w:rPr>
          <w:rFonts w:ascii="Arial" w:cs="Arial" w:eastAsia="Arial" w:hAnsi="Arial"/>
          <w:sz w:val="14"/>
          <w:szCs w:val="14"/>
          <w:color w:val="auto"/>
        </w:rPr>
        <w:t>Form 10-Q for the quarter ended June 30, 2020 is formatted in inline XBRL.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60"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5" w:lineRule="exact"/>
        <w:rPr>
          <w:sz w:val="20"/>
          <w:szCs w:val="20"/>
          <w:color w:val="auto"/>
        </w:rPr>
      </w:pPr>
    </w:p>
    <w:p>
      <w:pPr>
        <w:ind w:left="100" w:hanging="92"/>
        <w:spacing w:after="0"/>
        <w:tabs>
          <w:tab w:leader="none" w:pos="100" w:val="left"/>
        </w:tabs>
        <w:numPr>
          <w:ilvl w:val="0"/>
          <w:numId w:val="29"/>
        </w:numPr>
        <w:rPr>
          <w:rFonts w:ascii="Arial" w:cs="Arial" w:eastAsia="Arial" w:hAnsi="Arial"/>
          <w:sz w:val="12"/>
          <w:szCs w:val="12"/>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83" w:right="49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229" w:lineRule="exact"/>
        <w:rPr>
          <w:sz w:val="20"/>
          <w:szCs w:val="20"/>
          <w:color w:val="auto"/>
        </w:rPr>
      </w:pPr>
    </w:p>
    <w:p>
      <w:pPr>
        <w:ind w:left="358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31750</wp:posOffset>
            </wp:positionV>
            <wp:extent cx="4526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57"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40"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229" w:lineRule="exact"/>
        <w:rPr>
          <w:sz w:val="20"/>
          <w:szCs w:val="20"/>
          <w:color w:val="auto"/>
        </w:rPr>
      </w:pPr>
    </w:p>
    <w:p>
      <w:pPr>
        <w:ind w:left="3580"/>
        <w:spacing w:after="0"/>
        <w:tabs>
          <w:tab w:leader="none" w:pos="682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31750</wp:posOffset>
            </wp:positionV>
            <wp:extent cx="4526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57"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283"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29146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29146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2020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3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Date:   August 6, 2020</w:t>
            </w:r>
          </w:p>
        </w:tc>
        <w:tc>
          <w:tcPr>
            <w:tcW w:w="2800" w:type="dxa"/>
            <w:vAlign w:val="bottom"/>
          </w:tcPr>
          <w:p>
            <w:pPr>
              <w:ind w:left="2120"/>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3860" w:type="dxa"/>
            <w:vAlign w:val="bottom"/>
          </w:tcPr>
          <w:p>
            <w:pPr>
              <w:spacing w:after="0"/>
              <w:rPr>
                <w:sz w:val="22"/>
                <w:szCs w:val="22"/>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8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2020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Keith Jensen</w:t>
            </w:r>
          </w:p>
        </w:tc>
      </w:tr>
      <w:tr>
        <w:trPr>
          <w:trHeight w:val="27"/>
        </w:trPr>
        <w:tc>
          <w:tcPr>
            <w:tcW w:w="3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Date:   August 6, 2020</w:t>
            </w:r>
          </w:p>
        </w:tc>
        <w:tc>
          <w:tcPr>
            <w:tcW w:w="2800" w:type="dxa"/>
            <w:vAlign w:val="bottom"/>
          </w:tcPr>
          <w:p>
            <w:pPr>
              <w:ind w:left="2120"/>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256"/>
        </w:trPr>
        <w:tc>
          <w:tcPr>
            <w:tcW w:w="3860" w:type="dxa"/>
            <w:vAlign w:val="bottom"/>
          </w:tcPr>
          <w:p>
            <w:pPr>
              <w:spacing w:after="0"/>
              <w:rPr>
                <w:sz w:val="22"/>
                <w:szCs w:val="22"/>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8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pacing w:after="0" w:line="200" w:lineRule="exact"/>
        <w:rPr>
          <w:sz w:val="20"/>
          <w:szCs w:val="20"/>
          <w:color w:val="auto"/>
        </w:rPr>
      </w:pPr>
    </w:p>
    <w:p>
      <w:pPr>
        <w:spacing w:after="0" w:line="312"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6"/>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15" Type="http://schemas.openxmlformats.org/officeDocument/2006/relationships/hyperlink" Target="http://www.sec.gov/Archives/edgar/data/1262039/000126203920000044/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2020-08-06T16:33:57Z</dcterms:created>
  <dcterms:modified xsi:type="dcterms:W3CDTF">2020-08-06T16:33:57Z</dcterms:modified>
</cp:coreProperties>
</file>