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449580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483870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75" w:lineRule="exact"/>
        <w:rPr>
          <w:sz w:val="24"/>
          <w:szCs w:val="24"/>
          <w:color w:val="auto"/>
        </w:rPr>
      </w:pPr>
    </w:p>
    <w:p>
      <w:pPr>
        <w:ind w:left="3880" w:right="1680" w:hanging="3854"/>
        <w:spacing w:after="0" w:line="394" w:lineRule="auto"/>
        <w:tabs>
          <w:tab w:leader="none" w:pos="418"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40" w:hanging="406"/>
        <w:spacing w:after="0"/>
        <w:tabs>
          <w:tab w:leader="none" w:pos="440" w:val="left"/>
        </w:tabs>
        <w:numPr>
          <w:ilvl w:val="0"/>
          <w:numId w:val="2"/>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4"/>
        </w:trPr>
        <w:tc>
          <w:tcPr>
            <w:tcW w:w="8700" w:type="dxa"/>
            <w:vAlign w:val="bottom"/>
            <w:gridSpan w:val="6"/>
          </w:tcPr>
          <w:p>
            <w:pPr>
              <w:jc w:val="center"/>
              <w:ind w:left="331"/>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6420" w:type="dxa"/>
            <w:vAlign w:val="bottom"/>
            <w:gridSpan w:val="5"/>
          </w:tcPr>
          <w:p>
            <w:pPr>
              <w:jc w:val="center"/>
              <w:ind w:left="2631"/>
              <w:spacing w:after="0"/>
              <w:rPr>
                <w:sz w:val="20"/>
                <w:szCs w:val="20"/>
                <w:color w:val="auto"/>
              </w:rPr>
            </w:pPr>
            <w:r>
              <w:rPr>
                <w:rFonts w:ascii="Arial" w:cs="Arial" w:eastAsia="Arial" w:hAnsi="Arial"/>
                <w:sz w:val="18"/>
                <w:szCs w:val="18"/>
                <w:color w:val="auto"/>
                <w:w w:val="89"/>
              </w:rPr>
              <w:t>______________________________________</w:t>
            </w:r>
          </w:p>
        </w:tc>
        <w:tc>
          <w:tcPr>
            <w:tcW w:w="2280" w:type="dxa"/>
            <w:vAlign w:val="bottom"/>
          </w:tcPr>
          <w:p>
            <w:pPr>
              <w:spacing w:after="0"/>
              <w:rPr>
                <w:sz w:val="18"/>
                <w:szCs w:val="18"/>
                <w:color w:val="auto"/>
              </w:rPr>
            </w:pPr>
          </w:p>
        </w:tc>
      </w:tr>
      <w:tr>
        <w:trPr>
          <w:trHeight w:val="306"/>
        </w:trPr>
        <w:tc>
          <w:tcPr>
            <w:tcW w:w="5680" w:type="dxa"/>
            <w:vAlign w:val="bottom"/>
            <w:gridSpan w:val="3"/>
          </w:tcPr>
          <w:p>
            <w:pPr>
              <w:jc w:val="center"/>
              <w:ind w:left="3371"/>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7"/>
        </w:trPr>
        <w:tc>
          <w:tcPr>
            <w:tcW w:w="8700" w:type="dxa"/>
            <w:vAlign w:val="bottom"/>
            <w:gridSpan w:val="6"/>
          </w:tcPr>
          <w:p>
            <w:pPr>
              <w:jc w:val="center"/>
              <w:ind w:left="3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6420" w:type="dxa"/>
            <w:vAlign w:val="bottom"/>
            <w:gridSpan w:val="5"/>
          </w:tcPr>
          <w:p>
            <w:pPr>
              <w:jc w:val="center"/>
              <w:ind w:left="2611"/>
              <w:spacing w:after="0"/>
              <w:rPr>
                <w:sz w:val="20"/>
                <w:szCs w:val="20"/>
                <w:color w:val="auto"/>
              </w:rPr>
            </w:pPr>
            <w:r>
              <w:rPr>
                <w:rFonts w:ascii="Arial" w:cs="Arial" w:eastAsia="Arial" w:hAnsi="Arial"/>
                <w:sz w:val="16"/>
                <w:szCs w:val="16"/>
                <w:color w:val="auto"/>
                <w:w w:val="91"/>
              </w:rPr>
              <w:t>______________________________________</w:t>
            </w:r>
          </w:p>
        </w:tc>
        <w:tc>
          <w:tcPr>
            <w:tcW w:w="2280" w:type="dxa"/>
            <w:vAlign w:val="bottom"/>
          </w:tcPr>
          <w:p>
            <w:pPr>
              <w:spacing w:after="0"/>
              <w:rPr>
                <w:sz w:val="17"/>
                <w:szCs w:val="17"/>
                <w:color w:val="auto"/>
              </w:rPr>
            </w:pPr>
          </w:p>
        </w:tc>
      </w:tr>
      <w:tr>
        <w:trPr>
          <w:trHeight w:val="668"/>
        </w:trPr>
        <w:tc>
          <w:tcPr>
            <w:tcW w:w="568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91"/>
              </w:rPr>
              <w:t>77-0560389</w:t>
            </w:r>
          </w:p>
        </w:tc>
      </w:tr>
      <w:tr>
        <w:trPr>
          <w:trHeight w:val="202"/>
        </w:trPr>
        <w:tc>
          <w:tcPr>
            <w:tcW w:w="5680" w:type="dxa"/>
            <w:vAlign w:val="bottom"/>
            <w:gridSpan w:val="3"/>
          </w:tcPr>
          <w:p>
            <w:pPr>
              <w:jc w:val="center"/>
              <w:ind w:right="3540"/>
              <w:spacing w:after="0"/>
              <w:rPr>
                <w:sz w:val="20"/>
                <w:szCs w:val="20"/>
                <w:color w:val="auto"/>
              </w:rPr>
            </w:pPr>
            <w:r>
              <w:rPr>
                <w:rFonts w:ascii="Arial" w:cs="Arial" w:eastAsia="Arial" w:hAnsi="Arial"/>
                <w:sz w:val="16"/>
                <w:szCs w:val="16"/>
                <w:b w:val="1"/>
                <w:bCs w:val="1"/>
                <w:color w:val="auto"/>
                <w:w w:val="91"/>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5680" w:type="dxa"/>
            <w:vAlign w:val="bottom"/>
            <w:gridSpan w:val="3"/>
          </w:tcPr>
          <w:p>
            <w:pPr>
              <w:jc w:val="center"/>
              <w:ind w:right="3560"/>
              <w:spacing w:after="0"/>
              <w:rPr>
                <w:sz w:val="20"/>
                <w:szCs w:val="20"/>
                <w:color w:val="auto"/>
              </w:rPr>
            </w:pPr>
            <w:r>
              <w:rPr>
                <w:rFonts w:ascii="Arial" w:cs="Arial" w:eastAsia="Arial" w:hAnsi="Arial"/>
                <w:sz w:val="16"/>
                <w:szCs w:val="16"/>
                <w:b w:val="1"/>
                <w:bCs w:val="1"/>
                <w:color w:val="auto"/>
                <w:w w:val="92"/>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Arial" w:cs="Arial" w:eastAsia="Arial" w:hAnsi="Arial"/>
                <w:sz w:val="16"/>
                <w:szCs w:val="16"/>
                <w:b w:val="1"/>
                <w:bCs w:val="1"/>
                <w:color w:val="auto"/>
                <w:w w:val="94"/>
              </w:rPr>
              <w:t>Identification No.)</w:t>
            </w:r>
          </w:p>
        </w:tc>
      </w:tr>
      <w:tr>
        <w:trPr>
          <w:trHeight w:val="622"/>
        </w:trPr>
        <w:tc>
          <w:tcPr>
            <w:tcW w:w="5680" w:type="dxa"/>
            <w:vAlign w:val="bottom"/>
            <w:gridSpan w:val="3"/>
          </w:tcPr>
          <w:p>
            <w:pPr>
              <w:jc w:val="center"/>
              <w:ind w:left="3371"/>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0"/>
        </w:trPr>
        <w:tc>
          <w:tcPr>
            <w:tcW w:w="5680" w:type="dxa"/>
            <w:vAlign w:val="bottom"/>
            <w:gridSpan w:val="3"/>
          </w:tcPr>
          <w:p>
            <w:pPr>
              <w:jc w:val="center"/>
              <w:ind w:left="337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10"/>
        </w:trPr>
        <w:tc>
          <w:tcPr>
            <w:tcW w:w="8700" w:type="dxa"/>
            <w:vAlign w:val="bottom"/>
            <w:gridSpan w:val="6"/>
          </w:tcPr>
          <w:p>
            <w:pPr>
              <w:jc w:val="center"/>
              <w:ind w:left="331"/>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r>
        <w:trPr>
          <w:trHeight w:val="424"/>
        </w:trPr>
        <w:tc>
          <w:tcPr>
            <w:tcW w:w="5640" w:type="dxa"/>
            <w:vAlign w:val="bottom"/>
            <w:gridSpan w:val="2"/>
          </w:tcPr>
          <w:p>
            <w:pPr>
              <w:jc w:val="center"/>
              <w:ind w:left="3391"/>
              <w:spacing w:after="0"/>
              <w:rPr>
                <w:sz w:val="20"/>
                <w:szCs w:val="20"/>
                <w:color w:val="auto"/>
              </w:rPr>
            </w:pPr>
            <w:r>
              <w:rPr>
                <w:rFonts w:ascii="Arial" w:cs="Arial" w:eastAsia="Arial" w:hAnsi="Arial"/>
                <w:sz w:val="18"/>
                <w:szCs w:val="18"/>
                <w:b w:val="1"/>
                <w:bCs w:val="1"/>
                <w:color w:val="auto"/>
                <w:w w:val="90"/>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8700" w:type="dxa"/>
            <w:vAlign w:val="bottom"/>
            <w:gridSpan w:val="6"/>
          </w:tcPr>
          <w:p>
            <w:pPr>
              <w:jc w:val="center"/>
              <w:ind w:left="351"/>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bl>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ectPr>
          <w:pgSz w:w="11900" w:h="16838" w:orient="portrait"/>
          <w:cols w:equalWidth="0" w:num="1">
            <w:col w:w="11200"/>
          </w:cols>
          <w:pgMar w:left="320" w:top="229"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Title of each class</w:t>
      </w:r>
    </w:p>
    <w:p>
      <w:pPr>
        <w:spacing w:after="0" w:line="36"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1040"/>
        <w:spacing w:after="0"/>
        <w:rPr>
          <w:sz w:val="20"/>
          <w:szCs w:val="20"/>
          <w:color w:val="auto"/>
        </w:rPr>
      </w:pPr>
      <w:r>
        <w:rPr>
          <w:rFonts w:ascii="Arial" w:cs="Arial" w:eastAsia="Arial" w:hAnsi="Arial"/>
          <w:sz w:val="14"/>
          <w:szCs w:val="14"/>
          <w:b w:val="1"/>
          <w:bCs w:val="1"/>
          <w:color w:val="auto"/>
        </w:rPr>
        <w:t>Trading Symbol</w:t>
      </w:r>
    </w:p>
    <w:p>
      <w:pPr>
        <w:spacing w:after="0" w:line="6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7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20" w:space="720"/>
            <w:col w:w="2160" w:space="720"/>
            <w:col w:w="3880"/>
          </w:cols>
          <w:pgMar w:left="320" w:top="229" w:right="379" w:bottom="1440" w:gutter="0" w:footer="0" w:header="0"/>
          <w:type w:val="continuous"/>
        </w:sectPr>
      </w:pPr>
    </w:p>
    <w:p>
      <w:pPr>
        <w:spacing w:after="0" w:line="151" w:lineRule="exact"/>
        <w:rPr>
          <w:sz w:val="24"/>
          <w:szCs w:val="24"/>
          <w:color w:val="auto"/>
        </w:rPr>
      </w:pPr>
    </w:p>
    <w:p>
      <w:pPr>
        <w:ind w:right="240" w:firstLine="324"/>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05" w:lineRule="exact"/>
        <w:rPr>
          <w:sz w:val="24"/>
          <w:szCs w:val="24"/>
          <w:color w:val="auto"/>
        </w:rPr>
      </w:pPr>
    </w:p>
    <w:p>
      <w:pPr>
        <w:ind w:right="40" w:firstLine="284"/>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05" w:lineRule="exact"/>
        <w:rPr>
          <w:sz w:val="24"/>
          <w:szCs w:val="24"/>
          <w:color w:val="auto"/>
        </w:rPr>
      </w:pPr>
    </w:p>
    <w:p>
      <w:pPr>
        <w:ind w:firstLine="28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88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88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88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284"/>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860"/>
        <w:spacing w:after="0" w:line="34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As of August 4, 2023, there were 785,336,937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Page</w:t>
            </w:r>
          </w:p>
        </w:tc>
      </w:tr>
      <w:tr>
        <w:trPr>
          <w:trHeight w:val="499"/>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2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2380" w:type="dxa"/>
            <w:vAlign w:val="bottom"/>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7220" w:type="dxa"/>
            <w:vAlign w:val="bottom"/>
            <w:gridSpan w:val="10"/>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6140" w:type="dxa"/>
            <w:vAlign w:val="bottom"/>
            <w:gridSpan w:val="12"/>
          </w:tcPr>
          <w:p>
            <w:pPr>
              <w:spacing w:after="0"/>
              <w:rPr>
                <w:sz w:val="20"/>
                <w:szCs w:val="20"/>
                <w:color w:val="auto"/>
              </w:rPr>
            </w:pPr>
            <w:r>
              <w:rPr>
                <w:rFonts w:ascii="Arial" w:cs="Arial" w:eastAsia="Arial" w:hAnsi="Arial"/>
                <w:sz w:val="18"/>
                <w:szCs w:val="18"/>
                <w:color w:val="0000FF"/>
                <w:w w:val="88"/>
              </w:rPr>
              <w:t>Condensed Consolidated Balance Sheets as of June 30, 2023 and December 31, 2022</w:t>
            </w:r>
          </w:p>
        </w:tc>
        <w:tc>
          <w:tcPr>
            <w:tcW w:w="3460" w:type="dxa"/>
            <w:vAlign w:val="bottom"/>
            <w:gridSpan w:val="6"/>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840" w:type="dxa"/>
            <w:vAlign w:val="bottom"/>
            <w:gridSpan w:val="15"/>
          </w:tcPr>
          <w:p>
            <w:pPr>
              <w:spacing w:after="0"/>
              <w:rPr>
                <w:sz w:val="20"/>
                <w:szCs w:val="20"/>
                <w:color w:val="auto"/>
              </w:rPr>
            </w:pPr>
            <w:r>
              <w:rPr>
                <w:rFonts w:ascii="Arial" w:cs="Arial" w:eastAsia="Arial" w:hAnsi="Arial"/>
                <w:sz w:val="18"/>
                <w:szCs w:val="18"/>
                <w:color w:val="0000FF"/>
                <w:w w:val="89"/>
              </w:rPr>
              <w:t>Condensed Consolidated Statements of Income for the Three and Six Months Ended June 30, 2023 and 2022</w:t>
            </w:r>
          </w:p>
        </w:tc>
        <w:tc>
          <w:tcPr>
            <w:tcW w:w="1760" w:type="dxa"/>
            <w:vAlign w:val="bottom"/>
            <w:gridSpan w:val="3"/>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902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Comprehensive Income for the Three and Six Months Ended June 30, 2023 and 2022</w:t>
            </w:r>
          </w:p>
        </w:tc>
        <w:tc>
          <w:tcPr>
            <w:tcW w:w="5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9020" w:type="dxa"/>
            <w:vAlign w:val="bottom"/>
            <w:gridSpan w:val="17"/>
          </w:tcPr>
          <w:p>
            <w:pPr>
              <w:spacing w:after="0"/>
              <w:rPr>
                <w:sz w:val="20"/>
                <w:szCs w:val="20"/>
                <w:color w:val="auto"/>
              </w:rPr>
            </w:pPr>
            <w:r>
              <w:rPr>
                <w:rFonts w:ascii="Arial" w:cs="Arial" w:eastAsia="Arial" w:hAnsi="Arial"/>
                <w:sz w:val="18"/>
                <w:szCs w:val="18"/>
                <w:color w:val="0000FF"/>
                <w:w w:val="96"/>
              </w:rPr>
              <w:t>Condensed Consolidated Statements of Equity (Deficit) for the Three and Six Months Ended June 30, 2023 and 2022</w:t>
            </w:r>
          </w:p>
        </w:tc>
        <w:tc>
          <w:tcPr>
            <w:tcW w:w="5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7380" w:type="dxa"/>
            <w:vAlign w:val="bottom"/>
            <w:gridSpan w:val="14"/>
          </w:tcPr>
          <w:p>
            <w:pPr>
              <w:spacing w:after="0"/>
              <w:rPr>
                <w:sz w:val="20"/>
                <w:szCs w:val="20"/>
                <w:color w:val="auto"/>
              </w:rPr>
            </w:pPr>
            <w:r>
              <w:rPr>
                <w:rFonts w:ascii="Arial" w:cs="Arial" w:eastAsia="Arial" w:hAnsi="Arial"/>
                <w:sz w:val="18"/>
                <w:szCs w:val="18"/>
                <w:color w:val="0000FF"/>
                <w:w w:val="89"/>
              </w:rPr>
              <w:t>Condensed Consolidated Statements of Cash Flows for the Six Months Ended June 30, 2023 and 2022</w:t>
            </w:r>
          </w:p>
        </w:tc>
        <w:tc>
          <w:tcPr>
            <w:tcW w:w="10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4000" w:type="dxa"/>
            <w:vAlign w:val="bottom"/>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380" w:type="dxa"/>
            <w:vAlign w:val="bottom"/>
            <w:gridSpan w:val="5"/>
          </w:tcPr>
          <w:p>
            <w:pPr>
              <w:spacing w:after="0"/>
              <w:rPr>
                <w:sz w:val="19"/>
                <w:szCs w:val="19"/>
                <w:color w:val="auto"/>
              </w:rPr>
            </w:pPr>
          </w:p>
        </w:tc>
        <w:tc>
          <w:tcPr>
            <w:tcW w:w="2220" w:type="dxa"/>
            <w:vAlign w:val="bottom"/>
            <w:gridSpan w:val="4"/>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6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16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Controls and Procedures</w:t>
            </w:r>
          </w:p>
        </w:tc>
        <w:tc>
          <w:tcPr>
            <w:tcW w:w="5300" w:type="dxa"/>
            <w:vAlign w:val="bottom"/>
            <w:gridSpan w:val="8"/>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9"/>
                <w:szCs w:val="19"/>
                <w:color w:val="auto"/>
              </w:rPr>
            </w:pPr>
          </w:p>
        </w:tc>
      </w:tr>
      <w:tr>
        <w:trPr>
          <w:trHeight w:val="520"/>
        </w:trPr>
        <w:tc>
          <w:tcPr>
            <w:tcW w:w="9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2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rPr>
              <w:t>PART II—OTHER INFORMATION</w:t>
            </w: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826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24"/>
                <w:szCs w:val="24"/>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Item 1A.</w:t>
            </w:r>
          </w:p>
        </w:tc>
        <w:tc>
          <w:tcPr>
            <w:tcW w:w="960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6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20" w:type="dxa"/>
            <w:vAlign w:val="bottom"/>
          </w:tcPr>
          <w:p>
            <w:pPr>
              <w:spacing w:after="0"/>
              <w:rPr>
                <w:sz w:val="18"/>
                <w:szCs w:val="18"/>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3020" w:type="dxa"/>
            <w:vAlign w:val="bottom"/>
            <w:tcBorders>
              <w:top w:val="single" w:sz="8" w:color="0000FF"/>
            </w:tcBorders>
            <w:gridSpan w:val="6"/>
          </w:tcPr>
          <w:p>
            <w:pPr>
              <w:spacing w:after="0"/>
              <w:rPr>
                <w:sz w:val="18"/>
                <w:szCs w:val="18"/>
                <w:color w:val="auto"/>
              </w:rPr>
            </w:pPr>
          </w:p>
        </w:tc>
        <w:tc>
          <w:tcPr>
            <w:tcW w:w="526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78</w:t>
            </w:r>
          </w:p>
        </w:tc>
        <w:tc>
          <w:tcPr>
            <w:tcW w:w="20" w:type="dxa"/>
            <w:vAlign w:val="bottom"/>
          </w:tcPr>
          <w:p>
            <w:pPr>
              <w:spacing w:after="0"/>
              <w:rPr>
                <w:sz w:val="18"/>
                <w:szCs w:val="18"/>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Item 6.</w:t>
            </w:r>
          </w:p>
        </w:tc>
        <w:tc>
          <w:tcPr>
            <w:tcW w:w="960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2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0000FF"/>
              </w:rPr>
              <w:t>Exhibit Index</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9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862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80</w:t>
            </w:r>
          </w:p>
        </w:tc>
        <w:tc>
          <w:tcPr>
            <w:tcW w:w="20" w:type="dxa"/>
            <w:vAlign w:val="bottom"/>
          </w:tcPr>
          <w:p>
            <w:pPr>
              <w:spacing w:after="0"/>
              <w:rPr>
                <w:sz w:val="18"/>
                <w:szCs w:val="18"/>
                <w:color w:val="auto"/>
              </w:rPr>
            </w:pPr>
          </w:p>
        </w:tc>
      </w:tr>
      <w:tr>
        <w:trPr>
          <w:trHeight w:val="1728"/>
        </w:trPr>
        <w:tc>
          <w:tcPr>
            <w:tcW w:w="9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252"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economic conditions, such as a possible economic downturn or recession, and possible impacts of inflation or stagflation, increasing or decreasing interest rates, instability in the global banking system or reduced information technology spending may adversely impact our business.</w:t>
      </w:r>
    </w:p>
    <w:p>
      <w:pPr>
        <w:spacing w:after="0" w:line="151" w:lineRule="exact"/>
        <w:rPr>
          <w:rFonts w:ascii="Arial" w:cs="Arial" w:eastAsia="Arial" w:hAnsi="Arial"/>
          <w:sz w:val="16"/>
          <w:szCs w:val="16"/>
          <w:color w:val="auto"/>
        </w:rPr>
      </w:pPr>
    </w:p>
    <w:p>
      <w:pPr>
        <w:ind w:left="660" w:right="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01"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supply chain disruptions in recent periods, we increased our purchase order commitments in recent periods and, as a result, may be required to accept or pay for components and finished goods regardless of our level of sales in a particular period, which may negatively impact our operating results and financial condition.</w:t>
      </w:r>
    </w:p>
    <w:p>
      <w:pPr>
        <w:spacing w:after="0" w:line="20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real estate investments, including construction, acquisition and ongoing maintenance and management of office buildings, data centers and points of presence, as well as data center expansions or enhancements, could involve significant risks to our business.</w:t>
      </w:r>
    </w:p>
    <w:p>
      <w:pPr>
        <w:spacing w:after="0" w:line="15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billings, revenue, and free cash flow growth may slow or may not continue, and our operating margins may decline.</w:t>
      </w:r>
    </w:p>
    <w:p>
      <w:pPr>
        <w:spacing w:after="0" w:line="238"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backlog has fluctuated over past quarters and any decrease in growth or negative growth of in-quarter billings and revenue may not be reflected by our aggregate billings and revenue. As we fulfill, ship and bill during a quarter to satisfy backlog, this will increase our aggregate billings and revenue during any particular quarter.</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weakness in sales strategy, productivity and execution could negatively impact our results of operations.</w:t>
      </w:r>
    </w:p>
    <w:p>
      <w:pPr>
        <w:spacing w:after="0" w:line="252" w:lineRule="exact"/>
        <w:rPr>
          <w:rFonts w:ascii="Arial" w:cs="Arial" w:eastAsia="Arial" w:hAnsi="Arial"/>
          <w:sz w:val="18"/>
          <w:szCs w:val="18"/>
          <w:color w:val="auto"/>
        </w:rPr>
      </w:pPr>
    </w:p>
    <w:p>
      <w:pPr>
        <w:ind w:left="660" w:right="6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w:t>
      </w:r>
    </w:p>
    <w:p>
      <w:pPr>
        <w:spacing w:after="0" w:line="197"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for substantially all of our billings, revenue and a small number of distributors represents a large percentage of our revenue and accounts receivable.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Reliance on a concentration of shipments at the end of the quarter could cause our billings and revenue to fall below expected levels.</w:t>
      </w:r>
    </w:p>
    <w:p>
      <w:pPr>
        <w:spacing w:after="0" w:line="263" w:lineRule="exact"/>
        <w:rPr>
          <w:rFonts w:ascii="Arial" w:cs="Arial" w:eastAsia="Arial" w:hAnsi="Arial"/>
          <w:sz w:val="17"/>
          <w:szCs w:val="17"/>
          <w:color w:val="auto"/>
        </w:rPr>
      </w:pPr>
    </w:p>
    <w:p>
      <w:pPr>
        <w:ind w:left="660" w:right="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211"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indebtedness and may incur other debt in the future, which may adversely affect our financial condition and future financial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a majority of billings, revenue and cash flow from sales outside of the United States.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52"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organizations and other customers, which are subject to a number of regulatory requirements, challenges and risks.</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its related macroeconomic effects and our decision to reduce operations in Russia have affected and may continue to affect our business.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in our market and we may not maintain or improve our competitive position.</w:t>
      </w:r>
    </w:p>
    <w:p>
      <w:pPr>
        <w:sectPr>
          <w:pgSz w:w="11900" w:h="16838" w:orient="portrait"/>
          <w:cols w:equalWidth="0" w:num="1">
            <w:col w:w="11160"/>
          </w:cols>
          <w:pgMar w:left="320" w:top="87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type w:val="continuous"/>
        </w:sectPr>
      </w:pPr>
    </w:p>
    <w:bookmarkStart w:id="4" w:name="page5"/>
    <w:bookmarkEnd w:id="4"/>
    <w:p>
      <w:pPr>
        <w:ind w:left="328" w:right="20" w:hanging="328"/>
        <w:spacing w:after="0" w:line="278"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order components from third-party manufacturers based on our forecasts of future demand and targeted inventory levels, which exposes us to the risk of both product shortages, may result in lost sales and higher expenses, including excess inventory charges and costs related to future purchase commitments, and may require us to sell our products at discounts or offer various other incentives.</w:t>
      </w:r>
    </w:p>
    <w:p>
      <w:pPr>
        <w:spacing w:after="0" w:line="171" w:lineRule="exact"/>
        <w:rPr>
          <w:rFonts w:ascii="Arial" w:cs="Arial" w:eastAsia="Arial" w:hAnsi="Arial"/>
          <w:sz w:val="17"/>
          <w:szCs w:val="17"/>
          <w:color w:val="auto"/>
        </w:rPr>
      </w:pPr>
    </w:p>
    <w:p>
      <w:pPr>
        <w:ind w:left="328" w:right="140" w:hanging="328"/>
        <w:spacing w:after="0" w:line="261"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third parties to provide various components for our products and build our products and are susceptible to manufacturing delays, capacity constraints and cost increases.</w:t>
      </w:r>
    </w:p>
    <w:p>
      <w:pPr>
        <w:spacing w:after="0" w:line="197" w:lineRule="exact"/>
        <w:rPr>
          <w:rFonts w:ascii="Arial" w:cs="Arial" w:eastAsia="Arial" w:hAnsi="Arial"/>
          <w:sz w:val="18"/>
          <w:szCs w:val="18"/>
          <w:color w:val="auto"/>
        </w:rPr>
      </w:pPr>
    </w:p>
    <w:p>
      <w:pPr>
        <w:ind w:left="328" w:hanging="328"/>
        <w:spacing w:after="0" w:line="241"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incident, or the failure to help secure our customers or cause our products or services to allow unauthorized access to our customers network, could harm our operational results and reputation more significantly as compared to certain other companies given we are a security company.</w:t>
      </w:r>
    </w:p>
    <w:p>
      <w:pPr>
        <w:spacing w:after="0" w:line="202" w:lineRule="exact"/>
        <w:rPr>
          <w:rFonts w:ascii="Arial" w:cs="Arial" w:eastAsia="Arial" w:hAnsi="Arial"/>
          <w:sz w:val="18"/>
          <w:szCs w:val="18"/>
          <w:color w:val="auto"/>
        </w:rPr>
      </w:pPr>
    </w:p>
    <w:p>
      <w:pPr>
        <w:ind w:left="328" w:right="200" w:hanging="328"/>
        <w:spacing w:after="0" w:line="24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additional future impairment of the value of our investment in Linksys Holdings, Inc. (“Linksys”) could negatively affect our financial condition and results of operations.</w:t>
      </w:r>
    </w:p>
    <w:p>
      <w:pPr>
        <w:spacing w:after="0" w:line="228" w:lineRule="exact"/>
        <w:rPr>
          <w:rFonts w:ascii="Arial" w:cs="Arial" w:eastAsia="Arial" w:hAnsi="Arial"/>
          <w:sz w:val="18"/>
          <w:szCs w:val="18"/>
          <w:color w:val="auto"/>
        </w:rPr>
      </w:pPr>
    </w:p>
    <w:p>
      <w:pPr>
        <w:ind w:left="328" w:right="80" w:hanging="328"/>
        <w:spacing w:after="0" w:line="261"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Investors’ and regulators’ expectations of our performance relating to environmental, social and governance factors may impose additional costs and expose us to new risks.</w:t>
      </w:r>
    </w:p>
    <w:p>
      <w:pPr>
        <w:spacing w:after="0" w:line="21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exposed to fluctuations in currency exchange rates, which could negatively affect our financial condition and results of operations.</w:t>
      </w:r>
    </w:p>
    <w:p>
      <w:pPr>
        <w:spacing w:after="0" w:line="263"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0" w:lineRule="exact"/>
        <w:rPr>
          <w:rFonts w:ascii="Arial" w:cs="Arial" w:eastAsia="Arial" w:hAnsi="Arial"/>
          <w:sz w:val="17"/>
          <w:szCs w:val="17"/>
          <w:color w:val="auto"/>
        </w:rPr>
      </w:pPr>
    </w:p>
    <w:p>
      <w:pPr>
        <w:ind w:left="328" w:right="180" w:hanging="328"/>
        <w:spacing w:after="0" w:line="261"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which volatility may be exacerbated by share repurchases under our Share Repurchase Program (the “Repurchase Program”).</w:t>
      </w:r>
    </w:p>
    <w:p>
      <w:pPr>
        <w:spacing w:after="0" w:line="211" w:lineRule="exact"/>
        <w:rPr>
          <w:rFonts w:ascii="Arial" w:cs="Arial" w:eastAsia="Arial" w:hAnsi="Arial"/>
          <w:sz w:val="18"/>
          <w:szCs w:val="18"/>
          <w:color w:val="auto"/>
        </w:rPr>
      </w:pPr>
    </w:p>
    <w:p>
      <w:pPr>
        <w:ind w:left="328" w:right="20" w:hanging="328"/>
        <w:spacing w:after="0" w:line="261"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197" w:lineRule="exact"/>
        <w:rPr>
          <w:rFonts w:ascii="Arial" w:cs="Arial" w:eastAsia="Arial" w:hAnsi="Arial"/>
          <w:sz w:val="18"/>
          <w:szCs w:val="18"/>
          <w:color w:val="auto"/>
        </w:rPr>
      </w:pPr>
    </w:p>
    <w:p>
      <w:pPr>
        <w:jc w:val="both"/>
        <w:ind w:left="328" w:right="420" w:hanging="328"/>
        <w:spacing w:after="0" w:line="342"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economic uncertainty and weakening product demand caused by political instability, changes in trade agreements, wars and foreign conflicts, such as the war in Ukraine or tensions between China and Taiwan, could adversely affect our business and financial performance.</w:t>
      </w:r>
    </w:p>
    <w:p>
      <w:pPr>
        <w:spacing w:after="0" w:line="200" w:lineRule="exact"/>
        <w:rPr>
          <w:sz w:val="20"/>
          <w:szCs w:val="20"/>
          <w:color w:val="auto"/>
        </w:rPr>
      </w:pPr>
    </w:p>
    <w:p>
      <w:pPr>
        <w:spacing w:after="0" w:line="248"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8"/>
          </w:cols>
          <w:pgMar w:left="652" w:top="895" w:right="4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equity securities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Accounts receivable—net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238.3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3,078.4</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6,509.6</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6"/>
              </w:rPr>
              <w:t>Common stock, $0.001 par value—1,500.0 shares authorized; 785.6 and 781.5 shares issued and</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on June 30, 2023 and December 31, 2022, respectively</w:t>
            </w:r>
          </w:p>
        </w:tc>
        <w:tc>
          <w:tcPr>
            <w:tcW w:w="28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7,486.1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6,228.0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1"/>
              <w:spacing w:after="0" w:line="172"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1"/>
              <w:spacing w:after="0" w:line="172"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1"/>
              <w:spacing w:after="0" w:line="172"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71"/>
              <w:spacing w:after="0" w:line="172"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472.6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400.7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973.3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0" w:type="dxa"/>
            <w:vAlign w:val="bottom"/>
          </w:tcPr>
          <w:p>
            <w:pPr>
              <w:spacing w:after="0"/>
              <w:rPr>
                <w:sz w:val="1"/>
                <w:szCs w:val="1"/>
                <w:color w:val="auto"/>
              </w:rPr>
            </w:pPr>
          </w:p>
        </w:tc>
      </w:tr>
      <w:tr>
        <w:trPr>
          <w:trHeight w:val="223"/>
        </w:trPr>
        <w:tc>
          <w:tcPr>
            <w:tcW w:w="4920" w:type="dxa"/>
            <w:vAlign w:val="bottom"/>
          </w:tcPr>
          <w:p>
            <w:pPr>
              <w:ind w:left="8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37"/>
        </w:trPr>
        <w:tc>
          <w:tcPr>
            <w:tcW w:w="492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9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EXPENSE—NET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INCOME TAXES AND LOSS FROM</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line="169" w:lineRule="exact"/>
              <w:rPr>
                <w:sz w:val="20"/>
                <w:szCs w:val="20"/>
                <w:color w:val="auto"/>
              </w:rPr>
            </w:pPr>
            <w:r>
              <w:rPr>
                <w:rFonts w:ascii="Arial" w:cs="Arial" w:eastAsia="Arial" w:hAnsi="Arial"/>
                <w:sz w:val="18"/>
                <w:szCs w:val="18"/>
                <w:color w:val="auto"/>
              </w:rPr>
              <w:t>NET INCOME INCLUDING NON-CONTROLLING</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LESS: NET LOSS ATTRIBUTABLE TO NON-CONTROLLING</w:t>
            </w: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 (Note 9):</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Weighted-average shares used to compute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attributable to Fortinet, Inc.:</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810.1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794.7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4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52"/>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72"/>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72"/>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72"/>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880" w:type="dxa"/>
            <w:vAlign w:val="bottom"/>
          </w:tcPr>
          <w:p>
            <w:pPr>
              <w:ind w:left="340"/>
              <w:spacing w:after="0"/>
              <w:rPr>
                <w:sz w:val="20"/>
                <w:szCs w:val="20"/>
                <w:color w:val="auto"/>
              </w:rPr>
            </w:pPr>
            <w:r>
              <w:rPr>
                <w:rFonts w:ascii="Arial" w:cs="Arial" w:eastAsia="Arial" w:hAnsi="Arial"/>
                <w:sz w:val="18"/>
                <w:szCs w:val="18"/>
                <w:color w:val="auto"/>
              </w:rPr>
              <w:t>Change in unrealized gains (losses) on investments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88"/>
        </w:trPr>
        <w:tc>
          <w:tcPr>
            <w:tcW w:w="488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Less: tax provision (benefit) related to items of other</w:t>
            </w: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income or loss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including non-controlling interests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w w:val="93"/>
              </w:rPr>
              <w:t>Less: comprehensive loss attributable to non-controlling interests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Fortinet,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right"/>
              <w:ind w:right="71"/>
              <w:spacing w:after="0"/>
              <w:rPr>
                <w:sz w:val="20"/>
                <w:szCs w:val="20"/>
                <w:color w:val="auto"/>
              </w:rPr>
            </w:pPr>
            <w:r>
              <w:rPr>
                <w:rFonts w:ascii="Arial" w:cs="Arial" w:eastAsia="Arial" w:hAnsi="Arial"/>
                <w:sz w:val="16"/>
                <w:szCs w:val="16"/>
                <w:b w:val="1"/>
                <w:bCs w:val="1"/>
                <w:color w:val="auto"/>
              </w:rPr>
              <w:t>Three Months Ended June 30, 2023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7"/>
                <w:szCs w:val="17"/>
                <w:color w:val="auto"/>
              </w:rPr>
            </w:pPr>
          </w:p>
        </w:tc>
        <w:tc>
          <w:tcPr>
            <w:tcW w:w="16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52"/>
              <w:spacing w:after="0" w:line="162" w:lineRule="exact"/>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4"/>
                <w:szCs w:val="14"/>
                <w:color w:val="auto"/>
              </w:rPr>
            </w:pPr>
          </w:p>
        </w:tc>
        <w:tc>
          <w:tcPr>
            <w:tcW w:w="800" w:type="dxa"/>
            <w:vAlign w:val="bottom"/>
          </w:tcPr>
          <w:p>
            <w:pPr>
              <w:jc w:val="right"/>
              <w:ind w:right="54"/>
              <w:spacing w:after="0" w:line="16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0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Interests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BALANCE—March 31, 2023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$ 1,327.4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76"/>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446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$ 1,375.9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right"/>
              <w:ind w:right="71"/>
              <w:spacing w:after="0"/>
              <w:rPr>
                <w:sz w:val="20"/>
                <w:szCs w:val="20"/>
                <w:color w:val="auto"/>
              </w:rPr>
            </w:pPr>
            <w:r>
              <w:rPr>
                <w:rFonts w:ascii="Arial" w:cs="Arial" w:eastAsia="Arial" w:hAnsi="Arial"/>
                <w:sz w:val="16"/>
                <w:szCs w:val="16"/>
                <w:b w:val="1"/>
                <w:bCs w:val="1"/>
                <w:color w:val="auto"/>
              </w:rPr>
              <w:t>Three Months Ended June 30, 2022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7"/>
                <w:szCs w:val="17"/>
                <w:color w:val="auto"/>
              </w:rPr>
            </w:pPr>
          </w:p>
        </w:tc>
        <w:tc>
          <w:tcPr>
            <w:tcW w:w="16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Non-</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52"/>
              <w:spacing w:after="0" w:line="162" w:lineRule="exact"/>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4"/>
                <w:szCs w:val="14"/>
                <w:color w:val="auto"/>
              </w:rPr>
            </w:pPr>
          </w:p>
        </w:tc>
        <w:tc>
          <w:tcPr>
            <w:tcW w:w="800" w:type="dxa"/>
            <w:vAlign w:val="bottom"/>
          </w:tcPr>
          <w:p>
            <w:pPr>
              <w:jc w:val="right"/>
              <w:ind w:right="55"/>
              <w:spacing w:after="0" w:line="16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86"/>
              </w:rPr>
              <w:t>Interests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23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BALANCE—March 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$ 1,235.7</w:t>
            </w:r>
          </w:p>
        </w:tc>
        <w:tc>
          <w:tcPr>
            <w:tcW w:w="3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(1,003.4)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176"/>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4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BALANCE—June 30, 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$ 1,237.3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(1,607.6)</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right"/>
              <w:ind w:right="191"/>
              <w:spacing w:after="0"/>
              <w:rPr>
                <w:sz w:val="20"/>
                <w:szCs w:val="20"/>
                <w:color w:val="auto"/>
              </w:rPr>
            </w:pPr>
            <w:r>
              <w:rPr>
                <w:rFonts w:ascii="Arial" w:cs="Arial" w:eastAsia="Arial" w:hAnsi="Arial"/>
                <w:sz w:val="16"/>
                <w:szCs w:val="16"/>
                <w:b w:val="1"/>
                <w:bCs w:val="1"/>
                <w:color w:val="auto"/>
              </w:rPr>
              <w:t>Six Months Ended June 30, 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7"/>
                <w:szCs w:val="17"/>
                <w:color w:val="auto"/>
              </w:rPr>
            </w:pPr>
          </w:p>
        </w:tc>
        <w:tc>
          <w:tcPr>
            <w:tcW w:w="164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40"/>
        </w:trPr>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2"/>
              <w:spacing w:after="0" w:line="162" w:lineRule="exact"/>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Paid-In</w:t>
            </w:r>
          </w:p>
        </w:tc>
        <w:tc>
          <w:tcPr>
            <w:tcW w:w="8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Interests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$ 1,284.2</w:t>
            </w: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(1,546.4)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188"/>
        </w:trPr>
        <w:tc>
          <w:tcPr>
            <w:tcW w:w="4460" w:type="dxa"/>
            <w:vAlign w:val="bottom"/>
          </w:tcPr>
          <w:p>
            <w:pPr>
              <w:ind w:left="220"/>
              <w:spacing w:after="0" w:line="189"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37"/>
        </w:trPr>
        <w:tc>
          <w:tcPr>
            <w:tcW w:w="4460" w:type="dxa"/>
            <w:vAlign w:val="bottom"/>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$ 1,375.9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(1,032.4)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4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191"/>
              <w:spacing w:after="0"/>
              <w:rPr>
                <w:sz w:val="20"/>
                <w:szCs w:val="20"/>
                <w:color w:val="auto"/>
              </w:rPr>
            </w:pPr>
            <w:r>
              <w:rPr>
                <w:rFonts w:ascii="Arial" w:cs="Arial" w:eastAsia="Arial" w:hAnsi="Arial"/>
                <w:sz w:val="16"/>
                <w:szCs w:val="16"/>
                <w:b w:val="1"/>
                <w:bCs w:val="1"/>
                <w:color w:val="auto"/>
              </w:rPr>
              <w:t>Six Months Ended June 30,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7"/>
                <w:szCs w:val="17"/>
                <w:color w:val="auto"/>
              </w:rPr>
            </w:pPr>
          </w:p>
        </w:tc>
        <w:tc>
          <w:tcPr>
            <w:tcW w:w="164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2"/>
              <w:spacing w:after="0" w:line="162" w:lineRule="exact"/>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Paid-In</w:t>
            </w:r>
          </w:p>
        </w:tc>
        <w:tc>
          <w:tcPr>
            <w:tcW w:w="8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Interests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$ 1,253.6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175"/>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7"/>
        </w:trPr>
        <w:tc>
          <w:tcPr>
            <w:tcW w:w="446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(25.8)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BALANCE—June 30, 2022</w:t>
            </w:r>
          </w:p>
        </w:tc>
        <w:tc>
          <w:tcPr>
            <w:tcW w:w="760" w:type="dxa"/>
            <w:vAlign w:val="bottom"/>
          </w:tcPr>
          <w:p>
            <w:pPr>
              <w:jc w:val="right"/>
              <w:spacing w:after="0"/>
              <w:rPr>
                <w:sz w:val="20"/>
                <w:szCs w:val="20"/>
                <w:color w:val="auto"/>
              </w:rPr>
            </w:pPr>
            <w:r>
              <w:rPr>
                <w:rFonts w:ascii="Arial" w:cs="Arial" w:eastAsia="Arial" w:hAnsi="Arial"/>
                <w:sz w:val="18"/>
                <w:szCs w:val="18"/>
                <w:color w:val="auto"/>
              </w:rPr>
              <w:t>788.4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$ 1,237.3</w:t>
            </w:r>
          </w:p>
        </w:tc>
        <w:tc>
          <w:tcPr>
            <w:tcW w:w="3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(1,607.6)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27"/>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28"/>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8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5"/>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Net income including non-controlling interests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514.0</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311.7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6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86"/>
        </w:trPr>
        <w:tc>
          <w:tcPr>
            <w:tcW w:w="8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Amortization of deferred contract costs</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82"/>
        </w:trPr>
        <w:tc>
          <w:tcPr>
            <w:tcW w:w="8360" w:type="dxa"/>
            <w:vAlign w:val="bottom"/>
          </w:tcPr>
          <w:p>
            <w:pPr>
              <w:ind w:left="8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investment premiums (discounts)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2"/>
        </w:trPr>
        <w:tc>
          <w:tcPr>
            <w:tcW w:w="8360" w:type="dxa"/>
            <w:vAlign w:val="bottom"/>
          </w:tcPr>
          <w:p>
            <w:pPr>
              <w:ind w:left="880"/>
              <w:spacing w:after="0"/>
              <w:rPr>
                <w:sz w:val="20"/>
                <w:szCs w:val="20"/>
                <w:color w:val="auto"/>
              </w:rPr>
            </w:pPr>
            <w:r>
              <w:rPr>
                <w:rFonts w:ascii="Arial" w:cs="Arial" w:eastAsia="Arial" w:hAnsi="Arial"/>
                <w:sz w:val="14"/>
                <w:szCs w:val="14"/>
                <w:color w:val="auto"/>
              </w:rPr>
              <w:t>Loss from equity method investment</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6"/>
        </w:trPr>
        <w:tc>
          <w:tcPr>
            <w:tcW w:w="8360" w:type="dxa"/>
            <w:vAlign w:val="bottom"/>
          </w:tcPr>
          <w:p>
            <w:pPr>
              <w:ind w:left="880"/>
              <w:spacing w:after="0"/>
              <w:rPr>
                <w:sz w:val="20"/>
                <w:szCs w:val="20"/>
                <w:color w:val="auto"/>
              </w:rPr>
            </w:pPr>
            <w:r>
              <w:rPr>
                <w:rFonts w:ascii="Arial" w:cs="Arial" w:eastAsia="Arial" w:hAnsi="Arial"/>
                <w:sz w:val="14"/>
                <w:szCs w:val="14"/>
                <w:color w:val="auto"/>
              </w:rPr>
              <w:t>Changes in operating assets and liabilities, net of impact of business combinations: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Accounts receivable—net</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Inventory</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Deferred contract costs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Deferred tax assets</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186"/>
        </w:trPr>
        <w:tc>
          <w:tcPr>
            <w:tcW w:w="8360" w:type="dxa"/>
            <w:vAlign w:val="bottom"/>
          </w:tcPr>
          <w:p>
            <w:pPr>
              <w:ind w:left="14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Accounts payable</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Accrued payroll and compensation</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2"/>
        </w:trPr>
        <w:tc>
          <w:tcPr>
            <w:tcW w:w="8360" w:type="dxa"/>
            <w:vAlign w:val="bottom"/>
          </w:tcPr>
          <w:p>
            <w:pPr>
              <w:ind w:left="144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6"/>
        </w:trPr>
        <w:tc>
          <w:tcPr>
            <w:tcW w:w="8360" w:type="dxa"/>
            <w:vAlign w:val="bottom"/>
          </w:tcPr>
          <w:p>
            <w:pPr>
              <w:ind w:left="144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480.6</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1,192.6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719.5</w:t>
            </w:r>
          </w:p>
        </w:tc>
        <w:tc>
          <w:tcPr>
            <w:tcW w:w="0" w:type="dxa"/>
            <w:vAlign w:val="bottom"/>
          </w:tcPr>
          <w:p>
            <w:pPr>
              <w:spacing w:after="0"/>
              <w:rPr>
                <w:sz w:val="1"/>
                <w:szCs w:val="1"/>
                <w:color w:val="auto"/>
              </w:rPr>
            </w:pPr>
          </w:p>
        </w:tc>
      </w:tr>
      <w:tr>
        <w:trPr>
          <w:trHeight w:val="162"/>
        </w:trPr>
        <w:tc>
          <w:tcPr>
            <w:tcW w:w="83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Purchases of investments</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(804.6)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(389.1)</w:t>
            </w:r>
          </w:p>
        </w:tc>
        <w:tc>
          <w:tcPr>
            <w:tcW w:w="0" w:type="dxa"/>
            <w:vAlign w:val="bottom"/>
          </w:tcPr>
          <w:p>
            <w:pPr>
              <w:spacing w:after="0"/>
              <w:rPr>
                <w:sz w:val="1"/>
                <w:szCs w:val="1"/>
                <w:color w:val="auto"/>
              </w:rPr>
            </w:pPr>
          </w:p>
        </w:tc>
      </w:tr>
      <w:tr>
        <w:trPr>
          <w:trHeight w:val="186"/>
        </w:trPr>
        <w:tc>
          <w:tcPr>
            <w:tcW w:w="8360" w:type="dxa"/>
            <w:vAlign w:val="bottom"/>
          </w:tcPr>
          <w:p>
            <w:pPr>
              <w:ind w:left="480"/>
              <w:spacing w:after="0"/>
              <w:rPr>
                <w:sz w:val="20"/>
                <w:szCs w:val="20"/>
                <w:color w:val="auto"/>
              </w:rPr>
            </w:pPr>
            <w:r>
              <w:rPr>
                <w:rFonts w:ascii="Arial" w:cs="Arial" w:eastAsia="Arial" w:hAnsi="Arial"/>
                <w:sz w:val="14"/>
                <w:szCs w:val="14"/>
                <w:color w:val="auto"/>
              </w:rPr>
              <w:t>Sales of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6"/>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Maturities of investments</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360" w:type="dxa"/>
            <w:vAlign w:val="bottom"/>
          </w:tcPr>
          <w:p>
            <w:pPr>
              <w:ind w:left="18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88"/>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(1,491.2)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2"/>
        </w:trPr>
        <w:tc>
          <w:tcPr>
            <w:tcW w:w="8360" w:type="dxa"/>
            <w:vAlign w:val="bottom"/>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9"/>
        </w:trPr>
        <w:tc>
          <w:tcPr>
            <w:tcW w:w="8360" w:type="dxa"/>
            <w:vAlign w:val="bottom"/>
          </w:tcPr>
          <w:p>
            <w:pPr>
              <w:ind w:left="184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(1,576.3)</w:t>
            </w:r>
          </w:p>
        </w:tc>
        <w:tc>
          <w:tcPr>
            <w:tcW w:w="0" w:type="dxa"/>
            <w:vAlign w:val="bottom"/>
          </w:tcPr>
          <w:p>
            <w:pPr>
              <w:spacing w:after="0"/>
              <w:rPr>
                <w:sz w:val="1"/>
                <w:szCs w:val="1"/>
                <w:color w:val="auto"/>
              </w:rPr>
            </w:pPr>
          </w:p>
        </w:tc>
      </w:tr>
      <w:tr>
        <w:trPr>
          <w:trHeight w:val="19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836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(609.1)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1,319.1</w:t>
            </w:r>
          </w:p>
        </w:tc>
        <w:tc>
          <w:tcPr>
            <w:tcW w:w="0" w:type="dxa"/>
            <w:vAlign w:val="bottom"/>
          </w:tcPr>
          <w:p>
            <w:pPr>
              <w:spacing w:after="0"/>
              <w:rPr>
                <w:sz w:val="1"/>
                <w:szCs w:val="1"/>
                <w:color w:val="auto"/>
              </w:rPr>
            </w:pPr>
          </w:p>
        </w:tc>
      </w:tr>
      <w:tr>
        <w:trPr>
          <w:trHeight w:val="199"/>
        </w:trPr>
        <w:tc>
          <w:tcPr>
            <w:tcW w:w="8360" w:type="dxa"/>
            <w:vAlign w:val="bottom"/>
          </w:tcPr>
          <w:p>
            <w:pPr>
              <w:ind w:left="20"/>
              <w:spacing w:after="0"/>
              <w:rPr>
                <w:sz w:val="20"/>
                <w:szCs w:val="20"/>
                <w:color w:val="auto"/>
              </w:rPr>
            </w:pPr>
            <w:r>
              <w:rPr>
                <w:rFonts w:ascii="Arial" w:cs="Arial" w:eastAsia="Arial" w:hAnsi="Arial"/>
                <w:sz w:val="14"/>
                <w:szCs w:val="14"/>
                <w:color w:val="auto"/>
              </w:rPr>
              <w:t>CASH AND CASH EQUIVALENTS—End of period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2,376.3</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80"/>
              <w:spacing w:after="0"/>
              <w:rPr>
                <w:sz w:val="20"/>
                <w:szCs w:val="20"/>
                <w:color w:val="auto"/>
              </w:rPr>
            </w:pPr>
            <w:r>
              <w:rPr>
                <w:rFonts w:ascii="Arial" w:cs="Arial" w:eastAsia="Arial" w:hAnsi="Arial"/>
                <w:sz w:val="14"/>
                <w:szCs w:val="14"/>
                <w:color w:val="auto"/>
              </w:rPr>
              <w:t>Cash paid for income taxes—net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58.6</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80"/>
              <w:spacing w:after="0"/>
              <w:rPr>
                <w:sz w:val="20"/>
                <w:szCs w:val="20"/>
                <w:color w:val="auto"/>
              </w:rPr>
            </w:pPr>
            <w:r>
              <w:rPr>
                <w:rFonts w:ascii="Arial" w:cs="Arial" w:eastAsia="Arial" w:hAnsi="Arial"/>
                <w:sz w:val="14"/>
                <w:szCs w:val="14"/>
                <w:color w:val="auto"/>
              </w:rPr>
              <w:t>Liability for purchase of property and equipment</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unaudited condensed consolidated financial statements of Fortinet, Inc. and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2022, contained in our Annual Report on Form 10-K filed with the SEC on February 24, 2023. In the opinion of management, all adjustments, which include normal recurring adjustments, considered necessary for a fair presentation, have been included. The results of operations for the three and six months ended June 30,</w:t>
      </w:r>
    </w:p>
    <w:p>
      <w:pPr>
        <w:spacing w:after="0" w:line="1"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2023 are not necessarily indicative of the results to be expected for the full year or for any future periods. The condensed consolidated balance sheet as of December 31, 2022 is derived from the audited consolidated financial statements for the year ended December 31,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related to income taxes payable have been reclassified in prior periods to conform with current period presentation.</w:t>
      </w:r>
    </w:p>
    <w:p>
      <w:pPr>
        <w:spacing w:after="0" w:line="25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51"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97" w:lineRule="exact"/>
        <w:rPr>
          <w:sz w:val="20"/>
          <w:szCs w:val="20"/>
          <w:color w:val="auto"/>
        </w:rPr>
      </w:pPr>
    </w:p>
    <w:p>
      <w:pPr>
        <w:ind w:right="660" w:firstLine="648"/>
        <w:spacing w:after="0" w:line="261"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and six months ended June 30, 2023, as compared to the significant accounting policies described in the Form 10-K.</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and Recently Issued Accounting Standards</w:t>
      </w:r>
    </w:p>
    <w:p>
      <w:pPr>
        <w:spacing w:after="0" w:line="2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were no recently adopted accounting standards which would have a material effect on our condensed consolidated financial statements and accompanying disclosures, and no recently issued accounting standards that are expected to have a material impact on our condensed consolidated financial statements and accompanying disclosures.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93"/>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53"/>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r>
      <w:tr>
        <w:trPr>
          <w:trHeight w:val="229"/>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r>
      <w:tr>
        <w:trPr>
          <w:trHeight w:val="223"/>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1,292.8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1,030.1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2,555.1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1,984.9</w:t>
            </w:r>
          </w:p>
        </w:tc>
      </w:tr>
      <w:tr>
        <w:trPr>
          <w:trHeight w:val="21"/>
        </w:trPr>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During the three and six months ended June 30, 2023, we recognized $609.8 million and $1.29 billion in service revenue that was included in the deferred revenue balance as of December 31, 2022, respectively. During the three and six months ended June 30, 2022, we recognized $457.6 million and $964.9 million in service revenue that was included in the deferred revenue balance as of December 31,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June 30, 2023, the aggregate amount of the transaction price allocated to remaining performance obligations was $5.15 billion, which was substantially comprised of deferred security subscription, technical support services revenue and unbilled contract revenue from non-cancellable contracts that will be recognized in future periods. We expect to recognize approximately $2.60 billion as revenue over the next 12 months and the remainder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Trade accounts receivable are recorded at the invoiced amount, net of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175" w:lineRule="exact"/>
        <w:rPr>
          <w:sz w:val="20"/>
          <w:szCs w:val="20"/>
          <w:color w:val="auto"/>
        </w:rPr>
      </w:pPr>
    </w:p>
    <w:p>
      <w:pPr>
        <w:ind w:right="120" w:firstLine="583"/>
        <w:spacing w:after="0" w:line="246" w:lineRule="auto"/>
        <w:rPr>
          <w:sz w:val="20"/>
          <w:szCs w:val="20"/>
          <w:color w:val="auto"/>
        </w:rPr>
      </w:pPr>
      <w:r>
        <w:rPr>
          <w:rFonts w:ascii="Arial" w:cs="Arial" w:eastAsia="Arial" w:hAnsi="Arial"/>
          <w:sz w:val="18"/>
          <w:szCs w:val="18"/>
          <w:color w:val="auto"/>
        </w:rPr>
        <w:t>The allowance for credit losses was $5.3 million and $3.6 million as of June 30, 2023 and December 31, 2022, respectively. Provisions, write-offs and recoveries were not material during the six months ended June 30, 2023 and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of deferred contract costs during the three months ended June 30, 2023 and 2022 were $65.4 million and $54.6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deferred contract costs during the six months ended June 30, 2023 and 2022 were $127.9 million and $107.1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available-for-sale securities (in millions):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58"/>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52"/>
              <w:spacing w:after="0" w:line="158" w:lineRule="exact"/>
              <w:rPr>
                <w:sz w:val="20"/>
                <w:szCs w:val="20"/>
                <w:color w:val="auto"/>
              </w:rPr>
            </w:pPr>
            <w:r>
              <w:rPr>
                <w:rFonts w:ascii="Arial" w:cs="Arial" w:eastAsia="Arial" w:hAnsi="Arial"/>
                <w:sz w:val="16"/>
                <w:szCs w:val="16"/>
                <w:b w:val="1"/>
                <w:bCs w:val="1"/>
                <w:color w:val="auto"/>
                <w:w w:val="94"/>
              </w:rPr>
              <w:t>Amortized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center"/>
              <w:ind w:right="232"/>
              <w:spacing w:after="0" w:line="158" w:lineRule="exact"/>
              <w:rPr>
                <w:sz w:val="20"/>
                <w:szCs w:val="20"/>
                <w:color w:val="auto"/>
              </w:rPr>
            </w:pPr>
            <w:r>
              <w:rPr>
                <w:rFonts w:ascii="Arial" w:cs="Arial" w:eastAsia="Arial" w:hAnsi="Arial"/>
                <w:sz w:val="16"/>
                <w:szCs w:val="16"/>
                <w:b w:val="1"/>
                <w:bCs w:val="1"/>
                <w:color w:val="auto"/>
                <w:w w:val="95"/>
              </w:rPr>
              <w:t>Fair</w:t>
            </w:r>
          </w:p>
        </w:tc>
      </w:tr>
      <w:tr>
        <w:trPr>
          <w:trHeight w:val="213"/>
        </w:trPr>
        <w:tc>
          <w:tcPr>
            <w:tcW w:w="4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Gains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367.7</w:t>
            </w: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94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r>
      <w:tr>
        <w:trPr>
          <w:trHeight w:val="21"/>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8"/>
        </w:trPr>
        <w:tc>
          <w:tcPr>
            <w:tcW w:w="4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6"/>
                <w:szCs w:val="16"/>
                <w:b w:val="1"/>
                <w:bCs w:val="1"/>
                <w:color w:val="auto"/>
              </w:rPr>
              <w:t>December 31, 2022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8"/>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52"/>
              <w:spacing w:after="0" w:line="158" w:lineRule="exact"/>
              <w:rPr>
                <w:sz w:val="20"/>
                <w:szCs w:val="20"/>
                <w:color w:val="auto"/>
              </w:rPr>
            </w:pPr>
            <w:r>
              <w:rPr>
                <w:rFonts w:ascii="Arial" w:cs="Arial" w:eastAsia="Arial" w:hAnsi="Arial"/>
                <w:sz w:val="16"/>
                <w:szCs w:val="16"/>
                <w:b w:val="1"/>
                <w:bCs w:val="1"/>
                <w:color w:val="auto"/>
                <w:w w:val="94"/>
              </w:rPr>
              <w:t>Amortized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center"/>
              <w:ind w:right="21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Gains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3"/>
              </w:rPr>
              <w:t>Losses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6"/>
        </w:trPr>
        <w:tc>
          <w:tcPr>
            <w:tcW w:w="494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556.8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548.1</w:t>
            </w: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60" w:firstLine="648"/>
        <w:spacing w:after="0" w:line="274" w:lineRule="auto"/>
        <w:rPr>
          <w:sz w:val="20"/>
          <w:szCs w:val="20"/>
          <w:color w:val="auto"/>
        </w:rPr>
      </w:pPr>
      <w:r>
        <w:rPr>
          <w:rFonts w:ascii="Arial" w:cs="Arial" w:eastAsia="Arial" w:hAnsi="Arial"/>
          <w:sz w:val="18"/>
          <w:szCs w:val="18"/>
          <w:color w:val="auto"/>
        </w:rPr>
        <w:t>The following tables show the gross unrealized losses and the related fair values of our available-for-sale securities that have been in a continuous unrealized loss position (in millions):</w:t>
      </w:r>
    </w:p>
    <w:tbl>
      <w:tblPr>
        <w:tblLayout w:type="fixed"/>
        <w:tblInd w:w="2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12 Months or Greater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auto"/>
            </w:tcBorders>
          </w:tcPr>
          <w:p>
            <w:pPr>
              <w:spacing w:after="0"/>
              <w:rPr>
                <w:sz w:val="18"/>
                <w:szCs w:val="18"/>
                <w:color w:val="auto"/>
              </w:rPr>
            </w:pPr>
          </w:p>
        </w:tc>
      </w:tr>
      <w:tr>
        <w:trPr>
          <w:trHeight w:val="158"/>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54"/>
              <w:spacing w:after="0" w:line="15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180"/>
              <w:spacing w:after="0" w:line="158"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154"/>
              <w:spacing w:after="0" w:line="15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04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28"/>
        </w:trPr>
        <w:tc>
          <w:tcPr>
            <w:tcW w:w="4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0"/>
        </w:trPr>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12 Months or Greater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auto"/>
            </w:tcBorders>
          </w:tcPr>
          <w:p>
            <w:pPr>
              <w:spacing w:after="0"/>
              <w:rPr>
                <w:sz w:val="18"/>
                <w:szCs w:val="18"/>
                <w:color w:val="auto"/>
              </w:rPr>
            </w:pPr>
          </w:p>
        </w:tc>
      </w:tr>
      <w:tr>
        <w:trPr>
          <w:trHeight w:val="158"/>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54"/>
              <w:spacing w:after="0" w:line="15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180"/>
              <w:spacing w:after="0" w:line="158"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154"/>
              <w:spacing w:after="0" w:line="15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Municipal bonds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4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(in 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40" w:type="dxa"/>
            <w:vAlign w:val="bottom"/>
          </w:tcPr>
          <w:p>
            <w:pPr>
              <w:spacing w:after="0"/>
              <w:rPr>
                <w:sz w:val="18"/>
                <w:szCs w:val="18"/>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2022</w:t>
            </w:r>
          </w:p>
        </w:tc>
      </w:tr>
      <w:tr>
        <w:trPr>
          <w:trHeight w:val="22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30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r>
      <w:tr>
        <w:trPr>
          <w:trHeight w:val="24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within one to three years</w:t>
            </w:r>
          </w:p>
        </w:tc>
        <w:tc>
          <w:tcPr>
            <w:tcW w:w="1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48"/>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Available-for-sale securities are reported at fair value, with unrealized gains and losses and the related tax impact included as a separate component of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Equity Securities</w:t>
      </w:r>
    </w:p>
    <w:p>
      <w:pPr>
        <w:spacing w:after="0" w:line="239"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Our marketable equity securities were $22.1 million and $25.5 million as of June 30, 2023 and December 31, 2022. The changes in fair value of our marketable equity securities are recorded in other expense—net on the condensed consolidated statements of income. We recognized a $4.0 million and $3.4 million loss during the three and six months ended June 30, 2023, respectively. We recognized a $8.1 million and $14.3 million loss during the three and six months ended June 30, 2022,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41"/>
              <w:spacing w:after="0" w:line="118" w:lineRule="exact"/>
              <w:rPr>
                <w:sz w:val="20"/>
                <w:szCs w:val="20"/>
                <w:color w:val="auto"/>
              </w:rPr>
            </w:pPr>
            <w:r>
              <w:rPr>
                <w:rFonts w:ascii="Arial" w:cs="Arial" w:eastAsia="Arial" w:hAnsi="Arial"/>
                <w:sz w:val="13"/>
                <w:szCs w:val="13"/>
                <w:b w:val="1"/>
                <w:bCs w:val="1"/>
                <w:color w:val="auto"/>
                <w:w w:val="87"/>
              </w:rPr>
              <w:t>Quoted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center"/>
              <w:ind w:right="40"/>
              <w:spacing w:after="0"/>
              <w:rPr>
                <w:sz w:val="20"/>
                <w:szCs w:val="20"/>
                <w:color w:val="auto"/>
              </w:rPr>
            </w:pPr>
            <w:r>
              <w:rPr>
                <w:rFonts w:ascii="Arial" w:cs="Arial" w:eastAsia="Arial" w:hAnsi="Arial"/>
                <w:sz w:val="13"/>
                <w:szCs w:val="13"/>
                <w:b w:val="1"/>
                <w:bCs w:val="1"/>
                <w:color w:val="auto"/>
                <w:w w:val="87"/>
              </w:rPr>
              <w:t>Significant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ind w:right="40"/>
              <w:spacing w:after="0"/>
              <w:rPr>
                <w:sz w:val="20"/>
                <w:szCs w:val="20"/>
                <w:color w:val="auto"/>
              </w:rPr>
            </w:pPr>
            <w:r>
              <w:rPr>
                <w:rFonts w:ascii="Arial" w:cs="Arial" w:eastAsia="Arial" w:hAnsi="Arial"/>
                <w:sz w:val="13"/>
                <w:szCs w:val="13"/>
                <w:b w:val="1"/>
                <w:bCs w:val="1"/>
                <w:color w:val="auto"/>
                <w:w w:val="87"/>
              </w:rPr>
              <w:t>Significant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1"/>
              <w:spacing w:after="0" w:line="118" w:lineRule="exact"/>
              <w:rPr>
                <w:sz w:val="20"/>
                <w:szCs w:val="20"/>
                <w:color w:val="auto"/>
              </w:rPr>
            </w:pPr>
            <w:r>
              <w:rPr>
                <w:rFonts w:ascii="Arial" w:cs="Arial" w:eastAsia="Arial" w:hAnsi="Arial"/>
                <w:sz w:val="13"/>
                <w:szCs w:val="13"/>
                <w:b w:val="1"/>
                <w:bCs w:val="1"/>
                <w:color w:val="auto"/>
                <w:w w:val="87"/>
              </w:rPr>
              <w:t>Quoted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87"/>
              </w:rPr>
              <w:t>Significant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center"/>
              <w:ind w:right="40"/>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0"/>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61"/>
              <w:spacing w:after="0" w:line="131" w:lineRule="exact"/>
              <w:rPr>
                <w:sz w:val="20"/>
                <w:szCs w:val="20"/>
                <w:color w:val="auto"/>
              </w:rPr>
            </w:pPr>
            <w:r>
              <w:rPr>
                <w:rFonts w:ascii="Arial" w:cs="Arial" w:eastAsia="Arial" w:hAnsi="Arial"/>
                <w:sz w:val="13"/>
                <w:szCs w:val="13"/>
                <w:b w:val="1"/>
                <w:bCs w:val="1"/>
                <w:color w:val="auto"/>
                <w:w w:val="84"/>
              </w:rPr>
              <w:t>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1"/>
              <w:spacing w:after="0" w:line="131" w:lineRule="exact"/>
              <w:rPr>
                <w:sz w:val="20"/>
                <w:szCs w:val="20"/>
                <w:color w:val="auto"/>
              </w:rPr>
            </w:pPr>
            <w:r>
              <w:rPr>
                <w:rFonts w:ascii="Arial" w:cs="Arial" w:eastAsia="Arial" w:hAnsi="Arial"/>
                <w:sz w:val="13"/>
                <w:szCs w:val="13"/>
                <w:b w:val="1"/>
                <w:bCs w:val="1"/>
                <w:color w:val="auto"/>
                <w:w w:val="88"/>
              </w:rPr>
              <w:t>Prices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61"/>
              <w:spacing w:after="0" w:line="126" w:lineRule="exact"/>
              <w:rPr>
                <w:sz w:val="20"/>
                <w:szCs w:val="20"/>
                <w:color w:val="auto"/>
              </w:rPr>
            </w:pPr>
            <w:r>
              <w:rPr>
                <w:rFonts w:ascii="Arial" w:cs="Arial" w:eastAsia="Arial" w:hAnsi="Arial"/>
                <w:sz w:val="13"/>
                <w:szCs w:val="13"/>
                <w:b w:val="1"/>
                <w:bCs w:val="1"/>
                <w:color w:val="auto"/>
                <w:w w:val="87"/>
              </w:rPr>
              <w:t>Active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60"/>
              <w:spacing w:after="0" w:line="126"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0"/>
              <w:spacing w:after="0" w:line="126"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81"/>
              <w:spacing w:after="0" w:line="126" w:lineRule="exact"/>
              <w:rPr>
                <w:sz w:val="20"/>
                <w:szCs w:val="20"/>
                <w:color w:val="auto"/>
              </w:rPr>
            </w:pPr>
            <w:r>
              <w:rPr>
                <w:rFonts w:ascii="Arial" w:cs="Arial" w:eastAsia="Arial" w:hAnsi="Arial"/>
                <w:sz w:val="13"/>
                <w:szCs w:val="13"/>
                <w:b w:val="1"/>
                <w:bCs w:val="1"/>
                <w:color w:val="auto"/>
                <w:w w:val="87"/>
              </w:rPr>
              <w:t>Active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40"/>
              <w:spacing w:after="0" w:line="126"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0"/>
              <w:spacing w:after="0" w:line="126"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1"/>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30"/>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55"/>
              <w:spacing w:after="0" w:line="131"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41"/>
              <w:spacing w:after="0" w:line="131" w:lineRule="exact"/>
              <w:rPr>
                <w:sz w:val="20"/>
                <w:szCs w:val="20"/>
                <w:color w:val="auto"/>
              </w:rPr>
            </w:pPr>
            <w:r>
              <w:rPr>
                <w:rFonts w:ascii="Arial" w:cs="Arial" w:eastAsia="Arial" w:hAnsi="Arial"/>
                <w:sz w:val="13"/>
                <w:szCs w:val="13"/>
                <w:b w:val="1"/>
                <w:bCs w:val="1"/>
                <w:color w:val="auto"/>
                <w:w w:val="90"/>
              </w:rPr>
              <w:t>Identical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60"/>
              <w:spacing w:after="0" w:line="131" w:lineRule="exact"/>
              <w:rPr>
                <w:sz w:val="20"/>
                <w:szCs w:val="20"/>
                <w:color w:val="auto"/>
              </w:rPr>
            </w:pPr>
            <w:r>
              <w:rPr>
                <w:rFonts w:ascii="Arial" w:cs="Arial" w:eastAsia="Arial" w:hAnsi="Arial"/>
                <w:sz w:val="13"/>
                <w:szCs w:val="13"/>
                <w:b w:val="1"/>
                <w:bCs w:val="1"/>
                <w:color w:val="auto"/>
                <w:w w:val="90"/>
              </w:rPr>
              <w:t>Remaining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60"/>
              <w:spacing w:after="0" w:line="131" w:lineRule="exact"/>
              <w:rPr>
                <w:sz w:val="20"/>
                <w:szCs w:val="20"/>
                <w:color w:val="auto"/>
              </w:rPr>
            </w:pPr>
            <w:r>
              <w:rPr>
                <w:rFonts w:ascii="Arial" w:cs="Arial" w:eastAsia="Arial" w:hAnsi="Arial"/>
                <w:sz w:val="13"/>
                <w:szCs w:val="13"/>
                <w:b w:val="1"/>
                <w:bCs w:val="1"/>
                <w:color w:val="auto"/>
                <w:w w:val="90"/>
              </w:rPr>
              <w:t>Remaining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55"/>
              <w:spacing w:after="0" w:line="131"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1"/>
              <w:spacing w:after="0" w:line="131" w:lineRule="exact"/>
              <w:rPr>
                <w:sz w:val="20"/>
                <w:szCs w:val="20"/>
                <w:color w:val="auto"/>
              </w:rPr>
            </w:pPr>
            <w:r>
              <w:rPr>
                <w:rFonts w:ascii="Arial" w:cs="Arial" w:eastAsia="Arial" w:hAnsi="Arial"/>
                <w:sz w:val="13"/>
                <w:szCs w:val="13"/>
                <w:b w:val="1"/>
                <w:bCs w:val="1"/>
                <w:color w:val="auto"/>
                <w:w w:val="90"/>
              </w:rPr>
              <w:t>Identical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0"/>
              <w:spacing w:after="0" w:line="131" w:lineRule="exact"/>
              <w:rPr>
                <w:sz w:val="20"/>
                <w:szCs w:val="20"/>
                <w:color w:val="auto"/>
              </w:rPr>
            </w:pPr>
            <w:r>
              <w:rPr>
                <w:rFonts w:ascii="Arial" w:cs="Arial" w:eastAsia="Arial" w:hAnsi="Arial"/>
                <w:sz w:val="13"/>
                <w:szCs w:val="13"/>
                <w:b w:val="1"/>
                <w:bCs w:val="1"/>
                <w:color w:val="auto"/>
                <w:w w:val="87"/>
              </w:rPr>
              <w:t>Remaining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40"/>
              <w:spacing w:after="0" w:line="131"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20" w:type="dxa"/>
            <w:vAlign w:val="bottom"/>
          </w:tcPr>
          <w:p>
            <w:pPr>
              <w:ind w:left="460"/>
              <w:spacing w:after="0" w:line="176" w:lineRule="exact"/>
              <w:rPr>
                <w:sz w:val="20"/>
                <w:szCs w:val="20"/>
                <w:color w:val="auto"/>
              </w:rPr>
            </w:pPr>
            <w:r>
              <w:rPr>
                <w:rFonts w:ascii="Arial" w:cs="Arial" w:eastAsia="Arial" w:hAnsi="Arial"/>
                <w:sz w:val="18"/>
                <w:szCs w:val="18"/>
                <w:color w:val="auto"/>
                <w:w w:val="96"/>
              </w:rPr>
              <w:t>U.S. government and agency</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490.8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
              <w:spacing w:after="0"/>
              <w:rPr>
                <w:sz w:val="20"/>
                <w:szCs w:val="20"/>
                <w:color w:val="auto"/>
              </w:rPr>
            </w:pPr>
            <w:r>
              <w:rPr>
                <w:rFonts w:ascii="Arial" w:cs="Arial" w:eastAsia="Arial" w:hAnsi="Arial"/>
                <w:sz w:val="18"/>
                <w:szCs w:val="18"/>
                <w:color w:val="auto"/>
              </w:rPr>
              <w:t>415.9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ind w:left="68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268.6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8"/>
                <w:szCs w:val="18"/>
                <w:color w:val="auto"/>
              </w:rPr>
              <w:t>259.3</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tcPr>
          <w:p>
            <w:pPr>
              <w:ind w:left="460"/>
              <w:spacing w:after="0"/>
              <w:rPr>
                <w:sz w:val="20"/>
                <w:szCs w:val="20"/>
                <w:color w:val="auto"/>
              </w:rPr>
            </w:pPr>
            <w:r>
              <w:rPr>
                <w:rFonts w:ascii="Arial" w:cs="Arial" w:eastAsia="Arial" w:hAnsi="Arial"/>
                <w:sz w:val="18"/>
                <w:szCs w:val="18"/>
                <w:color w:val="auto"/>
              </w:rPr>
              <w:t>securities</w:t>
            </w: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tcPr>
          <w:p>
            <w:pPr>
              <w:ind w:left="46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Certificates of deposit and</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deposits</w:t>
            </w: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4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Marketable equity securities</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Marketable equity 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2023 and year ended December 31, 2022.</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(in 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300" w:type="dxa"/>
            <w:vAlign w:val="bottom"/>
          </w:tcPr>
          <w:p>
            <w:pPr>
              <w:jc w:val="right"/>
              <w:ind w:right="15"/>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80" w:type="dxa"/>
            <w:vAlign w:val="bottom"/>
          </w:tcPr>
          <w:p>
            <w:pPr>
              <w:spacing w:after="0"/>
              <w:rPr>
                <w:sz w:val="18"/>
                <w:szCs w:val="18"/>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2022</w:t>
            </w:r>
          </w:p>
        </w:tc>
      </w:tr>
      <w:tr>
        <w:trPr>
          <w:trHeight w:val="23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30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300" w:type="dxa"/>
            <w:vAlign w:val="bottom"/>
          </w:tcPr>
          <w:p>
            <w:pPr>
              <w:jc w:val="right"/>
              <w:ind w:right="111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376.3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264.6</w:t>
            </w:r>
          </w:p>
        </w:tc>
      </w:tr>
      <w:tr>
        <w:trPr>
          <w:trHeight w:val="20"/>
        </w:trPr>
        <w:tc>
          <w:tcPr>
            <w:tcW w:w="7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(in millions):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80" w:type="dxa"/>
            <w:vAlign w:val="bottom"/>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2022</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3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4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1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738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1,300.3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1,178.7</w:t>
            </w:r>
          </w:p>
        </w:tc>
      </w:tr>
      <w:tr>
        <w:trPr>
          <w:trHeight w:val="23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1220" w:type="dxa"/>
            <w:vAlign w:val="bottom"/>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981.9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898.5</w:t>
            </w:r>
          </w:p>
        </w:tc>
      </w:tr>
      <w:tr>
        <w:trPr>
          <w:trHeight w:val="21"/>
        </w:trPr>
        <w:tc>
          <w:tcPr>
            <w:tcW w:w="73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60" w:firstLine="648"/>
        <w:spacing w:after="0" w:line="243" w:lineRule="auto"/>
        <w:rPr>
          <w:sz w:val="20"/>
          <w:szCs w:val="20"/>
          <w:color w:val="auto"/>
        </w:rPr>
      </w:pPr>
      <w:r>
        <w:rPr>
          <w:rFonts w:ascii="Arial" w:cs="Arial" w:eastAsia="Arial" w:hAnsi="Arial"/>
          <w:sz w:val="18"/>
          <w:szCs w:val="18"/>
          <w:color w:val="auto"/>
        </w:rPr>
        <w:t>For the three months ended June 30, 2023, we purchased certain real estate in Spain and the United States totaling $51.9 million (“the Aggregate Purchase Price”). The purchases were accounted for under the asset acquisition method. The cost of the assets acquired was allocated to land and buildings and improvements based on their relative fair values. Of the Aggregate Purchase Price, $6.5 million was allocated to land and $45.4 million was allocated to buildings and improvements.</w:t>
      </w:r>
    </w:p>
    <w:p>
      <w:pPr>
        <w:spacing w:after="0" w:line="228"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Depreciation expense was $22.9 million and $19.1 million during the three months ended June 30, 2023 and 2022, respectively. Depreciation expense was $45.7 million and $38.2 million during the six months ended June 30, 2023 and 2022, respectively.</w:t>
      </w:r>
    </w:p>
    <w:p>
      <w:pPr>
        <w:spacing w:after="0" w:line="16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Linksys Holdings, Inc.</w:t>
      </w:r>
    </w:p>
    <w:p>
      <w:pPr>
        <w:spacing w:after="0" w:line="23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During 2021, we invested $160 million in cash for shares of the Series A Preferred Stock of privately held Linksys Holdings, Inc. (“Linksys”), representing a 50.8% ownership interest in the outstanding common stock (on an as-converted basis). Linksys provides router connectivity solutions to the consumer and small business markets.</w:t>
      </w:r>
    </w:p>
    <w:p>
      <w:pPr>
        <w:spacing w:after="0" w:line="202"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We determined that there was a basis difference between the cost of our investment in Linksys and the amount of underlying equity in net assets of Linksys. Our share of loss of Linksys’ financial results, as well as our share of the amortization of the basis differences, in total was $5.3 million and $8.1 million for the three months ended June 30, 2023 and 2022, respectively, and has been recorded in loss from equity method investment on the condensed consolidated statements of income. Our share of loss of Linksys’ financial results, as well as our share of the amortization of the basis differences, in total was $27.4 million and $16.6 million for the six months ended June 30, 2023 and 2022, respectively, and has been recorded in loss from equity method investment on the condensed consolidated statements of income. As of June 30, 2023 and December 31, 2022, the investment was included in other assets on our condensed consolidated balance sheets.</w:t>
      </w:r>
    </w:p>
    <w:p>
      <w:pPr>
        <w:spacing w:after="0" w:line="194"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the fourth quarter of 2022, we recorded a non-cash charge of $22.2 million related to other-than-temporary impairment (“OTTI”) recognized on our equity method investment in Linksys and our proportionate share of Linksys' financial results included a $17.5 million charge in connection with a valuation allowance established on deferred tax assets at Linksys. Due to the presence of impairment indicators, such as a series of operating losses, we evaluated our equity method investment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for an OTTI during the three months ended June 30, 2023. We considered various factors in determining whether an OTTI has occurred, including the limited operating history available, our ability and intent to hold the investment until its fair value recovers, the implied revenue valuation multiples compared to guideline public companies, Linksys’ ability to achieve milestones and any notable operational and strategic changes. After the evaluation, we determined that an additional OTTI has not occurred as of June 30, 2023.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 including the results and disclosures of Linksys.</w:t>
      </w: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Alaxala Networks Corporation</w:t>
      </w:r>
    </w:p>
    <w:p>
      <w:pPr>
        <w:spacing w:after="0" w:line="27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On August 31, 2021, we closed an acquisition of 75% of equity interests as controlling interests in Alaxala Networks Corporation (“Alaxala”), a privately held network hardware equipment company in Japan, for $64.2 million in cash. On October 3, 2022, we acquired the remaining 25% of equity interests in Alaxala for $13.5 million in cash, and Alaxala became our wholly owned subsidiary. We acquired the equity interests in Alaxala to broaden our offering of secure switches integrated with our Core Platform and Enhanced Platform Technology functionality, and over time, to innovate and rebrand certain of Alaxala’s switches to offer a broader suite of secure switches globally.</w:t>
      </w:r>
    </w:p>
    <w:p>
      <w:pPr>
        <w:spacing w:after="0" w:line="200" w:lineRule="exact"/>
        <w:rPr>
          <w:sz w:val="20"/>
          <w:szCs w:val="20"/>
          <w:color w:val="auto"/>
        </w:rPr>
      </w:pPr>
    </w:p>
    <w:p>
      <w:pPr>
        <w:spacing w:after="0" w:line="2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2023</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six months ended June 30, 2023 or during prior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6"/>
                <w:szCs w:val="16"/>
                <w:b w:val="1"/>
                <w:bCs w:val="1"/>
                <w:color w:val="auto"/>
              </w:rPr>
              <w:t>June 30, 2023</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3"/>
              </w:rPr>
              <w:t>Accumulated</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460"/>
              <w:spacing w:after="0"/>
              <w:rPr>
                <w:sz w:val="20"/>
                <w:szCs w:val="20"/>
                <w:color w:val="auto"/>
              </w:rPr>
            </w:pPr>
            <w:r>
              <w:rPr>
                <w:rFonts w:ascii="Arial" w:cs="Arial" w:eastAsia="Arial" w:hAnsi="Arial"/>
                <w:sz w:val="18"/>
                <w:szCs w:val="18"/>
                <w:color w:val="auto"/>
              </w:rPr>
              <w:t>Backlog</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1153"/>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December 31, 2022</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4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Weighted-Average</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6"/>
                <w:szCs w:val="16"/>
                <w:b w:val="1"/>
                <w:bCs w:val="1"/>
                <w:color w:val="auto"/>
                <w:w w:val="93"/>
              </w:rPr>
              <w:t>Accumulated</w:t>
            </w: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Years)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550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500" w:type="dxa"/>
            <w:vAlign w:val="bottom"/>
          </w:tcPr>
          <w:p>
            <w:pPr>
              <w:ind w:left="460"/>
              <w:spacing w:after="0"/>
              <w:rPr>
                <w:sz w:val="20"/>
                <w:szCs w:val="20"/>
                <w:color w:val="auto"/>
              </w:rPr>
            </w:pPr>
            <w:r>
              <w:rPr>
                <w:rFonts w:ascii="Arial" w:cs="Arial" w:eastAsia="Arial" w:hAnsi="Arial"/>
                <w:sz w:val="18"/>
                <w:szCs w:val="18"/>
                <w:color w:val="auto"/>
              </w:rPr>
              <w:t>Backlog</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Amortization expense was $4.5 million and $6.0 million during the three months ended June 30, 2023 and 2022, respectively. Amortization expense was $9.2 million and $12.4 million during the six months ended June 30, 2023 and 2022,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9000" w:type="dxa"/>
            <w:vAlign w:val="bottom"/>
          </w:tcPr>
          <w:p>
            <w:pPr>
              <w:ind w:left="340"/>
              <w:spacing w:after="0"/>
              <w:rPr>
                <w:sz w:val="20"/>
                <w:szCs w:val="20"/>
                <w:color w:val="auto"/>
              </w:rPr>
            </w:pPr>
            <w:r>
              <w:rPr>
                <w:rFonts w:ascii="Arial" w:cs="Arial" w:eastAsia="Arial" w:hAnsi="Arial"/>
                <w:sz w:val="18"/>
                <w:szCs w:val="18"/>
                <w:color w:val="auto"/>
              </w:rPr>
              <w:t>2023 (the remainder of 2023)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6"/>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1"/>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43" w:lineRule="exact"/>
        <w:rPr>
          <w:sz w:val="20"/>
          <w:szCs w:val="20"/>
          <w:color w:val="auto"/>
        </w:rPr>
      </w:pPr>
    </w:p>
    <w:p>
      <w:pPr>
        <w:ind w:right="480" w:firstLine="648"/>
        <w:spacing w:after="0" w:line="284" w:lineRule="auto"/>
        <w:rPr>
          <w:sz w:val="20"/>
          <w:szCs w:val="20"/>
          <w:color w:val="auto"/>
        </w:rPr>
      </w:pPr>
      <w:r>
        <w:rPr>
          <w:rFonts w:ascii="Arial" w:cs="Arial" w:eastAsia="Arial" w:hAnsi="Arial"/>
          <w:sz w:val="16"/>
          <w:szCs w:val="16"/>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attributable to Fortinet, Inc. is (in millions, except per share amounts):</w:t>
      </w: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2"/>
              <w:spacing w:after="0" w:line="158" w:lineRule="exact"/>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1"/>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11"/>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266.3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514.0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266.3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514.0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PSUs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51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6"/>
              </w:rPr>
              <w:t>Weighted-average shares used to compute diluted net income per</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share attributable to Fortinet, Inc.</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Fortinet, Inc.: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weighted-average shares of common stock were excluded from the computation of diluted net income per share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Fortinet, Inc. for the periods presented, as their effect would have been antidilutive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72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5120" w:type="dxa"/>
            <w:vAlign w:val="bottom"/>
          </w:tcPr>
          <w:p>
            <w:pPr>
              <w:spacing w:after="0"/>
              <w:rPr>
                <w:sz w:val="13"/>
                <w:szCs w:val="13"/>
                <w:color w:val="auto"/>
              </w:rPr>
            </w:pPr>
          </w:p>
        </w:tc>
        <w:tc>
          <w:tcPr>
            <w:tcW w:w="1120" w:type="dxa"/>
            <w:vAlign w:val="bottom"/>
          </w:tcPr>
          <w:p>
            <w:pPr>
              <w:jc w:val="center"/>
              <w:ind w:left="279"/>
              <w:spacing w:after="0" w:line="158" w:lineRule="exact"/>
              <w:rPr>
                <w:sz w:val="20"/>
                <w:szCs w:val="20"/>
                <w:color w:val="auto"/>
              </w:rPr>
            </w:pPr>
            <w:r>
              <w:rPr>
                <w:rFonts w:ascii="Arial" w:cs="Arial" w:eastAsia="Arial" w:hAnsi="Arial"/>
                <w:sz w:val="16"/>
                <w:szCs w:val="16"/>
                <w:b w:val="1"/>
                <w:bCs w:val="1"/>
                <w:color w:val="auto"/>
                <w:w w:val="87"/>
              </w:rPr>
              <w:t>June 30,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left="279"/>
              <w:spacing w:after="0" w:line="158" w:lineRule="exact"/>
              <w:rPr>
                <w:sz w:val="20"/>
                <w:szCs w:val="20"/>
                <w:color w:val="auto"/>
              </w:rPr>
            </w:pPr>
            <w:r>
              <w:rPr>
                <w:rFonts w:ascii="Arial" w:cs="Arial" w:eastAsia="Arial" w:hAnsi="Arial"/>
                <w:sz w:val="16"/>
                <w:szCs w:val="16"/>
                <w:b w:val="1"/>
                <w:bCs w:val="1"/>
                <w:color w:val="auto"/>
                <w:w w:val="90"/>
              </w:rPr>
              <w:t>June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315"/>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400" w:type="dxa"/>
            <w:vAlign w:val="bottom"/>
          </w:tcPr>
          <w:p>
            <w:pPr>
              <w:jc w:val="right"/>
              <w:ind w:right="313"/>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62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8"/>
                <w:szCs w:val="18"/>
                <w:color w:val="auto"/>
              </w:rPr>
            </w:pPr>
          </w:p>
        </w:tc>
        <w:tc>
          <w:tcPr>
            <w:tcW w:w="1500" w:type="dxa"/>
            <w:vAlign w:val="bottom"/>
            <w:gridSpan w:val="2"/>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1520" w:type="dxa"/>
            <w:vAlign w:val="bottom"/>
            <w:gridSpan w:val="2"/>
          </w:tcPr>
          <w:p>
            <w:pPr>
              <w:jc w:val="right"/>
              <w:ind w:right="453"/>
              <w:spacing w:after="0"/>
              <w:rPr>
                <w:sz w:val="20"/>
                <w:szCs w:val="20"/>
                <w:color w:val="auto"/>
              </w:rPr>
            </w:pPr>
            <w:r>
              <w:rPr>
                <w:rFonts w:ascii="Arial" w:cs="Arial" w:eastAsia="Arial" w:hAnsi="Arial"/>
                <w:sz w:val="16"/>
                <w:szCs w:val="16"/>
                <w:b w:val="1"/>
                <w:bCs w:val="1"/>
                <w:color w:val="auto"/>
              </w:rPr>
              <w:t>2022</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and 2031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June 30, 2023 and December 31, 2022,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Maturity</w:t>
            </w:r>
          </w:p>
        </w:tc>
        <w:tc>
          <w:tcPr>
            <w:tcW w:w="10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Coupon Rate</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Effective Interest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93"/>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2031</w:t>
            </w:r>
          </w:p>
        </w:tc>
        <w:tc>
          <w:tcPr>
            <w:tcW w:w="14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2.2%</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2"/>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Less: Unamortized discount and debt issuance costs</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of June 30, 2023 and December 31, 2022, we accrued interest payable of $4.7 million, and there are no financial covenants with which we must comply. During the three months ended June 30, 2023 and 2022, we recorded $4.5 million of total interest expense in relation to these Senior Notes in each quarter. During the six months ended June 30, 2023 and 2022, we recorded $9.0 million of total interest expense in relation to the Senior Notes in each period. No interest costs were capitalized for the six months ended June 30, 2023 and 2022, as the costs that qualified for capitalization were not material.</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$856.3 million, including accrued and unpaid interest, as of June 30, 2023. The fair value was determined based on observable market prices of identical instruments in less active markets. The estimated fair values are based on Level 2 inputs.</w:t>
      </w:r>
    </w:p>
    <w:p>
      <w:pPr>
        <w:spacing w:after="0" w:line="207"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June 30, 2023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bl>
    <w:p>
      <w:pPr>
        <w:spacing w:after="0" w:line="319" w:lineRule="exact"/>
        <w:rPr>
          <w:sz w:val="20"/>
          <w:szCs w:val="20"/>
          <w:color w:val="auto"/>
        </w:rPr>
      </w:pPr>
    </w:p>
    <w:p>
      <w:pPr>
        <w:ind w:right="100" w:firstLine="648"/>
        <w:spacing w:after="0" w:line="260"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and certain component suppliers procure components and build</w:t>
      </w:r>
      <w:r>
        <w:rPr>
          <w:rFonts w:ascii="Arial" w:cs="Arial" w:eastAsia="Arial" w:hAnsi="Arial"/>
          <w:sz w:val="17"/>
          <w:szCs w:val="17"/>
          <w:b w:val="1"/>
          <w:bCs w:val="1"/>
          <w:color w:val="auto"/>
        </w:rPr>
        <w:t xml:space="preserve"> </w:t>
      </w:r>
      <w:r>
        <w:rPr>
          <w:rFonts w:ascii="Arial" w:cs="Arial" w:eastAsia="Arial" w:hAnsi="Arial"/>
          <w:sz w:val="17"/>
          <w:szCs w:val="17"/>
          <w:color w:val="auto"/>
        </w:rPr>
        <w:t>our products based on our forecasts, the availability of various components and their capacity. These forecasts are based on estimates of future demand for our products, which are in turn based on historical trends and an analysis from our sales and marketing organizations, adjusted for extended lead times, changes in supplier delivery commitments and other supply chain matters and market conditions. In order to manage manufacturing lead times, plan for adequate component supply and incentivize suppliers to deliver, we may issue purchase orders to some of our independent contract manufacturers, which are non-cancelable. As of June 30, 2023, we had $1.01 billion of open purchase orders with our independent contract manufacturers that consist of non-cancelable commitments. In certain instances, these agreements allow us the option to reschedule and adjust our requirements based on our business needs prior to firm orders being placed.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June 30, 2023, we had $84.6 million in other contractual commitments having a remaining term in excess of one year that are non-cancelable.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we had $93.9 million in contractual commitments related to payments for operating leases.</w:t>
      </w:r>
    </w:p>
    <w:p>
      <w:pPr>
        <w:spacing w:after="0" w:line="235"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June 30, 2023, and December 31, 2022.</w:t>
      </w:r>
    </w:p>
    <w:p>
      <w:pPr>
        <w:spacing w:after="0" w:line="210"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On March 21, 2019, we were sued by Alorica Inc. (“Alorica”) in Santa Clara County Superior Court in California. Alorica has alleged breach of warranty and misrepresentation claims, which we deny. We have counter-claimed and are seeking monetary damages. Fact discovery closed during the quarter ended June 30, 2023, and the trial is scheduled to commence in October 2023. Although we believe that the ultimate outcome of this matter will not materially impact our financial position, results of operations or cash flows, legal proceedings are subject to inherent uncertainties, and an unfavorable ruling could occur, which may result in a material adverse impact on our business, financial position, results of operations and cash flows. No loss accrual had been recorded as of June 30, 2023 or December 31, 2022 related to this litigation.</w:t>
      </w:r>
    </w:p>
    <w:p>
      <w:pPr>
        <w:spacing w:after="0" w:line="21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120" w:firstLine="648"/>
        <w:spacing w:after="0" w:line="249" w:lineRule="auto"/>
        <w:rPr>
          <w:sz w:val="20"/>
          <w:szCs w:val="20"/>
          <w:color w:val="auto"/>
        </w:rPr>
      </w:pPr>
      <w:r>
        <w:rPr>
          <w:rFonts w:ascii="Arial" w:cs="Arial" w:eastAsia="Arial" w:hAnsi="Arial"/>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04" w:lineRule="exact"/>
        <w:rPr>
          <w:sz w:val="20"/>
          <w:szCs w:val="20"/>
          <w:color w:val="auto"/>
        </w:rPr>
      </w:pPr>
    </w:p>
    <w:p>
      <w:pPr>
        <w:ind w:left="660" w:right="6060" w:hanging="652"/>
        <w:spacing w:after="0" w:line="534" w:lineRule="auto"/>
        <w:tabs>
          <w:tab w:leader="none" w:pos="46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PLANS AND SHARE REPURCHASE PROGRAM </w:t>
      </w:r>
      <w:r>
        <w:rPr>
          <w:rFonts w:ascii="Arial" w:cs="Arial" w:eastAsia="Arial" w:hAnsi="Arial"/>
          <w:sz w:val="18"/>
          <w:szCs w:val="18"/>
          <w:b w:val="1"/>
          <w:bCs w:val="1"/>
          <w:i w:val="1"/>
          <w:iCs w:val="1"/>
          <w:color w:val="auto"/>
        </w:rPr>
        <w:t>Stock-Based Compensation Plans</w:t>
      </w:r>
    </w:p>
    <w:p>
      <w:pPr>
        <w:spacing w:after="0" w:line="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maintain the Amended and Restated Fortinet, Inc. 2009 Equity Incentive Plan (the “Amended Plan”) pursuant to which we have granted RSUs, stock options and PSUs. As of June 30, 2023, there were a total of 53.0 million shares of common stock available for grant under the Amended Plan.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50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2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17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2"/>
              </w:rPr>
              <w:t>per Share</w:t>
            </w:r>
          </w:p>
        </w:tc>
        <w:tc>
          <w:tcPr>
            <w:tcW w:w="0" w:type="dxa"/>
            <w:vAlign w:val="bottom"/>
          </w:tcPr>
          <w:p>
            <w:pPr>
              <w:spacing w:after="0"/>
              <w:rPr>
                <w:sz w:val="1"/>
                <w:szCs w:val="1"/>
                <w:color w:val="auto"/>
              </w:rPr>
            </w:pP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37"/>
        </w:trPr>
        <w:tc>
          <w:tcPr>
            <w:tcW w:w="7560" w:type="dxa"/>
            <w:vAlign w:val="bottom"/>
          </w:tcPr>
          <w:p>
            <w:pPr>
              <w:ind w:left="46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30"/>
        </w:trPr>
        <w:tc>
          <w:tcPr>
            <w:tcW w:w="7560" w:type="dxa"/>
            <w:vAlign w:val="bottom"/>
          </w:tcPr>
          <w:p>
            <w:pPr>
              <w:ind w:left="46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61"/>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June 30, 2023, total compensation expense related to unvested RSUs granted to employees and non-employees under the Amended Plan, but not yet recognized, was $509.9 million, with a weighted-average remaining vesting period of 2.9 years.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center"/>
              <w:ind w:left="337"/>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9"/>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19"/>
              <w:spacing w:after="0" w:line="158" w:lineRule="exact"/>
              <w:rPr>
                <w:sz w:val="20"/>
                <w:szCs w:val="20"/>
                <w:color w:val="auto"/>
              </w:rPr>
            </w:pPr>
            <w:r>
              <w:rPr>
                <w:rFonts w:ascii="Arial" w:cs="Arial" w:eastAsia="Arial" w:hAnsi="Arial"/>
                <w:sz w:val="16"/>
                <w:szCs w:val="16"/>
                <w:b w:val="1"/>
                <w:bCs w:val="1"/>
                <w:color w:val="auto"/>
                <w:w w:val="87"/>
              </w:rPr>
              <w:t>June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55"/>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8"/>
                <w:szCs w:val="18"/>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8"/>
                <w:szCs w:val="18"/>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Arial" w:cs="Arial" w:eastAsia="Arial" w:hAnsi="Arial"/>
                <w:sz w:val="16"/>
                <w:szCs w:val="16"/>
                <w:b w:val="1"/>
                <w:bCs w:val="1"/>
                <w:color w:val="auto"/>
              </w:rPr>
              <w:t>2022</w:t>
            </w:r>
          </w:p>
        </w:tc>
      </w:tr>
      <w:tr>
        <w:trPr>
          <w:trHeight w:val="23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0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25.1</w:t>
            </w:r>
          </w:p>
        </w:tc>
        <w:tc>
          <w:tcPr>
            <w:tcW w:w="120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35.3</w:t>
            </w:r>
          </w:p>
        </w:tc>
        <w:tc>
          <w:tcPr>
            <w:tcW w:w="1160" w:type="dxa"/>
            <w:vAlign w:val="bottom"/>
            <w:gridSpan w:val="2"/>
          </w:tcPr>
          <w:p>
            <w:pPr>
              <w:jc w:val="right"/>
              <w:ind w:right="85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59.7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100.1</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26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700" w:type="dxa"/>
            <w:vAlign w:val="bottom"/>
          </w:tcPr>
          <w:p>
            <w:pPr>
              <w:spacing w:after="0"/>
              <w:rPr>
                <w:sz w:val="13"/>
                <w:szCs w:val="13"/>
                <w:color w:val="auto"/>
              </w:rPr>
            </w:pPr>
          </w:p>
        </w:tc>
        <w:tc>
          <w:tcPr>
            <w:tcW w:w="1580" w:type="dxa"/>
            <w:vAlign w:val="bottom"/>
          </w:tcPr>
          <w:p>
            <w:pPr>
              <w:jc w:val="right"/>
              <w:ind w:right="414"/>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560" w:type="dxa"/>
            <w:vAlign w:val="bottom"/>
          </w:tcPr>
          <w:p>
            <w:pPr>
              <w:jc w:val="right"/>
              <w:ind w:right="416"/>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1540" w:type="dxa"/>
            <w:vAlign w:val="bottom"/>
          </w:tcPr>
          <w:p>
            <w:pPr>
              <w:jc w:val="right"/>
              <w:ind w:right="397"/>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520" w:type="dxa"/>
            <w:vAlign w:val="bottom"/>
          </w:tcPr>
          <w:p>
            <w:pPr>
              <w:jc w:val="right"/>
              <w:ind w:right="396"/>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700" w:type="dxa"/>
            <w:vAlign w:val="bottom"/>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2022</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80" w:type="dxa"/>
            <w:vAlign w:val="bottom"/>
          </w:tcPr>
          <w:p>
            <w:pPr>
              <w:jc w:val="right"/>
              <w:spacing w:after="0"/>
              <w:rPr>
                <w:sz w:val="20"/>
                <w:szCs w:val="20"/>
                <w:color w:val="auto"/>
              </w:rPr>
            </w:pPr>
            <w:r>
              <w:rPr>
                <w:rFonts w:ascii="Arial" w:cs="Arial" w:eastAsia="Arial" w:hAnsi="Arial"/>
                <w:sz w:val="18"/>
                <w:szCs w:val="18"/>
                <w:color w:val="auto"/>
              </w:rPr>
              <w:t>41.0 %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43.6 %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41.9 %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41.1 %</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2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6"/>
                <w:szCs w:val="16"/>
                <w:b w:val="1"/>
                <w:bCs w:val="1"/>
                <w:color w:val="auto"/>
              </w:rPr>
              <w:t>Options Outstanding</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88"/>
              </w:rPr>
              <w:t>Exercise</w:t>
            </w:r>
          </w:p>
        </w:tc>
        <w:tc>
          <w:tcPr>
            <w:tcW w:w="1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6220" w:type="dxa"/>
            <w:vAlign w:val="bottom"/>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1"/>
              </w:rPr>
              <w:t>Price</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Life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37"/>
        </w:trPr>
        <w:tc>
          <w:tcPr>
            <w:tcW w:w="6220" w:type="dxa"/>
            <w:vAlign w:val="bottom"/>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4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3.6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line="20" w:lineRule="exact"/>
              <w:rPr>
                <w:sz w:val="1"/>
                <w:szCs w:val="1"/>
                <w:color w:val="auto"/>
              </w:rPr>
            </w:pPr>
          </w:p>
        </w:tc>
      </w:tr>
      <w:tr>
        <w:trPr>
          <w:trHeight w:val="204"/>
        </w:trPr>
        <w:tc>
          <w:tcPr>
            <w:tcW w:w="622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vest—June 30, 2023</w:t>
            </w: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29.64</w:t>
            </w:r>
          </w:p>
        </w:tc>
        <w:tc>
          <w:tcPr>
            <w:tcW w:w="132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exercisable—June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for all in-the-money stock options. Stock compensation expense is recognized on a straight-line basis over the vesting period of each stock option. As of June 30, 2023, total compensation expense related to unvested stock options granted to employees but not yet recognized was $68.0 million, with a weighted-average remaining vesting period of 2.8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75"/>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74"/>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75"/>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54"/>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Market/Performance-Based PSUs</w:t>
      </w:r>
    </w:p>
    <w:p>
      <w:pPr>
        <w:spacing w:after="0" w:line="239" w:lineRule="exact"/>
        <w:rPr>
          <w:sz w:val="20"/>
          <w:szCs w:val="20"/>
          <w:color w:val="auto"/>
        </w:rPr>
      </w:pPr>
    </w:p>
    <w:p>
      <w:pPr>
        <w:ind w:right="220" w:firstLine="648"/>
        <w:spacing w:after="0" w:line="278" w:lineRule="auto"/>
        <w:rPr>
          <w:sz w:val="20"/>
          <w:szCs w:val="20"/>
          <w:color w:val="auto"/>
        </w:rPr>
      </w:pPr>
      <w:r>
        <w:rPr>
          <w:rFonts w:ascii="Arial" w:cs="Arial" w:eastAsia="Arial" w:hAnsi="Arial"/>
          <w:sz w:val="16"/>
          <w:szCs w:val="16"/>
          <w:color w:val="auto"/>
        </w:rPr>
        <w:t>We granted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weighted-average assumptions relating to our PSUs for the three months ended March 31,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Three Months Ended</w:t>
            </w:r>
          </w:p>
        </w:tc>
      </w:tr>
      <w:tr>
        <w:trPr>
          <w:trHeight w:val="159"/>
        </w:trPr>
        <w:tc>
          <w:tcPr>
            <w:tcW w:w="8000" w:type="dxa"/>
            <w:vAlign w:val="bottom"/>
          </w:tcPr>
          <w:p>
            <w:pPr>
              <w:spacing w:after="0"/>
              <w:rPr>
                <w:sz w:val="13"/>
                <w:szCs w:val="13"/>
                <w:color w:val="auto"/>
              </w:rPr>
            </w:pPr>
          </w:p>
        </w:tc>
        <w:tc>
          <w:tcPr>
            <w:tcW w:w="32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March 31,</w:t>
            </w:r>
          </w:p>
        </w:tc>
      </w:t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3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240" w:type="dxa"/>
            <w:vAlign w:val="bottom"/>
          </w:tcPr>
          <w:p>
            <w:pPr>
              <w:jc w:val="right"/>
              <w:spacing w:after="0"/>
              <w:rPr>
                <w:sz w:val="20"/>
                <w:szCs w:val="20"/>
                <w:color w:val="auto"/>
              </w:rPr>
            </w:pPr>
            <w:r>
              <w:rPr>
                <w:rFonts w:ascii="Arial" w:cs="Arial" w:eastAsia="Arial" w:hAnsi="Arial"/>
                <w:sz w:val="18"/>
                <w:szCs w:val="18"/>
                <w:color w:val="auto"/>
              </w:rPr>
              <w:t>47.5 %</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32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granted approximately 0.3 million shares of PSU awards with a grant date fair value of $90.96 per share to certain of our executives during the first quarter of 2023. The grant date fair value of these awards was determined using a Monte Carlo simulation pricing model. None of these PSU awards were vested or forfeited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As of June 30, 2023, total compensation expense related to unvested PSUs that were granted to certain of our executives, but not yet recognized, was $23.2 million. This expense is expected to be amortized on a graded vesting method over a weighted-average vesting period of 2.6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jc w:val="center"/>
              <w:ind w:left="317"/>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3"/>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94"/>
              <w:spacing w:after="0" w:line="158" w:lineRule="exact"/>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3"/>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337"/>
              <w:spacing w:after="0"/>
              <w:rPr>
                <w:sz w:val="20"/>
                <w:szCs w:val="20"/>
                <w:color w:val="auto"/>
              </w:rPr>
            </w:pPr>
            <w:r>
              <w:rPr>
                <w:rFonts w:ascii="Arial" w:cs="Arial" w:eastAsia="Arial" w:hAnsi="Arial"/>
                <w:sz w:val="16"/>
                <w:szCs w:val="16"/>
                <w:b w:val="1"/>
                <w:bCs w:val="1"/>
                <w:color w:val="auto"/>
                <w:w w:val="89"/>
              </w:rPr>
              <w:t>2023</w:t>
            </w:r>
          </w:p>
        </w:tc>
        <w:tc>
          <w:tcPr>
            <w:tcW w:w="420" w:type="dxa"/>
            <w:vAlign w:val="bottom"/>
          </w:tcPr>
          <w:p>
            <w:pPr>
              <w:spacing w:after="0"/>
              <w:rPr>
                <w:sz w:val="18"/>
                <w:szCs w:val="18"/>
                <w:color w:val="auto"/>
              </w:rPr>
            </w:pPr>
          </w:p>
        </w:tc>
        <w:tc>
          <w:tcPr>
            <w:tcW w:w="120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5"/>
              </w:rPr>
              <w:t>2022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93"/>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060" w:type="dxa"/>
            <w:vAlign w:val="bottom"/>
            <w:tcBorders>
              <w:top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Cost of service revenue</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20.0</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29.3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5000" w:type="dxa"/>
            <w:vAlign w:val="bottom"/>
            <w:gridSpan w:val="2"/>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65.7</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55.3</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19"/>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w w:val="90"/>
              </w:rPr>
              <w:t>The following table summarizes stock-based compensation expense, including stock-based compensation expense related to awards classified as</w:t>
            </w: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liabilities, by award type (in millions):</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5"/>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jc w:val="center"/>
              <w:ind w:left="317"/>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3"/>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94"/>
              <w:spacing w:after="0" w:line="158" w:lineRule="exact"/>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3"/>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337"/>
              <w:spacing w:after="0"/>
              <w:rPr>
                <w:sz w:val="20"/>
                <w:szCs w:val="20"/>
                <w:color w:val="auto"/>
              </w:rPr>
            </w:pPr>
            <w:r>
              <w:rPr>
                <w:rFonts w:ascii="Arial" w:cs="Arial" w:eastAsia="Arial" w:hAnsi="Arial"/>
                <w:sz w:val="16"/>
                <w:szCs w:val="16"/>
                <w:b w:val="1"/>
                <w:bCs w:val="1"/>
                <w:color w:val="auto"/>
                <w:w w:val="89"/>
              </w:rPr>
              <w:t>2023</w:t>
            </w:r>
          </w:p>
        </w:tc>
        <w:tc>
          <w:tcPr>
            <w:tcW w:w="420" w:type="dxa"/>
            <w:vAlign w:val="bottom"/>
          </w:tcPr>
          <w:p>
            <w:pPr>
              <w:spacing w:after="0"/>
              <w:rPr>
                <w:sz w:val="18"/>
                <w:szCs w:val="18"/>
                <w:color w:val="auto"/>
              </w:rPr>
            </w:pPr>
          </w:p>
        </w:tc>
        <w:tc>
          <w:tcPr>
            <w:tcW w:w="120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5"/>
              </w:rPr>
              <w:t>2022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93"/>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60" w:type="dxa"/>
            <w:vAlign w:val="bottom"/>
            <w:tcBorders>
              <w:top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55.1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3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10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gridSpan w:val="2"/>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65.7</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r>
      <w:tr>
        <w:trPr>
          <w:trHeight w:val="21"/>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33"/>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w w:val="91"/>
              </w:rPr>
              <w:t>Total income tax benefit associated with stock-based compensation that is recognized in the condensed consolidated statements of income is as</w:t>
            </w: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follows (in millions):</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4"/>
        </w:trPr>
        <w:tc>
          <w:tcPr>
            <w:tcW w:w="4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jc w:val="center"/>
              <w:ind w:left="317"/>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3"/>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94"/>
              <w:spacing w:after="0" w:line="158" w:lineRule="exact"/>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3"/>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337"/>
              <w:spacing w:after="0"/>
              <w:rPr>
                <w:sz w:val="20"/>
                <w:szCs w:val="20"/>
                <w:color w:val="auto"/>
              </w:rPr>
            </w:pPr>
            <w:r>
              <w:rPr>
                <w:rFonts w:ascii="Arial" w:cs="Arial" w:eastAsia="Arial" w:hAnsi="Arial"/>
                <w:sz w:val="16"/>
                <w:szCs w:val="16"/>
                <w:b w:val="1"/>
                <w:bCs w:val="1"/>
                <w:color w:val="auto"/>
                <w:w w:val="89"/>
              </w:rPr>
              <w:t>2023</w:t>
            </w:r>
          </w:p>
        </w:tc>
        <w:tc>
          <w:tcPr>
            <w:tcW w:w="420" w:type="dxa"/>
            <w:vAlign w:val="bottom"/>
          </w:tcPr>
          <w:p>
            <w:pPr>
              <w:spacing w:after="0"/>
              <w:rPr>
                <w:sz w:val="18"/>
                <w:szCs w:val="18"/>
                <w:color w:val="auto"/>
              </w:rPr>
            </w:pPr>
          </w:p>
        </w:tc>
        <w:tc>
          <w:tcPr>
            <w:tcW w:w="120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5"/>
              </w:rPr>
              <w:t>2022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193"/>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Income tax benefit associated with stock-based compensation</w:t>
            </w: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In February 2023, our board of directors approved an extension of the Repurchase Program originally approved by our board of directors in January 2016 to February 29, 2024. In April 2023, our board of directors approved a $1.0 billion increase in the authorized amount under the Repurchase Program, bringing the aggregate amount authorized to be repurchased to $6.25 billion of our outstanding common stock through February 29, 2024.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 Refer to Note 16, Subsequent Events, for information regarding the approved $500.0 million increase in the authorized stock repurchase amount under the Repurchase Program in July 2023.</w:t>
      </w:r>
    </w:p>
    <w:p>
      <w:pPr>
        <w:spacing w:after="0" w:line="216"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There were no shares repurchased under the Repurchase Program during the six months ended June 30, 2023. As of June 30, 2023, $1.53 billion remained available for future share repurchases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43"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Our effective tax rate was 9% for the three months ended June 30, 2023, compared to an effective tax rate of 1% for the same period last year. Our effective tax rate was 8% for the six months ended June 30, 2023, compared to an effective tax rate of negative 2% for the same period last year. The tax rates for the three months ended June 30, 2023 and 2022 were composed of U.S. federal and state taxes, withholding taxes and foreign taxes that amounted to $84.8 million and $54.5 million, respectively. The tax rate for the three months ended June 30, 2023 was impacted by a tax benefit of $25.8 million from the FDII deduction, excess tax benefits from stock-based compensation expense of $13.3 million, and the release of reserves of $18.1 million on uncertain tax positions and the accrued interest thereon due to the expiration of statutes of limitations. The tax rate for the three months ended June 30, 2022 was impacted by a tax benefit of $18.6 million from the FDII deduction, excess tax benefits from stock-based compensation expense of $17.3 million, and the release of reserves of $16.2 million on uncertain tax positions and the accrued interest thereon due to the expiration of statutes of limitations.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 rates for the six months ended June 30, 2023 and 2022 were composed of U.S. federal and state taxes, withholding taxes and foreign taxes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that amounted to $170.6 million and $93.3 million, respectively. The tax rate for the six months ended June 30, 2023 was impacted by a tax benefit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$64.0 million from the FDII deduction, excess tax benefits from stock-based compensation expense of $39.6 million, and the release of reserves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$18.1 million on uncertain tax positions and the accrued interest thereon due to the expiration of statutes of limitations. The tax rate for the six months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2022 was impacted by a tax benefit of $33.3 million from the FDII deduction, excess tax benefits from stock-based compensation expense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 $49.5 million, and the release of reserves of $16.2 million on uncertain tax positions and the accrued interest thereon due to the expiration of statutes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limitations.</w:t>
      </w:r>
    </w:p>
    <w:p>
      <w:pPr>
        <w:spacing w:after="0" w:line="223"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As of June 30, 2023 and December 31, 2022, unrecognized tax benefits were $63.4 million and $67.4 million, respectively. If recognized, $53.8 million of the unrecognized tax benefits as of June 30, 2023 would favorably affect our effective tax rate. It is our policy to include accrued interest and penalties related to unrecognized tax benefits in income tax expense. As of June 30, 2023 and December 31, 2022, accrued interest and penalties were $5.3 million and $9.3 million, respectively. It is reasonably possible that our gross unrecognized tax benefits will decrease by up to $1.9 million in the next 12 months, due to the lapse of statutes of limitation in various jurisdictions. This decrease, if recognized, would favorably impact our effective tax rate, and would be recognized as an additional tax benefit.</w:t>
      </w:r>
    </w:p>
    <w:p>
      <w:pPr>
        <w:spacing w:after="0" w:line="23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spacing w:after="0" w:line="20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Effective January 1, 2022, research and development expenses are required to be capitalized and amortized for U.S. tax purposes, which delays the deductibility of these expenses, and increases our current provision.</w:t>
      </w:r>
    </w:p>
    <w:p>
      <w:pPr>
        <w:spacing w:after="0" w:line="198"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These final regulations adversely impact our ability to claim foreign tax credits in the United States for certain taxes imposed by certain foreign jurisdictions.</w:t>
      </w:r>
    </w:p>
    <w:p>
      <w:pPr>
        <w:spacing w:after="0" w:line="199"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On August 16, 2022, the United States enacted the Inflation Reduction Act of 2022 that provides for certain changes to the U.S. corporate income tax system, including a 15% minimum tax based on financial statement income for companies with three-year average annual adjusted financial statement income exceeding $1 billion, and a 1% excise tax on net repurchases of stock after December 31, 2022, if any. The applicable tax law changes have had no impact to our tax provision for the six months ended June 30, 2023. We will continue to monitor the impact, if any, of these tax law changes on future periods.</w:t>
      </w:r>
    </w:p>
    <w:p>
      <w:pPr>
        <w:spacing w:after="0" w:line="22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June 30, 2023 and 2022 were $5.7 million and $3.2 million, respectively. Our matching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to our 401(k) Plan and the RRSP for the six months ended June 30, 2023 and 2022 were $10.1 million and $6.6 million, respectively.</w:t>
      </w:r>
    </w:p>
    <w:p>
      <w:pPr>
        <w:spacing w:after="0" w:line="26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8"/>
          </w:tcPr>
          <w:p>
            <w:pPr>
              <w:ind w:left="6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300"/>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400"/>
              <w:spacing w:after="0" w:line="158" w:lineRule="exact"/>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ind w:left="220"/>
              <w:spacing w:after="0" w:line="158" w:lineRule="exact"/>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shd w:val="clear" w:color="auto" w:fill="CCEEFF"/>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404.7</w:t>
            </w:r>
          </w:p>
        </w:tc>
        <w:tc>
          <w:tcPr>
            <w:tcW w:w="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312.9</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788.8</w:t>
            </w:r>
          </w:p>
        </w:tc>
        <w:tc>
          <w:tcPr>
            <w:tcW w:w="8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940" w:type="dxa"/>
            <w:vAlign w:val="bottom"/>
            <w:gridSpan w:val="4"/>
          </w:tcPr>
          <w:p>
            <w:pPr>
              <w:ind w:left="420"/>
              <w:spacing w:after="0"/>
              <w:rPr>
                <w:sz w:val="20"/>
                <w:szCs w:val="20"/>
                <w:color w:val="auto"/>
              </w:rPr>
            </w:pPr>
            <w:r>
              <w:rPr>
                <w:rFonts w:ascii="Arial" w:cs="Arial" w:eastAsia="Arial" w:hAnsi="Arial"/>
                <w:sz w:val="18"/>
                <w:szCs w:val="18"/>
                <w:color w:val="auto"/>
              </w:rPr>
              <w:t>Total Americas</w:t>
            </w:r>
          </w:p>
        </w:tc>
        <w:tc>
          <w:tcPr>
            <w:tcW w:w="1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413.6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1,060.5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shd w:val="clear" w:color="auto" w:fill="CCEEFF"/>
          </w:tcPr>
          <w:p>
            <w:pPr>
              <w:spacing w:after="0"/>
              <w:rPr>
                <w:sz w:val="20"/>
                <w:szCs w:val="20"/>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Asia Pacific (“APAC”)</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248.9</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509.5</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CCEEFF"/>
            </w:tcBorders>
            <w:shd w:val="clear" w:color="auto" w:fill="CCEEFF"/>
          </w:tcPr>
          <w:p>
            <w:pPr>
              <w:spacing w:after="0"/>
              <w:rPr>
                <w:sz w:val="22"/>
                <w:szCs w:val="22"/>
                <w:color w:val="auto"/>
              </w:rPr>
            </w:pPr>
          </w:p>
        </w:tc>
        <w:tc>
          <w:tcPr>
            <w:tcW w:w="49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2,555.1</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49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9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ind w:left="22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40" w:type="dxa"/>
            <w:vAlign w:val="bottom"/>
            <w:gridSpan w:val="4"/>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4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ind w:left="20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49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40" w:type="dxa"/>
            <w:vAlign w:val="bottom"/>
            <w:gridSpan w:val="4"/>
          </w:tcPr>
          <w:p>
            <w:pPr>
              <w:ind w:left="420"/>
              <w:spacing w:after="0"/>
              <w:rPr>
                <w:sz w:val="20"/>
                <w:szCs w:val="20"/>
                <w:color w:val="auto"/>
              </w:rPr>
            </w:pPr>
            <w:r>
              <w:rPr>
                <w:rFonts w:ascii="Arial" w:cs="Arial" w:eastAsia="Arial" w:hAnsi="Arial"/>
                <w:sz w:val="18"/>
                <w:szCs w:val="18"/>
                <w:color w:val="auto"/>
              </w:rPr>
              <w:t>Total property and equipment—net</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7"/>
            <w:vMerge w:val="restart"/>
          </w:tcPr>
          <w:p>
            <w:pPr>
              <w:ind w:left="40"/>
              <w:spacing w:after="0"/>
              <w:rPr>
                <w:sz w:val="20"/>
                <w:szCs w:val="20"/>
                <w:color w:val="auto"/>
              </w:rPr>
            </w:pPr>
            <w:r>
              <w:rPr>
                <w:rFonts w:ascii="Arial" w:cs="Arial" w:eastAsia="Arial" w:hAnsi="Arial"/>
                <w:sz w:val="18"/>
                <w:szCs w:val="18"/>
                <w:color w:val="auto"/>
              </w:rPr>
              <w:t>The following distributors accounted for 10% or more of our revenue:</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6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8"/>
          </w:tcPr>
          <w:p>
            <w:pPr>
              <w:ind w:left="6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ind w:left="80"/>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3"/>
              <w:spacing w:after="0" w:line="158" w:lineRule="exact"/>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right w:val="single" w:sz="8" w:color="CCEEFF"/>
            </w:tcBorders>
            <w:shd w:val="clear" w:color="auto" w:fill="CCEEFF"/>
          </w:tcPr>
          <w:p>
            <w:pPr>
              <w:spacing w:after="0"/>
              <w:rPr>
                <w:sz w:val="20"/>
                <w:szCs w:val="20"/>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Distributor A</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Distributor B</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distributors accounted for 10% or more of net accounts receivable:</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Arial" w:cs="Arial" w:eastAsia="Arial" w:hAnsi="Arial"/>
                <w:sz w:val="16"/>
                <w:szCs w:val="16"/>
                <w:b w:val="1"/>
                <w:bCs w:val="1"/>
                <w:color w:val="auto"/>
                <w:w w:val="90"/>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820" w:type="dxa"/>
            <w:vAlign w:val="bottom"/>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26"/>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7"/>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Distributor B</w:t>
            </w: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36"/>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00" w:lineRule="exact"/>
        <w:rPr>
          <w:sz w:val="20"/>
          <w:szCs w:val="20"/>
          <w:color w:val="auto"/>
        </w:rPr>
      </w:pPr>
    </w:p>
    <w:p>
      <w:pPr>
        <w:spacing w:after="0" w:line="36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 Privately Held Company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August 1, 2023, we invested $8.5 million in cash in a privately held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right="80" w:firstLine="567"/>
        <w:spacing w:after="0" w:line="255" w:lineRule="auto"/>
        <w:rPr>
          <w:sz w:val="20"/>
          <w:szCs w:val="20"/>
          <w:color w:val="auto"/>
        </w:rPr>
      </w:pPr>
      <w:r>
        <w:rPr>
          <w:rFonts w:ascii="Arial" w:cs="Arial" w:eastAsia="Arial" w:hAnsi="Arial"/>
          <w:sz w:val="17"/>
          <w:szCs w:val="17"/>
          <w:color w:val="auto"/>
        </w:rPr>
        <w:t>In July 2023, our board of directors approved a $500.0 million increase in the authorized stock repurchase amount under the Repurchase Program, bringing the aggregate amount authorized to be repurchased to $6.75 billion of our outstanding common stock through February 29, 2024. As of August 7, 2023, approximately $1.87 billion remained available for future share repurchases. Subsequent to June 30, 2023 through the filing of this Quarterly Report on Form 10-Q, we repurchased approximately 2.8 million shares of our common stock at an average price of $57.44 per share for an aggregate purchase price of approximately $161.1 million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and service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from certain products and services;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instability in the global banking system;</w:t>
      </w:r>
    </w:p>
    <w:p>
      <w:pPr>
        <w:spacing w:after="0" w:line="252" w:lineRule="exact"/>
        <w:rPr>
          <w:rFonts w:ascii="Arial" w:cs="Arial" w:eastAsia="Arial" w:hAnsi="Arial"/>
          <w:sz w:val="18"/>
          <w:szCs w:val="18"/>
          <w:i w:val="1"/>
          <w:iCs w:val="1"/>
          <w:color w:val="auto"/>
        </w:rPr>
      </w:pPr>
    </w:p>
    <w:p>
      <w:pPr>
        <w:ind w:left="1300" w:right="120" w:hanging="644"/>
        <w:spacing w:after="0" w:line="277" w:lineRule="auto"/>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or decreasing inflation or stagflation, and rising interest rates in many geographies and changes in currency exchange rates and currency regulations;</w:t>
      </w:r>
    </w:p>
    <w:p>
      <w:pPr>
        <w:spacing w:after="0" w:line="197" w:lineRule="exact"/>
        <w:rPr>
          <w:rFonts w:ascii="Arial" w:cs="Arial" w:eastAsia="Arial" w:hAnsi="Arial"/>
          <w:sz w:val="18"/>
          <w:szCs w:val="18"/>
          <w:i w:val="1"/>
          <w:iCs w:val="1"/>
          <w:color w:val="auto"/>
        </w:rPr>
      </w:pPr>
    </w:p>
    <w:p>
      <w:pPr>
        <w:ind w:left="1300" w:right="500" w:hanging="644"/>
        <w:spacing w:after="0" w:line="277" w:lineRule="auto"/>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macroeconomic, geopolitical factors and other disruption on our manufacturing or sales, including public health issues, wars and natural disasters;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real estate investments and management, expansions and enhancements of current properties;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government regulation, tariffs and other policies;</w:t>
      </w:r>
    </w:p>
    <w:p>
      <w:pPr>
        <w:spacing w:after="0" w:line="252" w:lineRule="exact"/>
        <w:rPr>
          <w:rFonts w:ascii="Arial" w:cs="Arial" w:eastAsia="Arial" w:hAnsi="Arial"/>
          <w:sz w:val="18"/>
          <w:szCs w:val="18"/>
          <w:i w:val="1"/>
          <w:iCs w:val="1"/>
          <w:color w:val="auto"/>
        </w:rPr>
      </w:pPr>
    </w:p>
    <w:p>
      <w:pPr>
        <w:ind w:left="1300" w:right="520" w:hanging="644"/>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pricing of our products and services, sales productivity and capacity, functionality and value in our service offerings;</w:t>
      </w:r>
    </w:p>
    <w:p>
      <w:pPr>
        <w:spacing w:after="0" w:line="211"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supply chain constraints, component availability and other factors affecting our manufacturing capacity, delivery, cost and inventory management, as well as improving supply chain dynamics;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forecasts of future demand and targeted inventory levels;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backlog from prior quarters, including its effect on growth of in-quarter billings and revenue;</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trends in revenue, cost of revenue and gross margin, including expectations regarding product revenue and service revenue growth;</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plans and strategy for the acceleration of our points of presence (“PoP”) deployment;</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expenses will increase in absolute dollars during the remainder of 2023;</w:t>
      </w:r>
    </w:p>
    <w:p>
      <w:pPr>
        <w:sectPr>
          <w:pgSz w:w="11900" w:h="16838" w:orient="portrait"/>
          <w:cols w:equalWidth="0" w:num="1">
            <w:col w:w="11180"/>
          </w:cols>
          <w:pgMar w:left="320" w:top="28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60" w:hanging="644"/>
        <w:spacing w:after="0" w:line="277"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and performance stock units versus stock options granted;</w:t>
      </w:r>
    </w:p>
    <w:p>
      <w:pPr>
        <w:spacing w:after="0" w:line="197" w:lineRule="exact"/>
        <w:rPr>
          <w:rFonts w:ascii="Arial" w:cs="Arial" w:eastAsia="Arial" w:hAnsi="Arial"/>
          <w:sz w:val="18"/>
          <w:szCs w:val="18"/>
          <w:i w:val="1"/>
          <w:iCs w:val="1"/>
          <w:color w:val="auto"/>
        </w:rPr>
      </w:pPr>
    </w:p>
    <w:p>
      <w:pPr>
        <w:ind w:left="1300" w:right="80" w:hanging="644"/>
        <w:spacing w:after="0" w:line="277"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uncertain tax benefits and our effective domestic and global tax rates, the impact of interpretations of or changes to tax law, and the timing of tax payments;</w:t>
      </w:r>
    </w:p>
    <w:p>
      <w:pPr>
        <w:spacing w:after="0" w:line="197" w:lineRule="exact"/>
        <w:rPr>
          <w:rFonts w:ascii="Arial" w:cs="Arial" w:eastAsia="Arial" w:hAnsi="Arial"/>
          <w:sz w:val="18"/>
          <w:szCs w:val="18"/>
          <w:i w:val="1"/>
          <w:iCs w:val="1"/>
          <w:color w:val="auto"/>
        </w:rPr>
      </w:pPr>
    </w:p>
    <w:p>
      <w:pPr>
        <w:ind w:left="1300" w:right="300" w:hanging="644"/>
        <w:spacing w:after="0" w:line="26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expectations regarding spending related to real estate acquisitions and development, data center investments, as well as other capital expenditures and to the impact on free cash flow and expenses;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2023 spending on capital expenditures;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6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Fortinet is a global leader in cybersecurity and secure networking solutions. Our mission is to secure people, devices and data everywhere. We deliver cybersecurity everywhere our customers need it with an integrated portfolio of over 50 enterprise-grade products. As of June 30, 2023, over half a million customers, including enterprises, communication service providers and security service providers, government organizations and small and medium-sized businesses, trusted our solutions.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product offerings are designed to converge networking and security into a single solution, consolidate cybersecurity point products into an integrated platform and deliver operational-technology (“OT”) aware features to secure OT environments. This allows customers to realize automated protection, improve detection and response times, and provide visibility across both Fortinet-developed solutions and a broad ecosystem of over 500 third-party solutions and technologies. As a U.S.-based company, the majority of Fortinet’s research and development is based in North America, with a global footprint of support and centers of excellence across time zones from North America to Europe to Asia. We held 1,285 U.S. and foreign-issued patents as of June 30, 2023, a testament to our dedication to innovation that delivers leading cybersecurity and networking solutions.</w:t>
      </w:r>
    </w:p>
    <w:p>
      <w:pPr>
        <w:spacing w:after="0" w:line="19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a cybersecurity leader, Fortinet believes it is our duty to help make the world a safer and more sustainable place. That is why, beyond our commitment to cybersecurity and networking technology innovation, we strive to:</w:t>
      </w:r>
    </w:p>
    <w:p>
      <w:pPr>
        <w:spacing w:after="0" w:line="19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environmental footprint of our technology with a commitment to ensure each generation of our products consumes less energy;</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Eliminate the global cyber skills shortage by maintaining one of the largest and broadest training programs in the industry;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Foster cooperation against cybercrime through partnerships that help shape the future of cyber threat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mitigation and by sharing actionable threat intelligence between public and private organizations.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focus areas of our business consist of:</w:t>
      </w:r>
    </w:p>
    <w:p>
      <w:pPr>
        <w:spacing w:after="0" w:line="25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Secure Networking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Platform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 Security</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Secure Networking</w:t>
      </w:r>
      <w:r>
        <w:rPr>
          <w:rFonts w:ascii="Arial" w:cs="Arial" w:eastAsia="Arial" w:hAnsi="Arial"/>
          <w:sz w:val="16"/>
          <w:szCs w:val="16"/>
          <w:color w:val="auto"/>
        </w:rPr>
        <w:t>—Our Secure Networking solutions enable the convergence of networking and security by integrating multiple markets and use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a single operating system: the Fortinet Operating System (“FortiOS”). It can be delivered to customers through an application-specific integrated circuit (“ASIC”)-accelerated hardware appliance, virtual machine, as-a-Service, cloud native and container. When delivered via our appliances, functionality is accelerated with the use of our proprietary ASIC technology, which consists of three processors. First, a seventh generation network processor, FortiNP7, accelerates the processing of firewall traffic and offloads this function from the central processing unit (“CPU”). Second, a ninth generation content processor, FortiCP9, helps the CPU with deep packet inspection functions such as intrusion prevention and antivirus. Multiple CPUs, NP7s and CP9s can be placed in larger firewalls to provide more scale. Third, the CPU, network processor and content processor functions are all brought together in a single ASIC, our fifth generation Security Processor, FortiSP5. These proprietary ASICs, along with off the shelf CPU and ASICs, allow our systems to scale from the smallest branch to a hyperscale cloud and run multiple applications at higher performance and lower power consumption.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markets and use cases are supported by the FortiOS converged operating system:</w:t>
      </w:r>
    </w:p>
    <w:p>
      <w:pPr>
        <w:spacing w:after="0" w:line="25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Firewall, including Hybrid Mesh Firewall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Software-Defined Wide Area Network (“SD-WAN”)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Area Network/Wireless Local Area Network (Wi-Fi and Switch)</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Universal Secure Access Service Edge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Cloud Security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Universal Zero Trust Network Access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Encryption Applications (SSL Inspection, Virtual Private Network and IPsec Connectivity)</w:t>
      </w: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i w:val="1"/>
          <w:iCs w:val="1"/>
          <w:color w:val="auto"/>
        </w:rPr>
        <w:t>Cybersecurity Platform</w:t>
      </w:r>
      <w:r>
        <w:rPr>
          <w:rFonts w:ascii="Arial" w:cs="Arial" w:eastAsia="Arial" w:hAnsi="Arial"/>
          <w:sz w:val="17"/>
          <w:szCs w:val="17"/>
          <w:color w:val="auto"/>
        </w:rPr>
        <w:t>—Many enterprises are looking to consolidate point products into a cybersecurity platform to improve the efficiency and efficacy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their security. This platform approach is also known as a Cybersecurity Mesh Architecture, or our more expansive Fortinet Security Fabric, which includes FortiGuard AI-powered services and integrated security products engineered with automation in mind to support customers in building a cybersecurity platform. The Fortinet Security Fabric facilitates dynamic information sharing across customers’ security infrastructure as well as the automation of workflows, including response. The result is improved prevention while significantly reducing Mean-Time-to-Detect and Mean-Time-to-Respond to cyber threats. The major cybersecurity markets of our business include:</w:t>
      </w:r>
    </w:p>
    <w:p>
      <w:pPr>
        <w:spacing w:after="0" w:line="21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Endpoint Protection Platforms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Next-Generation Firewall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Intrusion Prevention Systems (“IPS”)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Secure Web Gateway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Identity and Access Management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Cloud Access Security Broker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Information and Event Management</w:t>
      </w:r>
    </w:p>
    <w:p>
      <w:pPr>
        <w:sectPr>
          <w:pgSz w:w="11900" w:h="16838" w:orient="portrait"/>
          <w:cols w:equalWidth="0" w:num="1">
            <w:col w:w="11100"/>
          </w:cols>
          <w:pgMar w:left="320" w:top="283" w:right="4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3" w:right="4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Orchestration and Automated Response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Email Gateway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Web Application Firewalls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Cloud Security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Network Detection and Response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External Attack Surface Monitoring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Network Access and Control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support our broad portfolio of cybersecurity products, we deliver the following AI-powered FortiGuard Threat Intelligence Services:</w:t>
      </w:r>
    </w:p>
    <w:p>
      <w:pPr>
        <w:spacing w:after="0" w:line="25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Content Security, including Antivirus, In-Line Sandboxing and Credential Stuffing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Web Security, including URL Filtering, DNS Security and IP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Device Security, including IPS, OT Security, Internet of Things (“IoT”) Security and Botnet protection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Application Security, including Anti-Spam and Web Application protection</w:t>
      </w:r>
    </w:p>
    <w:p>
      <w:pPr>
        <w:spacing w:after="0" w:line="238" w:lineRule="exact"/>
        <w:rPr>
          <w:rFonts w:ascii="Arial" w:cs="Arial" w:eastAsia="Arial" w:hAnsi="Arial"/>
          <w:sz w:val="18"/>
          <w:szCs w:val="18"/>
          <w:color w:val="auto"/>
        </w:rPr>
      </w:pPr>
    </w:p>
    <w:p>
      <w:pPr>
        <w:ind w:left="980" w:right="500" w:hanging="324"/>
        <w:spacing w:after="0" w:line="24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Operations Center (“SOC”) Services, including SOC-as-a-Service, Managed Detection and Response, Incident Readiness and Response (active incident and proactive services), Outbreak Protection, Attack Surface Monitoring, Threat Hunting, and Indicators of Compromise services.</w:t>
      </w: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Operational Technology Security</w:t>
      </w:r>
      <w:r>
        <w:rPr>
          <w:rFonts w:ascii="Arial" w:cs="Arial" w:eastAsia="Arial" w:hAnsi="Arial"/>
          <w:sz w:val="16"/>
          <w:szCs w:val="16"/>
          <w:color w:val="auto"/>
        </w:rPr>
        <w:t>—OT uses hardware and software to detect or cause a change through the direct monitoring and/or control of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assets, processes and events. The security of such environments is sometimes described as Cyber-Physical Systems. The increased connectivity of OT environments and the need for employee and vendor access has increased the risk across OT industries such as manufacturing, energy, utilities, medical, transport, and critical infrastructure. While the basic concepts of Secure Networking and Cybersecurity Platform apply, OT systems are very different from a traditional information technology system. Fortinet delivers OT-Aware security capabilities that are purpose-built for operational technology environments. These capabilities underpin our OT-Aware Security Fabric, which spans the following products and services:</w:t>
      </w:r>
    </w:p>
    <w:p>
      <w:pPr>
        <w:spacing w:after="0" w:line="20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Network and Connectivity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Remote Access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OT-Specific InfoSec Tools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OT-Specific Threat Intelligence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Integration with third-party OT solutions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hanging="328"/>
        <w:spacing w:after="0" w:line="27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revenue was $1.29 billion and $2.56 billion during the three and six months ended June 30, 2023, an increase of 26% and 29%, respectively, compared to $1.03 billion and $1.98 billion in the same periods last year. Product revenue was $472.6 million and $973.3 million during the three and six months ended June 30, 2023, an increase of 18% and 26%, respectively, compared to $400.7 million and $771.7 million in the same periods last year. Service revenue was $820.2 million and $1.58 billion during the three and six months ended June 30, 2023, an increase of 30%, in each period respectively, compared to $629.4 million and $1.21 billion in the same periods last year.</w:t>
      </w:r>
    </w:p>
    <w:p>
      <w:pPr>
        <w:sectPr>
          <w:pgSz w:w="11900" w:h="16838" w:orient="portrait"/>
          <w:cols w:equalWidth="0" w:num="1">
            <w:col w:w="11180"/>
          </w:cols>
          <w:pgMar w:left="320" w:top="28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6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gross profit was $997.0 million and $1.95 billion during the three and six months ended June 30, 2023, an increase of 28% and 32%, respectively, compared to $779.3 million and $1.48 billion in the same periods last year.</w:t>
      </w:r>
    </w:p>
    <w:p>
      <w:pPr>
        <w:spacing w:after="0" w:line="19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income was $279.0 million and $552.5 million during the three and six months ended June 30, 2023, an increase of 43% and 60%, respectively, compared to $195.3 million and $346.3 million in the same periods last year.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Cash, cash equivalents, short-term and long-term investments and marketable equity securities were $3.32 billion as of June 30, 2023.</w:t>
      </w:r>
    </w:p>
    <w:p>
      <w:pPr>
        <w:spacing w:after="0" w:line="263"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Deferred revenue was $5.13 billion as of June 30, 2023, an increase of $488.3 million, or 11%, compared to $4.64 billion as of December 31, 2022 and an increase of $1.20 billion, or 30%, compared to $3.93 billion as of June 30, 2022. Deferred revenue was $3.93 billion as of June 30, 2022, an increase of $479.1 million, or 14%, compared to $3.45 billion as of December 31, 2021 and an increase of $1.03 billion, or 35%, compared to $2.91 billion as of June 30, 2021.</w:t>
      </w:r>
    </w:p>
    <w:p>
      <w:pPr>
        <w:spacing w:after="0" w:line="213"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Short-term deferred revenue was $2.59 billion as of June 30, 2023, an increase of $238.4 million, or 10%, compared to $2.35 billion as of December 31, 2022 and an increase of $574.5 million, or 29%, compared to $2.01 billion as of June 30, 2022. Short-term deferred revenue was $2.01 billion as of June 30, 2022, an increase of $235.8 million, or 13%, compared to $1.78 billion as of December 31, 2021 and an increase of $480.2 million, or 31%, compared to $1.53 billion as of June 30, 2021.</w:t>
      </w:r>
    </w:p>
    <w:p>
      <w:pPr>
        <w:spacing w:after="0" w:line="21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$1.19 billion during the six months ended June 30, 2023, an increase of $473.1 million, or 66%, compared to the same period last year.</w:t>
      </w:r>
    </w:p>
    <w:p>
      <w:pPr>
        <w:spacing w:after="0" w:line="197"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On a geographic basis, revenue continues to be diversified, which remains a key strength of our business. During the three months ended June 30, 2023, the Americas region, the Europe, Middle East and Africa (“EMEA”) region and the Asia Pacific (“APAC”) region contributed 42%, 39% and 19% of our total revenue, respectively, and increased 30%, 29% and 11% compared to the same period last year, respectively. During the six months ended</w:t>
      </w:r>
    </w:p>
    <w:p>
      <w:pPr>
        <w:spacing w:after="0" w:line="2"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June 30, 2023, the Americas region, the EMEA region and the APAC region contributed 41%, 39% and 20% of our total revenue, respectively, and increased by 33%, 34% and 13% compared to the same period last year, respectively.</w:t>
      </w:r>
    </w:p>
    <w:p>
      <w:pPr>
        <w:spacing w:after="0" w:line="212"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Our revenue growth was driven by growth in service revenue and in Enhanced Platform Technology product revenue. Product revenue grew 18% and 26%, respectively, during the three and six months ended June 30, 2023, compared to the same periods last year. Product revenue growth was consistent with an elevated cyber threat landscape, the convergence of security and networking and included the benefit of certain historical pricing actions, improving supply chain dynamics and changes in the backlog balance. The product revenue growth was primarily due to strong growth in our Enhanced Platform Technology products, including our secure access products. Service revenue growth of 30% during both the three and six months ended June 30, 2023, compared to the same periods last year, was primarily driven by the strength of our FortiGuard and other security subscription revenue, which grew 34% and 35%, respectively.</w:t>
      </w:r>
    </w:p>
    <w:p>
      <w:pPr>
        <w:spacing w:after="0" w:line="21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June 30, 2023, approximately 50% of our billings in the aggregate were from over 100 countries that each individually contributed less than 3% of our billings.</w:t>
      </w:r>
    </w:p>
    <w:p>
      <w:pPr>
        <w:spacing w:after="0" w:line="184" w:lineRule="exact"/>
        <w:rPr>
          <w:sz w:val="20"/>
          <w:szCs w:val="20"/>
          <w:color w:val="auto"/>
        </w:rPr>
      </w:pPr>
    </w:p>
    <w:p>
      <w:pPr>
        <w:ind w:right="360" w:firstLine="648"/>
        <w:spacing w:after="0" w:line="270" w:lineRule="auto"/>
        <w:rPr>
          <w:sz w:val="20"/>
          <w:szCs w:val="20"/>
          <w:color w:val="auto"/>
        </w:rPr>
      </w:pPr>
      <w:r>
        <w:rPr>
          <w:rFonts w:ascii="Arial" w:cs="Arial" w:eastAsia="Arial" w:hAnsi="Arial"/>
          <w:sz w:val="17"/>
          <w:szCs w:val="17"/>
          <w:color w:val="auto"/>
        </w:rPr>
        <w:t>Operating expenses as a percentage of revenue benefited from the favorable impact of foreign currency fluctuations and decreased 1.2 and 2.3 percentage points, respectively, during the three and six months ended June 30, 2023, compared to the same periods last year. Headcount increased to 13,677 employees and contractors as of June 30, 2023, a 9% increase compared to 12,595 as of December 31,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Developments</w:t>
      </w:r>
    </w:p>
    <w:p>
      <w:pPr>
        <w:spacing w:after="0" w:line="239" w:lineRule="exact"/>
        <w:rPr>
          <w:sz w:val="20"/>
          <w:szCs w:val="20"/>
          <w:color w:val="auto"/>
        </w:rPr>
      </w:pPr>
    </w:p>
    <w:p>
      <w:pPr>
        <w:ind w:right="60" w:firstLine="405"/>
        <w:spacing w:after="0"/>
        <w:rPr>
          <w:sz w:val="20"/>
          <w:szCs w:val="20"/>
          <w:color w:val="auto"/>
        </w:rPr>
      </w:pPr>
      <w:r>
        <w:rPr>
          <w:rFonts w:ascii="Arial" w:cs="Arial" w:eastAsia="Arial" w:hAnsi="Arial"/>
          <w:sz w:val="18"/>
          <w:szCs w:val="18"/>
          <w:color w:val="212529"/>
        </w:rPr>
        <w:t>Our overall performance depends in part on worldwide economic and geopolitical conditions and their impact on customer behavior. Worsening economic conditions, including inflation, higher interest rates, slower growth, any recession, fluctuations in foreign exchange rates, instability in the global banking industry,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delayed purchases and increased commitments with certain suppliers and excess product inventory.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color w:val="212529"/>
        </w:rPr>
        <w:t xml:space="preserve">Our days sales outstanding decreased to 75 days in the </w:t>
      </w:r>
      <w:r>
        <w:rPr>
          <w:rFonts w:ascii="Arial" w:cs="Arial" w:eastAsia="Arial" w:hAnsi="Arial"/>
          <w:sz w:val="18"/>
          <w:szCs w:val="18"/>
          <w:color w:val="000000"/>
        </w:rPr>
        <w:t>second</w:t>
      </w:r>
      <w:r>
        <w:rPr>
          <w:rFonts w:ascii="Arial" w:cs="Arial" w:eastAsia="Arial" w:hAnsi="Arial"/>
          <w:sz w:val="18"/>
          <w:szCs w:val="18"/>
          <w:color w:val="212529"/>
        </w:rPr>
        <w:t xml:space="preserve"> quarter of 2023, compared to 80 days in the same period last year. The accounts receivable allowance for credit losses was </w:t>
      </w:r>
      <w:r>
        <w:rPr>
          <w:rFonts w:ascii="Arial" w:cs="Arial" w:eastAsia="Arial" w:hAnsi="Arial"/>
          <w:sz w:val="18"/>
          <w:szCs w:val="18"/>
          <w:color w:val="000000"/>
        </w:rPr>
        <w:t>$5.3 million</w:t>
      </w:r>
      <w:r>
        <w:rPr>
          <w:rFonts w:ascii="Arial" w:cs="Arial" w:eastAsia="Arial" w:hAnsi="Arial"/>
          <w:sz w:val="18"/>
          <w:szCs w:val="18"/>
          <w:color w:val="212529"/>
        </w:rPr>
        <w:t xml:space="preserve"> as of </w:t>
      </w:r>
      <w:r>
        <w:rPr>
          <w:rFonts w:ascii="Arial" w:cs="Arial" w:eastAsia="Arial" w:hAnsi="Arial"/>
          <w:sz w:val="18"/>
          <w:szCs w:val="18"/>
          <w:color w:val="000000"/>
        </w:rPr>
        <w:t>June 30, 2023</w:t>
      </w:r>
      <w:r>
        <w:rPr>
          <w:rFonts w:ascii="Arial" w:cs="Arial" w:eastAsia="Arial" w:hAnsi="Arial"/>
          <w:sz w:val="18"/>
          <w:szCs w:val="18"/>
          <w:color w:val="212529"/>
        </w:rPr>
        <w:t xml:space="preserve">, an increase of $1.7 million compared to </w:t>
      </w:r>
      <w:r>
        <w:rPr>
          <w:rFonts w:ascii="Arial" w:cs="Arial" w:eastAsia="Arial" w:hAnsi="Arial"/>
          <w:sz w:val="18"/>
          <w:szCs w:val="18"/>
          <w:color w:val="000000"/>
        </w:rPr>
        <w:t>$3.6 million</w:t>
      </w:r>
      <w:r>
        <w:rPr>
          <w:rFonts w:ascii="Arial" w:cs="Arial" w:eastAsia="Arial" w:hAnsi="Arial"/>
          <w:sz w:val="18"/>
          <w:szCs w:val="18"/>
          <w:color w:val="212529"/>
        </w:rPr>
        <w:t xml:space="preserve"> as of December 31, 2022, primarily due to an increase in past due invoices over 60 and 90 days.</w:t>
      </w:r>
    </w:p>
    <w:p>
      <w:pPr>
        <w:spacing w:after="0" w:line="209" w:lineRule="exact"/>
        <w:rPr>
          <w:sz w:val="20"/>
          <w:szCs w:val="20"/>
          <w:color w:val="auto"/>
        </w:rPr>
      </w:pPr>
    </w:p>
    <w:p>
      <w:pPr>
        <w:ind w:right="20" w:firstLine="405"/>
        <w:spacing w:after="0" w:line="255" w:lineRule="auto"/>
        <w:rPr>
          <w:sz w:val="20"/>
          <w:szCs w:val="20"/>
          <w:color w:val="auto"/>
        </w:rPr>
      </w:pPr>
      <w:r>
        <w:rPr>
          <w:rFonts w:ascii="Arial" w:cs="Arial" w:eastAsia="Arial" w:hAnsi="Arial"/>
          <w:sz w:val="17"/>
          <w:szCs w:val="17"/>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39" w:lineRule="exact"/>
        <w:rPr>
          <w:sz w:val="20"/>
          <w:szCs w:val="20"/>
          <w:color w:val="auto"/>
        </w:rPr>
      </w:pPr>
    </w:p>
    <w:p>
      <w:pPr>
        <w:ind w:firstLine="648"/>
        <w:spacing w:after="0" w:line="230" w:lineRule="auto"/>
        <w:rPr>
          <w:sz w:val="20"/>
          <w:szCs w:val="20"/>
          <w:color w:val="auto"/>
        </w:rPr>
      </w:pPr>
      <w:r>
        <w:rPr>
          <w:rFonts w:ascii="Arial" w:cs="Arial" w:eastAsia="Arial" w:hAnsi="Arial"/>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certain large enterprise customers, large service providers and major systems integrators.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Core Platform products as well as Enhanced Platform Technology products, depending on the end-customer’s size and security requirements.</w:t>
      </w:r>
    </w:p>
    <w:p>
      <w:pPr>
        <w:spacing w:after="0" w:line="204" w:lineRule="exact"/>
        <w:rPr>
          <w:sz w:val="20"/>
          <w:szCs w:val="20"/>
          <w:color w:val="auto"/>
        </w:rPr>
      </w:pPr>
    </w:p>
    <w:p>
      <w:pPr>
        <w:ind w:right="360" w:firstLine="648"/>
        <w:spacing w:after="0" w:line="294"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services. Standard payment terms are generally no more than 60 days, though we may offer extended payment terms to certain distributors or related to certain transactions.</w:t>
      </w:r>
    </w:p>
    <w:p>
      <w:pPr>
        <w:spacing w:after="0" w:line="174" w:lineRule="exact"/>
        <w:rPr>
          <w:sz w:val="20"/>
          <w:szCs w:val="20"/>
          <w:color w:val="auto"/>
        </w:rPr>
      </w:pPr>
    </w:p>
    <w:p>
      <w:pPr>
        <w:jc w:val="both"/>
        <w:ind w:right="360" w:firstLine="648"/>
        <w:spacing w:after="0" w:line="284" w:lineRule="auto"/>
        <w:rPr>
          <w:sz w:val="20"/>
          <w:szCs w:val="20"/>
          <w:color w:val="auto"/>
        </w:rPr>
      </w:pPr>
      <w:r>
        <w:rPr>
          <w:rFonts w:ascii="Arial" w:cs="Arial" w:eastAsia="Arial" w:hAnsi="Arial"/>
          <w:sz w:val="16"/>
          <w:szCs w:val="16"/>
          <w:color w:val="auto"/>
        </w:rPr>
        <w:t>We also offer our products hosted in our own data centers, PoPs and through co-locations and major cloud providers, including Amazon Web Services, Microsoft Azure and Google Cloud. We have also recognized revenue from customers who deploy our products in a bring-your-own-license (“BYOL”) arrangements at cloud providers or at private clouds. In a BYOL arrangement, a customer purchases a software license through our channel partners and deploys the software in a cloud provider’s environment, in third-party clouds or in their private cloud.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monitor several key metrics, including the key financial metrics set forth below, to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June 30, 2023</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2022</w:t>
            </w:r>
          </w:p>
        </w:tc>
      </w:tr>
      <w:tr>
        <w:trPr>
          <w:trHeight w:val="226"/>
        </w:trPr>
        <w:tc>
          <w:tcPr>
            <w:tcW w:w="8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3"/>
          </w:tcPr>
          <w:p>
            <w:pPr>
              <w:jc w:val="right"/>
              <w:ind w:right="1032"/>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5,128.6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3,932.0</w:t>
            </w:r>
          </w:p>
        </w:tc>
      </w:tr>
      <w:tr>
        <w:trPr>
          <w:trHeight w:val="23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(non-GAAP)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515.1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r>
    </w:tbl>
    <w:p>
      <w:pPr>
        <w:spacing w:after="0" w:line="29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$5.13 billion as of June 30, 2023, an increase of $488.3 million, or 11%, from December 31, 2022. Short term deferred revenue was $2.59 billion as of June 30, 2023, an increase of $238.4 million, or 10%, from December 31, 2022.</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i w:val="1"/>
          <w:iCs w:val="1"/>
          <w:color w:val="auto"/>
        </w:rPr>
        <w:t xml:space="preserve">Billings (non-GAAP). </w:t>
      </w:r>
      <w:r>
        <w:rPr>
          <w:rFonts w:ascii="Arial" w:cs="Arial" w:eastAsia="Arial" w:hAnsi="Arial"/>
          <w:sz w:val="18"/>
          <w:szCs w:val="18"/>
          <w:color w:val="auto"/>
        </w:rPr>
        <w:t>We define billings as revenue recognized in accordance with GAAP plus the change in deferred revenue from the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end of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 recognized as revenue and are impacted by the term of FortiGuard security subscription and FortiCare technical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$1.54 billion for the three months ended June 30, 2023, an increase of 18% compared to $1.30 billion in the same period last year.</w:t>
      </w:r>
    </w:p>
    <w:p>
      <w:pPr>
        <w:spacing w:after="0" w:line="221"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Our backlog has fluctuated over past quarters and any decrease in growth or negative growth of in-quarter billings and revenue may not be reflected by our aggregate billings and revenue. As we fulfill, ship and bill during a quarter to satisfy backlog, this will increase our aggregate billings and revenue during any particular quarter.</w:t>
      </w:r>
    </w:p>
    <w:p>
      <w:pPr>
        <w:spacing w:after="0" w:line="222" w:lineRule="exact"/>
        <w:rPr>
          <w:sz w:val="20"/>
          <w:szCs w:val="20"/>
          <w:color w:val="auto"/>
        </w:rPr>
      </w:pPr>
    </w:p>
    <w:p>
      <w:pPr>
        <w:ind w:right="40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7"/>
              </w:rPr>
              <w:t>June 30, 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2022</w:t>
            </w:r>
          </w:p>
        </w:tc>
      </w:tr>
      <w:tr>
        <w:trPr>
          <w:trHeight w:val="226"/>
        </w:trPr>
        <w:tc>
          <w:tcPr>
            <w:tcW w:w="8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4"/>
          </w:tcPr>
          <w:p>
            <w:pPr>
              <w:jc w:val="right"/>
              <w:ind w:right="1032"/>
              <w:spacing w:after="0"/>
              <w:rPr>
                <w:sz w:val="20"/>
                <w:szCs w:val="20"/>
                <w:color w:val="auto"/>
              </w:rPr>
            </w:pPr>
            <w:r>
              <w:rPr>
                <w:rFonts w:ascii="Arial" w:cs="Arial" w:eastAsia="Arial" w:hAnsi="Arial"/>
                <w:sz w:val="18"/>
                <w:szCs w:val="18"/>
                <w:b w:val="1"/>
                <w:bCs w:val="1"/>
                <w:color w:val="auto"/>
              </w:rPr>
              <w:t>(in millions)</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Billings: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1,030.1</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Change in 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billings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w:t>
            </w: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2022</w:t>
            </w:r>
          </w:p>
        </w:tc>
      </w:tr>
      <w:tr>
        <w:trPr>
          <w:trHeight w:val="226"/>
        </w:trPr>
        <w:tc>
          <w:tcPr>
            <w:tcW w:w="8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17"/>
        </w:trPr>
        <w:tc>
          <w:tcPr>
            <w:tcW w:w="80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(830.3)</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9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six months ended June 30, 2023, as compared to the critical accounting policies and estimates described in our Annual Report on Form 10-K filed with the SEC on February 24, 2023 (the “Form 10-K”).</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6"/>
                <w:szCs w:val="16"/>
                <w:b w:val="1"/>
                <w:bCs w:val="1"/>
                <w:color w:val="auto"/>
                <w:w w:val="95"/>
              </w:rPr>
              <w:t>2022</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960" w:type="dxa"/>
            <w:vAlign w:val="bottom"/>
          </w:tcPr>
          <w:p>
            <w:pPr>
              <w:jc w:val="right"/>
              <w:ind w:right="393"/>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4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71.9</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18 %</w:t>
            </w: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123.4</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30 %</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32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0" w:type="dxa"/>
            <w:vAlign w:val="bottom"/>
          </w:tcPr>
          <w:p>
            <w:pPr>
              <w:ind w:left="10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Total revenue increased $262.7 million, or 26%, during the three months ended June 30, 2023 compared to the same period last year. We continued to experience significant organic revenue growth (i.e., revenue growth excluding attribution from recent acquisitions) with diversification of revenue geographically, and across both customers and industries. Revenue from all regions grew, with the Americas contributing the largest portion of the increase on an absolute dollar basis and on a percentage basis.</w:t>
      </w:r>
    </w:p>
    <w:p>
      <w:pPr>
        <w:spacing w:after="0" w:line="21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color w:val="auto"/>
        </w:rPr>
        <w:t>Product revenue increased $71.9 million, or 18%, during the three months ended June 30, 2023 compared to the same period last year. Product revenue growth was consistent with an elevated cyber threat landscape, the convergence of security and networking and included the benefit of certain historical pricing actions, improving supply chain dynamics and changes in the backlog balance. The product revenue growth was primarily due to strong growth in our Enhanced Platform Technology products, including our secure access products. We expect growth in product revenue to be impacted by product lead times and backlog approaching normal levels beginning in the third quarter of 2023.</w:t>
      </w:r>
    </w:p>
    <w:p>
      <w:pPr>
        <w:spacing w:after="0" w:line="20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Service revenue increased $190.8 million, or 30%, during the three months ended June 30, 2023 compared to the same period last year. FortiGuard and other security subscription revenue increased $116.9 million, or 34%, and technical support and other services revenue increased $73.9 million, or 26%, during the three months ended June 30, 2023 compared to the same period last year. Excluding Alaxala, technical support growth increased 28% during the three months ended June 30, 2023. The increases were primarily due to pricing actions in prior periods, strength in our SaaS offerings and the recognition of revenue from our growing deferred revenue balance related to FortiGuard and other security subscriptions as well as FortiCare technical support and other services. FortiGuard outpaced technical support growth due to expansion of our SaaS-based security subscription service offerings, while technical support growth was impacted by lower service revenue of Alaxala. We expect that our ability to grow our service revenue will be impacted by our expansion to secure access service edge (“SASE”) delivery model.</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60" w:firstLine="648"/>
        <w:spacing w:after="0" w:line="274" w:lineRule="auto"/>
        <w:rPr>
          <w:sz w:val="20"/>
          <w:szCs w:val="20"/>
          <w:color w:val="auto"/>
        </w:rPr>
      </w:pPr>
      <w:r>
        <w:rPr>
          <w:rFonts w:ascii="Arial" w:cs="Arial" w:eastAsia="Arial" w:hAnsi="Arial"/>
          <w:sz w:val="16"/>
          <w:szCs w:val="16"/>
          <w:color w:val="auto"/>
        </w:rPr>
        <w:t>Of the service revenue recognized during the three months ended June 30, 2023, 89% was included in the deferred revenue balance as of March 31, 2023. Of the service revenue recognized during the three months ended June 30, 2022, 87% was included in the deferred revenue balance as of March</w:t>
      </w:r>
    </w:p>
    <w:p>
      <w:pPr>
        <w:spacing w:after="0" w:line="1" w:lineRule="exact"/>
        <w:rPr>
          <w:sz w:val="20"/>
          <w:szCs w:val="20"/>
          <w:color w:val="auto"/>
        </w:rPr>
      </w:pPr>
    </w:p>
    <w:p>
      <w:pPr>
        <w:ind w:right="520"/>
        <w:spacing w:after="0" w:line="303" w:lineRule="auto"/>
        <w:rPr>
          <w:sz w:val="20"/>
          <w:szCs w:val="20"/>
          <w:color w:val="auto"/>
        </w:rPr>
      </w:pPr>
      <w:r>
        <w:rPr>
          <w:rFonts w:ascii="Arial" w:cs="Arial" w:eastAsia="Arial" w:hAnsi="Arial"/>
          <w:sz w:val="16"/>
          <w:szCs w:val="16"/>
          <w:color w:val="auto"/>
        </w:rPr>
        <w:t>31, 2022. We expect service revenue will continue to benefit from previous pricing actions. However, there are risks to service revenue growth rates, including customers reducing their spending, pricing actions, supply chain constraints, customers taking longer to buy their service and other risks.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6"/>
                <w:szCs w:val="16"/>
                <w:color w:val="auto"/>
              </w:rPr>
            </w:pPr>
          </w:p>
        </w:tc>
        <w:tc>
          <w:tcPr>
            <w:tcW w:w="2000" w:type="dxa"/>
            <w:vAlign w:val="bottom"/>
            <w:vMerge w:val="restart"/>
          </w:tcPr>
          <w:p>
            <w:pPr>
              <w:ind w:left="6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ind w:left="780"/>
              <w:spacing w:after="0"/>
              <w:rPr>
                <w:sz w:val="20"/>
                <w:szCs w:val="20"/>
                <w:color w:val="auto"/>
              </w:rPr>
            </w:pPr>
            <w:r>
              <w:rPr>
                <w:rFonts w:ascii="Arial" w:cs="Arial" w:eastAsia="Arial" w:hAnsi="Arial"/>
                <w:sz w:val="16"/>
                <w:szCs w:val="16"/>
                <w:b w:val="1"/>
                <w:bCs w:val="1"/>
                <w:color w:val="auto"/>
                <w:w w:val="99"/>
              </w:rPr>
              <w:t>(in millions, except percentages)</w:t>
            </w: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174.5</w:t>
            </w:r>
          </w:p>
        </w:tc>
        <w:tc>
          <w:tcPr>
            <w:tcW w:w="1360" w:type="dxa"/>
            <w:vAlign w:val="bottom"/>
            <w:gridSpan w:val="2"/>
          </w:tcPr>
          <w:p>
            <w:pPr>
              <w:jc w:val="right"/>
              <w:ind w:right="105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155.2</w:t>
            </w:r>
          </w:p>
        </w:tc>
        <w:tc>
          <w:tcPr>
            <w:tcW w:w="1360" w:type="dxa"/>
            <w:vAlign w:val="bottom"/>
            <w:gridSpan w:val="2"/>
          </w:tcPr>
          <w:p>
            <w:pPr>
              <w:jc w:val="right"/>
              <w:ind w:right="105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2000" w:type="dxa"/>
            <w:vAlign w:val="bottom"/>
          </w:tcPr>
          <w:p>
            <w:pPr>
              <w:ind w:left="1600"/>
              <w:spacing w:after="0"/>
              <w:rPr>
                <w:sz w:val="20"/>
                <w:szCs w:val="20"/>
                <w:color w:val="auto"/>
              </w:rPr>
            </w:pPr>
            <w:r>
              <w:rPr>
                <w:rFonts w:ascii="Arial" w:cs="Arial" w:eastAsia="Arial" w:hAnsi="Arial"/>
                <w:sz w:val="18"/>
                <w:szCs w:val="18"/>
                <w:color w:val="auto"/>
                <w:w w:val="92"/>
              </w:rPr>
              <w:t>12 %</w:t>
            </w: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121.3</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295.8</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250.8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00" w:type="dxa"/>
            <w:vAlign w:val="bottom"/>
          </w:tcPr>
          <w:p>
            <w:pPr>
              <w:ind w:left="1600"/>
              <w:spacing w:after="0"/>
              <w:rPr>
                <w:sz w:val="20"/>
                <w:szCs w:val="20"/>
                <w:color w:val="auto"/>
              </w:rPr>
            </w:pPr>
            <w:r>
              <w:rPr>
                <w:rFonts w:ascii="Arial" w:cs="Arial" w:eastAsia="Arial" w:hAnsi="Arial"/>
                <w:sz w:val="18"/>
                <w:szCs w:val="18"/>
                <w:color w:val="auto"/>
                <w:w w:val="92"/>
              </w:rPr>
              <w:t>18 %</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margin (%):</w:t>
            </w: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63.1 %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Total gross margin</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77.1 %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Total gross margin increased 1.4 percentage points during the three months ended June 30, 2023 compared to the same period last year, primarily driven by increased product and service gross margins and a shift in the revenue mix. As a percentage of total revenue, the revenue mix shifted 2.3 percentage points from product revenue to service revenue.</w:t>
      </w:r>
    </w:p>
    <w:p>
      <w:pPr>
        <w:spacing w:after="0" w:line="209"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Product gross margin increased 1.8 percentage points during the three months ended June 30, 2023 compared to the same period last year. The product margin primarily benefited from earlier pricing actions, lower expedite fees and freight costs and partially offset by higher inventory related reserve expense. Cost of product revenue was comprised primarily of third-party contract manufacturers’ costs and the costs of materials used in production.</w:t>
      </w:r>
    </w:p>
    <w:p>
      <w:pPr>
        <w:spacing w:after="0" w:line="161"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Service gross margin increased 0.4 percentage points during the three months ended June 30, 2023 compared to the same period last year. Cost of service revenue was comprised primarily of personnel and data center costs. The increase in service gross margin was primarily driven by pricing actions in earlier periods and the favorable impact of foreign currency fluctuations, partially offset by increased labor cost and increased cloud delivery costs as we continue to expand our cloud to SASE delivery models. We consider our single vendor SASE solution opening to be a new market, and one where our SD-WAN installed base can be leveraged as a market access point. We plan to accelerate our PoPs, or PoP deployment, with our dual strategy to invest in our own PoPs as well as working with third-party providers to accelerate our deployment.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87"/>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6"/>
                <w:szCs w:val="16"/>
                <w:b w:val="1"/>
                <w:bCs w:val="1"/>
                <w:color w:val="auto"/>
                <w:w w:val="89"/>
              </w:rPr>
              <w:t>2022</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940" w:type="dxa"/>
            <w:vAlign w:val="bottom"/>
          </w:tcPr>
          <w:p>
            <w:pPr>
              <w:jc w:val="right"/>
              <w:ind w:right="373"/>
              <w:spacing w:after="0" w:line="172"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960" w:type="dxa"/>
            <w:vAlign w:val="bottom"/>
          </w:tcPr>
          <w:p>
            <w:pPr>
              <w:jc w:val="right"/>
              <w:ind w:right="373"/>
              <w:spacing w:after="0" w:line="172"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Change</w:t>
            </w:r>
          </w:p>
        </w:tc>
        <w:tc>
          <w:tcPr>
            <w:tcW w:w="14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89"/>
              </w:rPr>
              <w:t>Revenue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4"/>
          </w:tcPr>
          <w:p>
            <w:pPr>
              <w:jc w:val="center"/>
              <w:ind w:right="33"/>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12 %</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36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400" w:type="dxa"/>
            <w:vAlign w:val="bottom"/>
          </w:tcPr>
          <w:p>
            <w:pPr>
              <w:ind w:left="10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56 %</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134.0</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Research and development expense increased $29.0 million, or 23%, during the three months ended June 30, 2023 compared to the same period last year, primarily due to a $21.7 million increase in personnel-related costs as a result of increased headcount to support the development of new products and continued enhancements to our existing products. In addition, we incurred an increase of $3.5 million of depreciation and other occupancy costs and an increase of $3.3 million of product development costs, partially offset by the favorable impact of foreign currency fluctuations. We currently intend to continue investing in our research and development organization, and expect our research and development expense to increase in absolute dollars during the remainder of 2023.</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320" w:firstLine="648"/>
        <w:spacing w:after="0" w:line="280" w:lineRule="auto"/>
        <w:rPr>
          <w:sz w:val="20"/>
          <w:szCs w:val="20"/>
          <w:color w:val="auto"/>
        </w:rPr>
      </w:pPr>
      <w:r>
        <w:rPr>
          <w:rFonts w:ascii="Arial" w:cs="Arial" w:eastAsia="Arial" w:hAnsi="Arial"/>
          <w:sz w:val="16"/>
          <w:szCs w:val="16"/>
          <w:color w:val="auto"/>
        </w:rPr>
        <w:t>Sales and marketing expense increased $100.4 million, or 24%, during the three months ended June 30, 2023 compared to the same period last year, primarily due to a $74.0 million increase in personnel-related costs as we increased our sales and pipeline generation capacity. The increase in</w:t>
      </w:r>
    </w:p>
    <w:p>
      <w:pPr>
        <w:ind w:right="80"/>
        <w:spacing w:after="0" w:line="237" w:lineRule="auto"/>
        <w:rPr>
          <w:sz w:val="20"/>
          <w:szCs w:val="20"/>
          <w:color w:val="auto"/>
        </w:rPr>
      </w:pPr>
      <w:r>
        <w:rPr>
          <w:rFonts w:ascii="Arial" w:cs="Arial" w:eastAsia="Arial" w:hAnsi="Arial"/>
          <w:sz w:val="18"/>
          <w:szCs w:val="18"/>
          <w:color w:val="auto"/>
        </w:rPr>
        <w:t>headcount is expected to help drive global market revenue increases</w:t>
      </w:r>
      <w:r>
        <w:rPr>
          <w:rFonts w:ascii="Arial" w:cs="Arial" w:eastAsia="Arial" w:hAnsi="Arial"/>
          <w:sz w:val="21"/>
          <w:szCs w:val="21"/>
          <w:color w:val="auto"/>
        </w:rPr>
        <w:t>.</w:t>
      </w:r>
      <w:r>
        <w:rPr>
          <w:rFonts w:ascii="Arial" w:cs="Arial" w:eastAsia="Arial" w:hAnsi="Arial"/>
          <w:sz w:val="18"/>
          <w:szCs w:val="18"/>
          <w:color w:val="auto"/>
        </w:rPr>
        <w:t xml:space="preserve"> In addition, we incurred increases in marketing-related expense of $13.1 million, travel expense of $6.5 million, and depreciation and other occupancy expense of $5.3 million. We currently intend to continue making investments in sales and marketing resources critical to support our future growth and expect our sales and marketing expense to increase in absolute dollars during the remainder of 2023.</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General and administrative expense increased $4.5 million, or 10%, during the three months ended June 30, 2023 compared to the same period last year, primarily due to an increase of $5.4 million in personnel-related costs, $2.8 million in legal and other professional service fees, and partially offset by a decrease of $4.1 million in provision for expected credit losses. We currently expect general and administrative expense to increase in absolute dollars during the remainder of 2023.</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generated operating income of $279.0 million during the three months ended June 30, 2023, an increase of $83.7 million, or 43%, compared to $195.3 million in the same period last year. Operating income as a percentage of revenue was 21.6% during the three months ended June 30, 2023, compared to 19.0% in the same period last year, due to the stronger gross margin performance. The increase in operating margin primarily benefits from 1.4 percentage points increase in gross margin, and 0.5 percentage points, 0.4 percentage points and 0.2 percentage points decreases in general and administrative expense, sales and marketing expense and research and development expense as a percentage of revenue,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center"/>
              <w:ind w:right="335"/>
              <w:spacing w:after="0"/>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6"/>
                <w:szCs w:val="16"/>
                <w:color w:val="auto"/>
              </w:rPr>
            </w:pPr>
          </w:p>
        </w:tc>
        <w:tc>
          <w:tcPr>
            <w:tcW w:w="1420" w:type="dxa"/>
            <w:vAlign w:val="bottom"/>
          </w:tcPr>
          <w:p>
            <w:pPr>
              <w:jc w:val="center"/>
              <w:ind w:right="275"/>
              <w:spacing w:after="0"/>
              <w:rPr>
                <w:sz w:val="20"/>
                <w:szCs w:val="20"/>
                <w:color w:val="auto"/>
              </w:rPr>
            </w:pPr>
            <w:r>
              <w:rPr>
                <w:rFonts w:ascii="Arial" w:cs="Arial" w:eastAsia="Arial" w:hAnsi="Arial"/>
                <w:sz w:val="16"/>
                <w:szCs w:val="16"/>
                <w:b w:val="1"/>
                <w:bCs w:val="1"/>
                <w:color w:val="auto"/>
                <w:w w:val="90"/>
              </w:rPr>
              <w:t>June 30,</w:t>
            </w:r>
          </w:p>
        </w:tc>
        <w:tc>
          <w:tcPr>
            <w:tcW w:w="480" w:type="dxa"/>
            <w:vAlign w:val="bottom"/>
          </w:tcPr>
          <w:p>
            <w:pPr>
              <w:spacing w:after="0"/>
              <w:rPr>
                <w:sz w:val="16"/>
                <w:szCs w:val="16"/>
                <w:color w:val="auto"/>
              </w:rPr>
            </w:pPr>
          </w:p>
        </w:tc>
        <w:tc>
          <w:tcPr>
            <w:tcW w:w="1760" w:type="dxa"/>
            <w:vAlign w:val="bottom"/>
            <w:vMerge w:val="restart"/>
          </w:tcPr>
          <w:p>
            <w:pPr>
              <w:jc w:val="right"/>
              <w:ind w:right="87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6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87"/>
              </w:rPr>
              <w:t>2.4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29.2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1,217 %</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060"/>
              <w:spacing w:after="0"/>
              <w:rPr>
                <w:sz w:val="20"/>
                <w:szCs w:val="20"/>
                <w:color w:val="auto"/>
              </w:rPr>
            </w:pPr>
            <w:r>
              <w:rPr>
                <w:rFonts w:ascii="Arial" w:cs="Arial" w:eastAsia="Arial" w:hAnsi="Arial"/>
                <w:sz w:val="18"/>
                <w:szCs w:val="18"/>
                <w:color w:val="auto"/>
              </w:rPr>
              <w:t>(5.2)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935"/>
              <w:spacing w:after="0"/>
              <w:rPr>
                <w:sz w:val="20"/>
                <w:szCs w:val="20"/>
                <w:color w:val="auto"/>
              </w:rPr>
            </w:pPr>
            <w:r>
              <w:rPr>
                <w:rFonts w:ascii="Arial" w:cs="Arial" w:eastAsia="Arial" w:hAnsi="Arial"/>
                <w:sz w:val="18"/>
                <w:szCs w:val="18"/>
                <w:color w:val="auto"/>
                <w:w w:val="97"/>
              </w:rPr>
              <w:t>(4.5)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72"/>
              <w:spacing w:after="0"/>
              <w:rPr>
                <w:sz w:val="20"/>
                <w:szCs w:val="20"/>
                <w:color w:val="auto"/>
              </w:rPr>
            </w:pPr>
            <w:r>
              <w:rPr>
                <w:rFonts w:ascii="Arial" w:cs="Arial" w:eastAsia="Arial" w:hAnsi="Arial"/>
                <w:sz w:val="18"/>
                <w:szCs w:val="18"/>
                <w:color w:val="auto"/>
              </w:rPr>
              <w:t>(0.7)</w:t>
            </w:r>
          </w:p>
        </w:tc>
        <w:tc>
          <w:tcPr>
            <w:tcW w:w="17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935"/>
              <w:spacing w:after="0"/>
              <w:rPr>
                <w:sz w:val="20"/>
                <w:szCs w:val="20"/>
                <w:color w:val="auto"/>
              </w:rPr>
            </w:pPr>
            <w:r>
              <w:rPr>
                <w:rFonts w:ascii="Arial" w:cs="Arial" w:eastAsia="Arial" w:hAnsi="Arial"/>
                <w:sz w:val="18"/>
                <w:szCs w:val="18"/>
                <w:color w:val="auto"/>
                <w:w w:val="97"/>
              </w:rPr>
              <w:t>(9.3)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Interest income increased $29.2 million during the three months ended June 30, 2023 compared to the same period last year, as a result of higher interest rates and greater investment balances. Interest income varies depending on our average investment balances during the period, types and mix of investments, and market interest rates. Interest expense remained comparatively flat during the three months ended June 30, 2023 compared to the same period last year. The $3.1 million decrease in Other expense—net during the three months ended June 30, 2023 compared to the same period last year, was primarily due to a $4.1 million recovery in the loss on marketable equity securities, offset by a $1.8 million increase in foreign currency exchange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32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00" w:type="dxa"/>
            <w:vAlign w:val="bottom"/>
          </w:tcPr>
          <w:p>
            <w:pPr>
              <w:spacing w:after="0"/>
              <w:rPr>
                <w:sz w:val="14"/>
                <w:szCs w:val="14"/>
                <w:color w:val="auto"/>
              </w:rPr>
            </w:pPr>
          </w:p>
        </w:tc>
        <w:tc>
          <w:tcPr>
            <w:tcW w:w="1260" w:type="dxa"/>
            <w:vAlign w:val="bottom"/>
          </w:tcPr>
          <w:p>
            <w:pPr>
              <w:jc w:val="center"/>
              <w:ind w:left="517"/>
              <w:spacing w:after="0" w:line="172" w:lineRule="exact"/>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4"/>
                <w:szCs w:val="14"/>
                <w:color w:val="auto"/>
              </w:rPr>
            </w:pPr>
          </w:p>
        </w:tc>
        <w:tc>
          <w:tcPr>
            <w:tcW w:w="1380" w:type="dxa"/>
            <w:vAlign w:val="bottom"/>
          </w:tcPr>
          <w:p>
            <w:pPr>
              <w:jc w:val="center"/>
              <w:ind w:left="517"/>
              <w:spacing w:after="0" w:line="172" w:lineRule="exact"/>
              <w:rPr>
                <w:sz w:val="20"/>
                <w:szCs w:val="20"/>
                <w:color w:val="auto"/>
              </w:rPr>
            </w:pPr>
            <w:r>
              <w:rPr>
                <w:rFonts w:ascii="Arial" w:cs="Arial" w:eastAsia="Arial" w:hAnsi="Arial"/>
                <w:sz w:val="16"/>
                <w:szCs w:val="16"/>
                <w:b w:val="1"/>
                <w:bCs w:val="1"/>
                <w:color w:val="auto"/>
                <w:w w:val="90"/>
              </w:rPr>
              <w:t>June 30,</w:t>
            </w:r>
          </w:p>
        </w:tc>
        <w:tc>
          <w:tcPr>
            <w:tcW w:w="540" w:type="dxa"/>
            <w:vAlign w:val="bottom"/>
          </w:tcPr>
          <w:p>
            <w:pPr>
              <w:spacing w:after="0"/>
              <w:rPr>
                <w:sz w:val="14"/>
                <w:szCs w:val="14"/>
                <w:color w:val="auto"/>
              </w:rPr>
            </w:pPr>
          </w:p>
        </w:tc>
        <w:tc>
          <w:tcPr>
            <w:tcW w:w="132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800" w:type="dxa"/>
            <w:vAlign w:val="bottom"/>
          </w:tcPr>
          <w:p>
            <w:pPr>
              <w:spacing w:after="0"/>
              <w:rPr>
                <w:sz w:val="14"/>
                <w:szCs w:val="14"/>
                <w:color w:val="auto"/>
              </w:rPr>
            </w:pPr>
          </w:p>
        </w:tc>
        <w:tc>
          <w:tcPr>
            <w:tcW w:w="166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40" w:type="dxa"/>
            <w:vAlign w:val="bottom"/>
            <w:gridSpan w:val="3"/>
          </w:tcPr>
          <w:p>
            <w:pPr>
              <w:jc w:val="right"/>
              <w:ind w:right="135"/>
              <w:spacing w:after="0"/>
              <w:rPr>
                <w:sz w:val="20"/>
                <w:szCs w:val="20"/>
                <w:color w:val="auto"/>
              </w:rPr>
            </w:pPr>
            <w:r>
              <w:rPr>
                <w:rFonts w:ascii="Arial" w:cs="Arial" w:eastAsia="Arial" w:hAnsi="Arial"/>
                <w:sz w:val="16"/>
                <w:szCs w:val="16"/>
                <w:b w:val="1"/>
                <w:bCs w:val="1"/>
                <w:color w:val="auto"/>
              </w:rPr>
              <w:t>(in millions, except percentages)</w:t>
            </w:r>
          </w:p>
        </w:tc>
        <w:tc>
          <w:tcPr>
            <w:tcW w:w="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60" w:type="dxa"/>
            <w:vAlign w:val="bottom"/>
            <w:shd w:val="clear" w:color="auto" w:fill="CCEEFF"/>
          </w:tcPr>
          <w:p>
            <w:pPr>
              <w:jc w:val="right"/>
              <w:ind w:right="107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27.6</w:t>
            </w:r>
          </w:p>
        </w:tc>
        <w:tc>
          <w:tcPr>
            <w:tcW w:w="138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3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1,050 %</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c>
          <w:tcPr>
            <w:tcW w:w="1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Our effective tax rate was 9% for the three months ended June 30, 2023 compared to an effective tax rate of 1% for the same period last year. The provision for income taxes for the three months ended June 30, 2023 was primarily comprised of U.S. federal and state taxes, withholding taxes and foreign taxes totaling $84.8 million, which were favorably affected by a tax benefit of $25.8 million from the foreign-derived intangible income deduction (the “FDII deduction”), excess tax benefits from stock-based compensation expense of $13.3 million, and the release of reserves of $18.1 million on uncertain tax positions and the accrued interest thereon due to the expiration of statutes of limitations.</w:t>
      </w:r>
    </w:p>
    <w:p>
      <w:pPr>
        <w:spacing w:after="0" w:line="201"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provision for income taxes for the three months ended June 30, 2022 was comprised of U.S. federal and state taxes, withholding taxes, and foreign taxes totaling $54.5 million, which were favorably affected by a tax benefit of $18.6 million from the FDII deduction, excess tax benefits from stock-based compensation expense of $17.3 million, and the release of reserves of $16.2 million on uncertain tax positions and the accrued interest thereon due to the expiration of statutes of limitations.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Equity Method Investment</w:t>
      </w:r>
    </w:p>
    <w:p>
      <w:pPr>
        <w:spacing w:after="0" w:line="5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2885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center"/>
              <w:ind w:right="276"/>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center"/>
              <w:ind w:right="277"/>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6"/>
                <w:szCs w:val="16"/>
                <w:color w:val="auto"/>
              </w:rPr>
            </w:pPr>
          </w:p>
        </w:tc>
        <w:tc>
          <w:tcPr>
            <w:tcW w:w="190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4"/>
          </w:tcPr>
          <w:p>
            <w:pPr>
              <w:jc w:val="right"/>
              <w:ind w:right="535"/>
              <w:spacing w:after="0"/>
              <w:rPr>
                <w:sz w:val="20"/>
                <w:szCs w:val="20"/>
                <w:color w:val="auto"/>
              </w:rPr>
            </w:pPr>
            <w:r>
              <w:rPr>
                <w:rFonts w:ascii="Arial" w:cs="Arial" w:eastAsia="Arial" w:hAnsi="Arial"/>
                <w:sz w:val="16"/>
                <w:szCs w:val="16"/>
                <w:b w:val="1"/>
                <w:bCs w:val="1"/>
                <w:color w:val="auto"/>
              </w:rPr>
              <w:t>(in millions, except percentages)</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firstLine="648"/>
        <w:spacing w:after="0" w:line="324" w:lineRule="auto"/>
        <w:rPr>
          <w:sz w:val="20"/>
          <w:szCs w:val="20"/>
          <w:color w:val="auto"/>
        </w:rPr>
      </w:pPr>
      <w:r>
        <w:rPr>
          <w:rFonts w:ascii="Arial" w:cs="Arial" w:eastAsia="Arial" w:hAnsi="Arial"/>
          <w:sz w:val="16"/>
          <w:szCs w:val="16"/>
          <w:color w:val="auto"/>
        </w:rPr>
        <w:t>Loss from equity method investment decreased $2.8 million during the three months ended June 30, 2023 compared to the same period last year, due to the decrease in our proportionate share of loss of Linksys’ financial results as well as our share of the amortization of the basis differences.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and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6"/>
                <w:szCs w:val="16"/>
                <w:b w:val="1"/>
                <w:bCs w:val="1"/>
                <w:color w:val="auto"/>
                <w:w w:val="95"/>
              </w:rPr>
              <w:t>2022</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960" w:type="dxa"/>
            <w:vAlign w:val="bottom"/>
          </w:tcPr>
          <w:p>
            <w:pPr>
              <w:jc w:val="right"/>
              <w:ind w:right="393"/>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4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796.2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264.3</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33 %</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32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400" w:type="dxa"/>
            <w:vAlign w:val="bottom"/>
          </w:tcPr>
          <w:p>
            <w:pPr>
              <w:ind w:left="10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Total revenue increased $570.2 million, or 29%, during the six months ended June 30, 2023 compared to the same period last year. We continued to experience significant organic revenue growth (i.e., revenue growth excluding attribution from recent acquisitions) with diversification of revenue geographically, and across both customers and industries. Revenue from all regions grew, with the Americas contributing the largest portion of the increase on an absolute dollar basis and EMEA contributing the largest portion of the increase on a percentage basis.</w:t>
      </w:r>
    </w:p>
    <w:p>
      <w:pPr>
        <w:spacing w:after="0" w:line="185"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Product revenue increased $201.6 million, or 26%, during the six months ended June 30, 2023 compared to the same period last year. Product revenue growth was consistent with an elevated cyber threat landscape, the convergence of security and networking and included the benefit of certain historical pricing actions, improving supply chain dynamics and changes in the backlog balance. The product revenue growth was primarily due to strong growth across many of our Enhanced Platform Technology products, including our secure access products.</w:t>
      </w:r>
    </w:p>
    <w:p>
      <w:pPr>
        <w:spacing w:after="0" w:line="195" w:lineRule="exact"/>
        <w:rPr>
          <w:sz w:val="20"/>
          <w:szCs w:val="20"/>
          <w:color w:val="auto"/>
        </w:rPr>
      </w:pPr>
    </w:p>
    <w:p>
      <w:pPr>
        <w:ind w:firstLine="648"/>
        <w:spacing w:after="0" w:line="244" w:lineRule="auto"/>
        <w:rPr>
          <w:sz w:val="20"/>
          <w:szCs w:val="20"/>
          <w:color w:val="auto"/>
        </w:rPr>
      </w:pPr>
      <w:r>
        <w:rPr>
          <w:rFonts w:ascii="Arial" w:cs="Arial" w:eastAsia="Arial" w:hAnsi="Arial"/>
          <w:sz w:val="17"/>
          <w:szCs w:val="17"/>
          <w:color w:val="auto"/>
        </w:rPr>
        <w:t>Service revenue increased $368.6 million, or 30%, during the six months ended June 30, 2023 compared to the same period last year. FortiGuard and other security subscription revenue increased $225.7 million, or 35%, and technical support and other services revenue increased $142.9 million, or 26%, during the six months ended June 30, 2023 compared to the same period last year. Excluding Alaxala, technical support growth increased 27% during the six months ended June 30, 2023. The increases were primarily due to pricing actions in prior periods, strength in our SaaS offerings and the recognition of revenue from our growing deferred revenue balance related to FortiGuard and other security subscriptions as well as FortiCare technical support and other services. FortiGuard outpaced technical support growth due to expansion of our SaaS-based security subscription service offerings, while technical support growth was impacted by the lower service revenue of Alaxala.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 the service revenue recognized during the six months ended June 30, 2023, 81% was included in the deferred revenue balance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Of the service revenue recognized during the six months ended June 30, 2022, 80% was included in the deferred revenue balance as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We expect service revenue will continue to increase throughout the remainder of 2023, as our business is expected to grow, and as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service revenue benefits from previous pricing actions. However, there are risks to service revenue growth rates, including customers reducing their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spending, pricing actions, supply chain constraints, customers taking longer to buy their service and other risks.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6"/>
                <w:szCs w:val="16"/>
                <w:b w:val="1"/>
                <w:bCs w:val="1"/>
                <w:color w:val="auto"/>
                <w:w w:val="93"/>
              </w:rPr>
              <w:t>Six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6"/>
                <w:szCs w:val="16"/>
                <w:color w:val="auto"/>
              </w:rPr>
            </w:pPr>
          </w:p>
        </w:tc>
        <w:tc>
          <w:tcPr>
            <w:tcW w:w="200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ind w:left="780"/>
              <w:spacing w:after="0"/>
              <w:rPr>
                <w:sz w:val="20"/>
                <w:szCs w:val="20"/>
                <w:color w:val="auto"/>
              </w:rPr>
            </w:pPr>
            <w:r>
              <w:rPr>
                <w:rFonts w:ascii="Arial" w:cs="Arial" w:eastAsia="Arial" w:hAnsi="Arial"/>
                <w:sz w:val="16"/>
                <w:szCs w:val="16"/>
                <w:b w:val="1"/>
                <w:bCs w:val="1"/>
                <w:color w:val="auto"/>
                <w:w w:val="99"/>
              </w:rPr>
              <w:t>(in millions, except percentages)</w:t>
            </w: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368.1</w:t>
            </w:r>
          </w:p>
        </w:tc>
        <w:tc>
          <w:tcPr>
            <w:tcW w:w="1360" w:type="dxa"/>
            <w:vAlign w:val="bottom"/>
            <w:gridSpan w:val="2"/>
          </w:tcPr>
          <w:p>
            <w:pPr>
              <w:jc w:val="right"/>
              <w:ind w:right="105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316.2</w:t>
            </w:r>
          </w:p>
        </w:tc>
        <w:tc>
          <w:tcPr>
            <w:tcW w:w="1360" w:type="dxa"/>
            <w:vAlign w:val="bottom"/>
            <w:gridSpan w:val="2"/>
          </w:tcPr>
          <w:p>
            <w:pPr>
              <w:jc w:val="right"/>
              <w:ind w:right="105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51.9</w:t>
            </w:r>
          </w:p>
        </w:tc>
        <w:tc>
          <w:tcPr>
            <w:tcW w:w="20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235.5</w:t>
            </w:r>
          </w:p>
        </w:tc>
        <w:tc>
          <w:tcPr>
            <w:tcW w:w="10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188.4</w:t>
            </w:r>
          </w:p>
        </w:tc>
        <w:tc>
          <w:tcPr>
            <w:tcW w:w="12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8"/>
              </w:rPr>
              <w:t>603.6</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504.6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0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59.0 %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Total gross margin</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76.4 %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Total gross margin increased 1.8 percentage points during the six months ended June 30, 2023 compared to the same period last year, primarily driven by increased product and service gross margins and a shift in the revenue mix. As a percentage of total revenue, the revenue mix shifted 0.8 percentage points from product revenue to service revenue.</w:t>
      </w:r>
    </w:p>
    <w:p>
      <w:pPr>
        <w:spacing w:after="0" w:line="209"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Product gross margin increased 3.2 percentage points during the six months ended June 30, 2023 compared to the same period last year. The product margin was primarily benefited from earlier pricing actions and lower expedite fees and freight costs, partially offset by higher inventory related reserve expense. Cost of product revenue was comprised primarily of third-party contract manufacturers’ costs and the costs of materials used in production.</w:t>
      </w:r>
    </w:p>
    <w:p>
      <w:pPr>
        <w:spacing w:after="0" w:line="22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Service gross margin increased 0.6 percentage points during the six months ended June 30, 2023 compared to the same period last year. Cost of service revenue was comprised primarily of personnel and data center costs. The increase in service gross margin was primarily driven by pricing actions in earlier periods and the favorable impact of foreign currency fluctuations, partially offset by increased labor cost and our increased cloud delivery costs as we continue to expand our cloud to SASE delivery models.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87"/>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6"/>
                <w:szCs w:val="16"/>
                <w:b w:val="1"/>
                <w:bCs w:val="1"/>
                <w:color w:val="auto"/>
                <w:w w:val="89"/>
              </w:rPr>
              <w:t>2022</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940" w:type="dxa"/>
            <w:vAlign w:val="bottom"/>
          </w:tcPr>
          <w:p>
            <w:pPr>
              <w:jc w:val="right"/>
              <w:ind w:right="373"/>
              <w:spacing w:after="0" w:line="172"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960" w:type="dxa"/>
            <w:vAlign w:val="bottom"/>
          </w:tcPr>
          <w:p>
            <w:pPr>
              <w:jc w:val="right"/>
              <w:ind w:right="393"/>
              <w:spacing w:after="0" w:line="172"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89"/>
              </w:rPr>
              <w:t>Revenue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4"/>
          </w:tcPr>
          <w:p>
            <w:pPr>
              <w:jc w:val="center"/>
              <w:ind w:right="53"/>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55.2</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22 %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3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1400" w:type="dxa"/>
            <w:vAlign w:val="bottom"/>
          </w:tcPr>
          <w:p>
            <w:pPr>
              <w:ind w:left="10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400" w:type="dxa"/>
            <w:vAlign w:val="bottom"/>
          </w:tcPr>
          <w:p>
            <w:pPr>
              <w:ind w:left="100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jc w:val="both"/>
        <w:ind w:right="40" w:firstLine="648"/>
        <w:spacing w:after="0" w:line="284" w:lineRule="auto"/>
        <w:rPr>
          <w:sz w:val="20"/>
          <w:szCs w:val="20"/>
          <w:color w:val="auto"/>
        </w:rPr>
      </w:pPr>
      <w:r>
        <w:rPr>
          <w:rFonts w:ascii="Arial" w:cs="Arial" w:eastAsia="Arial" w:hAnsi="Arial"/>
          <w:sz w:val="16"/>
          <w:szCs w:val="16"/>
          <w:color w:val="auto"/>
        </w:rPr>
        <w:t>Research and development expense increased $55.2 million, or 22%, during the six months ended June 30, 2023 compared to the same period last year, primarily due to an increase of $41.3 million in personnel-related costs as a result of increased headcount to support the development of new products and continued enhancements to our existing products. In addition, product development costs increased by $8.7 million and depreciation expense and other occupancy-related expense increased by $3.4 million, partially offset by the favorable impact of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Sales and marketing expense increased $191.1 million, or 24%, during the six months ended June 30, 2023 compared to the same period last year, primarily due to an increase of $140.7 million in personnel-related costs. We significantly increased our sales and pipeline generation capacity, including newer non-tenured sales people. The increase in headcount is expected to help drive global market revenue increases. In addition, marketing-related expense increased by $21.1 million, travel expense increased by $14.8 million and depreciation expense and other occupancy-related expense increased by $10.2 million, partially offset by the favorable impact of foreign currency fluctuations.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General and administrative expense increased $18.7 million, or 22%, during the six months ended June 30, 2023 compared to the same period last year, primarily due to an increase of $9.7 million in personnel-related costs, an increase of $8.2 million in legal and other professional service fees, partially offset by a decrease of $1.2 million in provision for expected credit losses.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generated operating income of $552.5 million during the six months ended June 30, 2023, an increase of $206.2 million, or 60%, compared to $346.3 million in the same period last year. Operating income as a percentage of revenue increased to 21.6% during the six months ended June 30, 2023 compared to 17.4% in the same period last year, due to the stronger gross margin performance. The increase in our operating margin was primarily due to 1.8 percentage points increase in gross margin, and 1.6 percentage points, 0.7 percentage points and 0.2 percentage points decreases in sales and marketing expense, research and development expense and general and administrative expense as percentage of revenue,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Six Months Ended</w:t>
            </w:r>
          </w:p>
        </w:tc>
        <w:tc>
          <w:tcPr>
            <w:tcW w:w="120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18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515"/>
              <w:spacing w:after="0" w:line="172" w:lineRule="exact"/>
              <w:rPr>
                <w:sz w:val="20"/>
                <w:szCs w:val="20"/>
                <w:color w:val="auto"/>
              </w:rPr>
            </w:pPr>
            <w:r>
              <w:rPr>
                <w:rFonts w:ascii="Arial" w:cs="Arial" w:eastAsia="Arial" w:hAnsi="Arial"/>
                <w:sz w:val="16"/>
                <w:szCs w:val="16"/>
                <w:b w:val="1"/>
                <w:bCs w:val="1"/>
                <w:color w:val="auto"/>
                <w:w w:val="90"/>
              </w:rPr>
              <w:t>June 30,</w:t>
            </w:r>
          </w:p>
        </w:tc>
        <w:tc>
          <w:tcPr>
            <w:tcW w:w="480" w:type="dxa"/>
            <w:vAlign w:val="bottom"/>
          </w:tcPr>
          <w:p>
            <w:pPr>
              <w:spacing w:after="0"/>
              <w:rPr>
                <w:sz w:val="14"/>
                <w:szCs w:val="14"/>
                <w:color w:val="auto"/>
              </w:rPr>
            </w:pPr>
          </w:p>
        </w:tc>
        <w:tc>
          <w:tcPr>
            <w:tcW w:w="17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40" w:type="dxa"/>
            <w:vAlign w:val="bottom"/>
            <w:gridSpan w:val="3"/>
          </w:tcPr>
          <w:p>
            <w:pPr>
              <w:ind w:left="220"/>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52.2</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48.5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ind w:left="1060"/>
              <w:spacing w:after="0"/>
              <w:rPr>
                <w:sz w:val="20"/>
                <w:szCs w:val="20"/>
                <w:color w:val="auto"/>
              </w:rPr>
            </w:pPr>
            <w:r>
              <w:rPr>
                <w:rFonts w:ascii="Arial" w:cs="Arial" w:eastAsia="Arial" w:hAnsi="Arial"/>
                <w:sz w:val="18"/>
                <w:szCs w:val="18"/>
                <w:color w:val="auto"/>
              </w:rPr>
              <w:t>(1.2)</w:t>
            </w:r>
          </w:p>
        </w:tc>
        <w:tc>
          <w:tcPr>
            <w:tcW w:w="17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14.2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Interest income increased $48.5 million during the six months ended June 30, 2023 compared to the same period last year, primarily as a result of higher interest rates and greater investment balances. Interest income varies depending on our average investment balances during the period, types and mix of investments, and market interest rates. Interest expense remained comparatively flat during the six months ended June 30, 2023 compared to the same period last year. Other expense—net decreased by $14.2 million during the six months ended June 30, 2023 compared to the same period last year, due to a $10.9 million recovery in the loss on marketable equity securities and a $3.0 million decrease of foreign currency exchange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597"/>
              <w:spacing w:after="0"/>
              <w:rPr>
                <w:sz w:val="20"/>
                <w:szCs w:val="20"/>
                <w:color w:val="auto"/>
              </w:rPr>
            </w:pPr>
            <w:r>
              <w:rPr>
                <w:rFonts w:ascii="Arial" w:cs="Arial" w:eastAsia="Arial" w:hAnsi="Arial"/>
                <w:sz w:val="16"/>
                <w:szCs w:val="16"/>
                <w:b w:val="1"/>
                <w:bCs w:val="1"/>
                <w:color w:val="auto"/>
                <w:w w:val="93"/>
              </w:rPr>
              <w:t>Six Months Ended</w:t>
            </w:r>
          </w:p>
        </w:tc>
        <w:tc>
          <w:tcPr>
            <w:tcW w:w="58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220" w:type="dxa"/>
            <w:vAlign w:val="bottom"/>
          </w:tcPr>
          <w:p>
            <w:pPr>
              <w:jc w:val="center"/>
              <w:ind w:left="516"/>
              <w:spacing w:after="0"/>
              <w:rPr>
                <w:sz w:val="20"/>
                <w:szCs w:val="20"/>
                <w:color w:val="auto"/>
              </w:rPr>
            </w:pPr>
            <w:r>
              <w:rPr>
                <w:rFonts w:ascii="Arial" w:cs="Arial" w:eastAsia="Arial" w:hAnsi="Arial"/>
                <w:sz w:val="16"/>
                <w:szCs w:val="16"/>
                <w:b w:val="1"/>
                <w:bCs w:val="1"/>
                <w:color w:val="auto"/>
                <w:w w:val="90"/>
              </w:rPr>
              <w:t>June 30,</w:t>
            </w:r>
          </w:p>
        </w:tc>
        <w:tc>
          <w:tcPr>
            <w:tcW w:w="660" w:type="dxa"/>
            <w:vAlign w:val="bottom"/>
          </w:tcPr>
          <w:p>
            <w:pPr>
              <w:spacing w:after="0"/>
              <w:rPr>
                <w:sz w:val="16"/>
                <w:szCs w:val="16"/>
                <w:color w:val="auto"/>
              </w:rPr>
            </w:pPr>
          </w:p>
        </w:tc>
        <w:tc>
          <w:tcPr>
            <w:tcW w:w="1340" w:type="dxa"/>
            <w:vAlign w:val="bottom"/>
          </w:tcPr>
          <w:p>
            <w:pPr>
              <w:ind w:left="700"/>
              <w:spacing w:after="0"/>
              <w:rPr>
                <w:sz w:val="20"/>
                <w:szCs w:val="20"/>
                <w:color w:val="auto"/>
              </w:rPr>
            </w:pPr>
            <w:r>
              <w:rPr>
                <w:rFonts w:ascii="Arial" w:cs="Arial" w:eastAsia="Arial" w:hAnsi="Arial"/>
                <w:sz w:val="16"/>
                <w:szCs w:val="16"/>
                <w:b w:val="1"/>
                <w:bCs w:val="1"/>
                <w:color w:val="auto"/>
                <w:w w:val="96"/>
              </w:rPr>
              <w:t>June 30,</w:t>
            </w:r>
          </w:p>
        </w:tc>
        <w:tc>
          <w:tcPr>
            <w:tcW w:w="580" w:type="dxa"/>
            <w:vAlign w:val="bottom"/>
          </w:tcPr>
          <w:p>
            <w:pPr>
              <w:spacing w:after="0"/>
              <w:rPr>
                <w:sz w:val="16"/>
                <w:szCs w:val="16"/>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780" w:type="dxa"/>
            <w:vAlign w:val="bottom"/>
          </w:tcPr>
          <w:p>
            <w:pPr>
              <w:spacing w:after="0"/>
              <w:rPr>
                <w:sz w:val="16"/>
                <w:szCs w:val="16"/>
                <w:color w:val="auto"/>
              </w:rPr>
            </w:pPr>
          </w:p>
        </w:tc>
        <w:tc>
          <w:tcPr>
            <w:tcW w:w="168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60" w:type="dxa"/>
            <w:vAlign w:val="bottom"/>
            <w:gridSpan w:val="3"/>
          </w:tcPr>
          <w:p>
            <w:pPr>
              <w:ind w:left="820"/>
              <w:spacing w:after="0"/>
              <w:rPr>
                <w:sz w:val="20"/>
                <w:szCs w:val="20"/>
                <w:color w:val="auto"/>
              </w:rPr>
            </w:pPr>
            <w:r>
              <w:rPr>
                <w:rFonts w:ascii="Arial" w:cs="Arial" w:eastAsia="Arial" w:hAnsi="Arial"/>
                <w:sz w:val="16"/>
                <w:szCs w:val="16"/>
                <w:b w:val="1"/>
                <w:bCs w:val="1"/>
                <w:color w:val="auto"/>
                <w:w w:val="97"/>
              </w:rPr>
              <w:t>(in millions, except percentages)</w:t>
            </w: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48.9</w:t>
            </w:r>
          </w:p>
        </w:tc>
        <w:tc>
          <w:tcPr>
            <w:tcW w:w="1340" w:type="dxa"/>
            <w:vAlign w:val="bottom"/>
            <w:shd w:val="clear" w:color="auto" w:fill="CCEEFF"/>
          </w:tcPr>
          <w:p>
            <w:pPr>
              <w:jc w:val="right"/>
              <w:ind w:right="107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3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54.6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Our effective tax rate was 8% for the six months ended June 30, 2023 compared to an effective tax rate of negative 2% for the same period last year. The provision for income taxes for the six months ended June 30, 2023 was primarily comprised of U.S. federal and state taxes, withholding taxes and foreign taxes that were $170.6 million. This provision for income taxes was favorably affected by a tax benefit of $64.0 million from the FDII deduction, excess tax benefits from stock-based compensation expense of $39.6 million, and the release of reserves of $18.1 million on uncertain tax positions and the accrued interest thereon due to the expiration of statutes of limitations.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The benefit from income taxes for the six months ended June 30, 2022 was comprised of U.S. federal and state taxes, withholding taxes, and foreign taxes that were $93.3 million, which were offset by a tax benefit of $33.3 million from the FDII deduction, excess tax benefits from stock-based compensation expense of $49.5 million, and the release of reserves of $16.2 million on uncertain tax positions and the accrued interest thereon due to the expiration of statutes of limitations.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Equity Method Investment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Six Months Ended</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1160" w:type="dxa"/>
            <w:vAlign w:val="bottom"/>
          </w:tcPr>
          <w:p>
            <w:pPr>
              <w:jc w:val="center"/>
              <w:ind w:left="496"/>
              <w:spacing w:after="0" w:line="172" w:lineRule="exact"/>
              <w:rPr>
                <w:sz w:val="20"/>
                <w:szCs w:val="20"/>
                <w:color w:val="auto"/>
              </w:rPr>
            </w:pPr>
            <w:r>
              <w:rPr>
                <w:rFonts w:ascii="Arial" w:cs="Arial" w:eastAsia="Arial" w:hAnsi="Arial"/>
                <w:sz w:val="16"/>
                <w:szCs w:val="16"/>
                <w:b w:val="1"/>
                <w:bCs w:val="1"/>
                <w:color w:val="auto"/>
                <w:w w:val="90"/>
              </w:rPr>
              <w:t>June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center"/>
              <w:ind w:right="517"/>
              <w:spacing w:after="0" w:line="172" w:lineRule="exact"/>
              <w:rPr>
                <w:sz w:val="20"/>
                <w:szCs w:val="20"/>
                <w:color w:val="auto"/>
              </w:rPr>
            </w:pPr>
            <w:r>
              <w:rPr>
                <w:rFonts w:ascii="Arial" w:cs="Arial" w:eastAsia="Arial" w:hAnsi="Arial"/>
                <w:sz w:val="16"/>
                <w:szCs w:val="16"/>
                <w:b w:val="1"/>
                <w:bCs w:val="1"/>
                <w:color w:val="auto"/>
                <w:w w:val="87"/>
              </w:rPr>
              <w:t>June 30,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4"/>
                <w:szCs w:val="14"/>
                <w:color w:val="auto"/>
              </w:rPr>
            </w:pPr>
          </w:p>
        </w:tc>
        <w:tc>
          <w:tcPr>
            <w:tcW w:w="190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7"/>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gridSpan w:val="4"/>
          </w:tcPr>
          <w:p>
            <w:pPr>
              <w:jc w:val="right"/>
              <w:ind w:right="535"/>
              <w:spacing w:after="0"/>
              <w:rPr>
                <w:sz w:val="20"/>
                <w:szCs w:val="20"/>
                <w:color w:val="auto"/>
              </w:rPr>
            </w:pPr>
            <w:r>
              <w:rPr>
                <w:rFonts w:ascii="Arial" w:cs="Arial" w:eastAsia="Arial" w:hAnsi="Arial"/>
                <w:sz w:val="16"/>
                <w:szCs w:val="16"/>
                <w:b w:val="1"/>
                <w:bCs w:val="1"/>
                <w:color w:val="auto"/>
                <w:w w:val="95"/>
              </w:rPr>
              <w:t>(in millions, except percentages)</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Loss from equity method investment increased $10.8 million during the six months ended June 30, 2023 compared to the same period last year, due to the increase in our proportionate share of loss of Linksys’ financial results as well as our share of the amortization of the basis differences from prior quarter.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934"/>
              <w:spacing w:after="0"/>
              <w:rPr>
                <w:sz w:val="20"/>
                <w:szCs w:val="20"/>
                <w:color w:val="auto"/>
              </w:rPr>
            </w:pPr>
            <w:r>
              <w:rPr>
                <w:rFonts w:ascii="Arial" w:cs="Arial" w:eastAsia="Arial" w:hAnsi="Arial"/>
                <w:sz w:val="16"/>
                <w:szCs w:val="16"/>
                <w:b w:val="1"/>
                <w:bCs w:val="1"/>
                <w:color w:val="auto"/>
                <w:w w:val="84"/>
              </w:rPr>
              <w:t>As of</w:t>
            </w:r>
          </w:p>
        </w:tc>
        <w:tc>
          <w:tcPr>
            <w:tcW w:w="132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4"/>
              <w:spacing w:after="0" w:line="158" w:lineRule="exact"/>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2022</w:t>
            </w:r>
          </w:p>
        </w:tc>
      </w:tr>
      <w:tr>
        <w:trPr>
          <w:trHeight w:val="209"/>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24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Short-term and long-term investments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548.1</w:t>
            </w: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6"/>
        </w:trPr>
        <w:tc>
          <w:tcPr>
            <w:tcW w:w="8060" w:type="dxa"/>
            <w:vAlign w:val="bottom"/>
          </w:tcPr>
          <w:p>
            <w:pPr>
              <w:ind w:left="20"/>
              <w:spacing w:after="0"/>
              <w:rPr>
                <w:sz w:val="20"/>
                <w:szCs w:val="20"/>
                <w:color w:val="auto"/>
              </w:rPr>
            </w:pPr>
            <w:r>
              <w:rPr>
                <w:rFonts w:ascii="Arial" w:cs="Arial" w:eastAsia="Arial" w:hAnsi="Arial"/>
                <w:sz w:val="18"/>
                <w:szCs w:val="18"/>
                <w:color w:val="auto"/>
              </w:rPr>
              <w:t>Total cash, cash equivalents, investments and marketable equity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3,317.7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2,256.5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6"/>
        </w:trPr>
        <w:tc>
          <w:tcPr>
            <w:tcW w:w="8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6"/>
                <w:szCs w:val="16"/>
                <w:b w:val="1"/>
                <w:bCs w:val="1"/>
                <w:color w:val="auto"/>
                <w:w w:val="92"/>
              </w:rPr>
              <w:t>Six Months Ended</w:t>
            </w:r>
          </w:p>
        </w:tc>
      </w:tr>
      <w:tr>
        <w:trPr>
          <w:trHeight w:val="158"/>
        </w:trPr>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4"/>
              <w:spacing w:after="0" w:line="158" w:lineRule="exact"/>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2022</w:t>
            </w:r>
          </w:p>
        </w:tc>
      </w:tr>
      <w:tr>
        <w:trPr>
          <w:trHeight w:val="210"/>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Liquidity and capital resources are primarily impacted by our operating activities, as well as payment of taxes in connection with the net settlement of equity awards, real estate and other capital expenditures, proceeds from the issuance of common stock, cash used for stock repurchases and the timing of income tax payments. In accordance with disaster relief announced by the Internal Revenue Service, we have postponed U.S. federal tax payments from the second quarter of 2023 to the fourth quarter of 2023. We expect to postpone additional U.S. federal tax payments from the third quarter of 2023 to the fourth quarter of 2023, and we expect that our cash payments for income taxes to be significantly higher, in the range of $370.0 million to $380.0 million in the fourth quarter of 2023.</w:t>
      </w:r>
    </w:p>
    <w:p>
      <w:pPr>
        <w:spacing w:after="0" w:line="2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interest rates, economic strength, supply chain capacity and disruptions, international conflicts, including the war in Ukraine, and our ability to execute. We expect proceeds from the exercise of stock options in future years to be impacted by the increased mix of restricted stock units and performance stock units versus stock options granted to our employees and to vary based on our share price.</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 February 2023, our board of directors approved an extension of the Repurchase Program to February 29, 2024. In April 2023, our board of directors approved a $1.0 billion increase in the authorized amount under the Repurchase Program, bringing the aggregate amount authorized to be repurchased to $6.25 billion of our outstanding common stock through February 29, 2024. There were no shares repurchased under the Repurchase Program during the six months ended June 30, 2023. In July 2023, our board of directors approved a $500.0 million increase in the authorized stock repurchase amount under the Repurchase Program, bringing the aggregate amount authorized for repurchase to $6.75 billion of our outstanding common stock through February 29, 2024. As of August 7, 2023, approximately $1.87 billion remained available for future share repurchases.</w:t>
      </w:r>
    </w:p>
    <w:p>
      <w:pPr>
        <w:spacing w:after="0" w:line="178"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$225 million and $275 million in the second half of 2023.</w:t>
      </w:r>
    </w:p>
    <w:p>
      <w:pPr>
        <w:spacing w:after="0" w:line="191" w:lineRule="exact"/>
        <w:rPr>
          <w:sz w:val="20"/>
          <w:szCs w:val="20"/>
          <w:color w:val="auto"/>
        </w:rPr>
      </w:pPr>
    </w:p>
    <w:p>
      <w:pPr>
        <w:ind w:right="240" w:firstLine="648"/>
        <w:spacing w:after="0" w:line="243" w:lineRule="auto"/>
        <w:rPr>
          <w:sz w:val="20"/>
          <w:szCs w:val="20"/>
          <w:color w:val="auto"/>
        </w:rPr>
      </w:pPr>
      <w:r>
        <w:rPr>
          <w:rFonts w:ascii="Arial" w:cs="Arial" w:eastAsia="Arial" w:hAnsi="Arial"/>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10, Debt, in Part I, Item 1 of this Quarterly Report on Form 10-Q for information on the Senior Notes. As of June 30, 2023, the long-term debt, net of unamortized discount and debt issuance costs, was $991.3 million.</w:t>
      </w:r>
    </w:p>
    <w:p>
      <w:pPr>
        <w:spacing w:after="0" w:line="201"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We enter into non-cancellable agreements with contract manufacturers and certain component suppliers to procure inventory based on our requirements in order to negotiate manufacturing lead times and encourage and incentivize vendors to deliver components and finished goods. In certain instances, these agreements allow us the option to reschedule and adjust our requirements based on our business needs prior to firm orders being placed. These purchase commitments as of June 30, 2023 totaled $1.01 billion, a decrease of $324.8 million compared to $1.34 billion as of December 31, 2022 due to fulfillment of customer demand as our supply availability improved and our continued efforts to work with contract manufacturers and suppliers to optimize our inventory and purchase commitment position. We increased our purchase commitments in prior years to address significant supply constraints seen industry-wide due to component shortages. Our agreements secured supply and pricing for certain product components commitments with contract manufacturers to meet customer demand and to address extended lead times. We also have open purchase orders and contractual obligations in the ordinary course of business for which we have not received goods or services. As of June 30, 2023, we had $84.6 million in other contractual commitments having a remaining term in excess of one year that are non-cancelable.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significant changes to our leases as disclosed in our Annual Report on Form 10-K for the year ended December 31, 2022.</w:t>
      </w:r>
    </w:p>
    <w:p>
      <w:pPr>
        <w:spacing w:after="0" w:line="26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of June 30, 2023, our cash, cash equivalents, short-term and long-term investments of $3.30 billion were invested primarily in deposit accounts, money market funds, corporate debt securities, commercial paper, certificates of deposit and term deposits, U.S. government and agency securities and municipal bonds. It is our investment policy to invest excess cash in a manner that preserves capital, provides liquidity and generates return without significantly increasing risk. We do not enter into investments for trading or speculative purposes.</w:t>
      </w:r>
    </w:p>
    <w:p>
      <w:pPr>
        <w:spacing w:after="0" w:line="19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$208.0 million as of June 30, 2023 and $218.1 million as of December 31, 2022.</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tax payments and macroeconomic impacts such as rising inflation and interest rates; the war in Ukraine; and instability in the global banking system.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deferred revenue, accounts receivable—net, deferred contract costs, income taxes payable, deferred tax assets and inventory.</w:t>
      </w:r>
    </w:p>
    <w:p>
      <w:pPr>
        <w:spacing w:after="0" w:line="215"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Our operating activities during the six months ended June 30, 2023 provided cash flows of $1.19 billion, an increase of $473.1 million compared to the same period last year, as a result of the continued growth of our business, improved profitability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of $489.3 million in our deferred revenue during the six months ended June 30, 2023. In addition, changes in operating assets and liabilities were driven by a decrease of $179.0 million in accounts receivable— net, an increase of $168.5 million in deferred contract costs, an increase of $161.8 million in deferred tax assets, an increase of $156.9 million in income taxes payable as we deferred our U.S. federal tax payments in the second quarter of 2023 following the disaster relief provided by the Internal Revenue Service and an increase of $130.2 million in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and purchases of property and equipment. Historically, in making a lease-versus-ownership decision related to warehouse, office or data space, we have considered various factors including financial metrics, expected long-term growth rates, time to market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18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During the six months ended June 30, 2023, cash used in investing activities was $466.5 million, primarily driven by $359.5 million spent for purchases of investments, net of maturities and sales of investments and $107.1 million of purchases of property and equipment.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and Restated Fortinet, Inc. 2009 Equity Incentive Plan.</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six months ended June 30, 2023, cash used in financing activities was $31.4 million, primarily driven by $30.4 million used to pay tax withholding, net of proceeds from the issuance of common stock.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2023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June 30, 2023.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2023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There were no changes in our internal controls over financial reporting (as defined in Rules 13a-15(f) or 15d-15(f) under the Exchange Act) during the quarter ended June 30, 2023,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11. Commitments and Contingencies in Part I, Item 1 of this Quarterly Report on Form 10-Q for additional information.</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right="240" w:hanging="644"/>
        <w:spacing w:after="0" w:line="25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conditions, including macroeconomic and regional economic challenges resulting, for example, from a recession or other economic downturn, increased inflation or possible stagflation in certain geographies, rising interest rates, the war in Ukraine, tensions between China and Taiwan, or other factors;</w:t>
      </w:r>
    </w:p>
    <w:p>
      <w:pPr>
        <w:spacing w:after="0" w:line="201" w:lineRule="exact"/>
        <w:rPr>
          <w:rFonts w:ascii="Arial" w:cs="Arial" w:eastAsia="Arial" w:hAnsi="Arial"/>
          <w:sz w:val="18"/>
          <w:szCs w:val="18"/>
          <w:color w:val="auto"/>
        </w:rPr>
      </w:pPr>
    </w:p>
    <w:p>
      <w:pPr>
        <w:ind w:left="1300" w:right="100" w:hanging="644"/>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sales strategy, productivity and execution, and our ability to attract and retain new end-customers or sell additional products and services to our existing end-customers, including customer demand for platform solutions like ours versus point solutions;</w:t>
      </w:r>
    </w:p>
    <w:p>
      <w:pPr>
        <w:spacing w:after="0" w:line="146" w:lineRule="exact"/>
        <w:rPr>
          <w:rFonts w:ascii="Arial" w:cs="Arial" w:eastAsia="Arial" w:hAnsi="Arial"/>
          <w:sz w:val="17"/>
          <w:szCs w:val="17"/>
          <w:color w:val="auto"/>
        </w:rPr>
      </w:pPr>
    </w:p>
    <w:p>
      <w:pPr>
        <w:jc w:val="both"/>
        <w:ind w:left="1300" w:right="60" w:hanging="644"/>
        <w:spacing w:after="0" w:line="24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component shortages, including chips and other components, and product inventory shortages, including those caused by factors outside of our control, such as epidemics and pandemics, supply chain disruptions, inflation and other cost increases, international trade disputes or tariffs, natural disasters, health emergencies, power outages, civil unrest, labor disruption, international conflicts, terrorism, wars, such as the war in Ukraine, and critical infrastructure attacks;</w:t>
      </w:r>
    </w:p>
    <w:p>
      <w:pPr>
        <w:spacing w:after="0" w:line="22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management, including future inventory purchase order commitments;</w:t>
      </w:r>
    </w:p>
    <w:p>
      <w:pPr>
        <w:spacing w:after="0" w:line="225" w:lineRule="exact"/>
        <w:rPr>
          <w:rFonts w:ascii="Arial" w:cs="Arial" w:eastAsia="Arial" w:hAnsi="Arial"/>
          <w:sz w:val="18"/>
          <w:szCs w:val="18"/>
          <w:color w:val="auto"/>
        </w:rPr>
      </w:pPr>
    </w:p>
    <w:p>
      <w:pPr>
        <w:ind w:left="1300" w:right="140" w:hanging="644"/>
        <w:spacing w:after="0" w:line="261"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increase backlog or future inventory purchase order commitments and lead to price decreases;</w:t>
      </w:r>
    </w:p>
    <w:p>
      <w:pPr>
        <w:spacing w:after="0" w:line="197" w:lineRule="exact"/>
        <w:rPr>
          <w:rFonts w:ascii="Arial" w:cs="Arial" w:eastAsia="Arial" w:hAnsi="Arial"/>
          <w:sz w:val="18"/>
          <w:szCs w:val="18"/>
          <w:color w:val="auto"/>
        </w:rPr>
      </w:pPr>
    </w:p>
    <w:p>
      <w:pPr>
        <w:ind w:left="1300" w:right="160" w:hanging="644"/>
        <w:spacing w:after="0" w:line="24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supply chain shortages, including component and other shortages, our backlog has fluctuated over past quarters and any decrease in growth or negative growth of in-quarter billings and revenue may not be reflected by our aggregate billings and revenue. As we fulfill, ship and bill during a quarter to satisfy backlog, this will increase our aggregate billings and revenue during any particular quarter;</w:t>
      </w:r>
    </w:p>
    <w:p>
      <w:pPr>
        <w:spacing w:after="0" w:line="214"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supplier cost increases and any lack of market acceptance of our price increases designed to help offset any supplier cost increases;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our reduction of operations in Russia;</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120" w:hanging="644"/>
        <w:spacing w:after="0" w:line="24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factors such as increased inflation or possible stagflation in certain geographies, increasing or decreasing interest rates, the war in Ukraine and other factors;</w:t>
      </w:r>
    </w:p>
    <w:p>
      <w:pPr>
        <w:spacing w:after="0" w:line="208" w:lineRule="exact"/>
        <w:rPr>
          <w:rFonts w:ascii="Arial" w:cs="Arial" w:eastAsia="Arial" w:hAnsi="Arial"/>
          <w:sz w:val="18"/>
          <w:szCs w:val="18"/>
          <w:color w:val="auto"/>
        </w:rPr>
      </w:pPr>
    </w:p>
    <w:p>
      <w:pPr>
        <w:ind w:left="1300" w:right="220" w:hanging="644"/>
        <w:spacing w:after="0" w:line="26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57" w:lineRule="exact"/>
        <w:rPr>
          <w:rFonts w:ascii="Arial" w:cs="Arial" w:eastAsia="Arial" w:hAnsi="Arial"/>
          <w:sz w:val="18"/>
          <w:szCs w:val="18"/>
          <w:color w:val="auto"/>
        </w:rPr>
      </w:pPr>
    </w:p>
    <w:p>
      <w:pPr>
        <w:ind w:left="1300" w:right="4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16" w:lineRule="exact"/>
        <w:rPr>
          <w:rFonts w:ascii="Arial" w:cs="Arial" w:eastAsia="Arial" w:hAnsi="Arial"/>
          <w:sz w:val="18"/>
          <w:szCs w:val="18"/>
          <w:color w:val="auto"/>
        </w:rPr>
      </w:pPr>
    </w:p>
    <w:p>
      <w:pPr>
        <w:jc w:val="both"/>
        <w:ind w:left="1300" w:right="60" w:hanging="644"/>
        <w:spacing w:after="0" w:line="24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208" w:lineRule="exact"/>
        <w:rPr>
          <w:rFonts w:ascii="Arial" w:cs="Arial" w:eastAsia="Arial" w:hAnsi="Arial"/>
          <w:sz w:val="18"/>
          <w:szCs w:val="18"/>
          <w:color w:val="auto"/>
        </w:rPr>
      </w:pPr>
    </w:p>
    <w:p>
      <w:pPr>
        <w:ind w:left="1300" w:right="660" w:hanging="644"/>
        <w:spacing w:after="0" w:line="26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investors’ expectations of our performance relating to environmental, social and governance (“ESG”) and commitment to carbon neutrality;</w:t>
      </w:r>
    </w:p>
    <w:p>
      <w:pPr>
        <w:spacing w:after="0" w:line="197"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customer agreements which contain service-level agreements, under which we guarantee specified availability of our platform and solutions;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data security requirements that may be inconsistently enforced in certain jurisdictions;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impairments as a result of certain events or changes in circumstances;</w:t>
      </w:r>
    </w:p>
    <w:p>
      <w:pPr>
        <w:spacing w:after="0" w:line="238" w:lineRule="exact"/>
        <w:rPr>
          <w:rFonts w:ascii="Arial" w:cs="Arial" w:eastAsia="Arial" w:hAnsi="Arial"/>
          <w:sz w:val="18"/>
          <w:szCs w:val="18"/>
          <w:color w:val="auto"/>
        </w:rPr>
      </w:pPr>
    </w:p>
    <w:p>
      <w:pPr>
        <w:ind w:left="1300" w:right="140" w:hanging="644"/>
        <w:spacing w:after="0" w:line="26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84" w:lineRule="exact"/>
        <w:rPr>
          <w:rFonts w:ascii="Arial" w:cs="Arial" w:eastAsia="Arial" w:hAnsi="Arial"/>
          <w:sz w:val="18"/>
          <w:szCs w:val="18"/>
          <w:color w:val="auto"/>
        </w:rPr>
      </w:pPr>
    </w:p>
    <w:p>
      <w:pPr>
        <w:ind w:left="1300" w:right="480" w:hanging="644"/>
        <w:spacing w:after="0" w:line="26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lifecycles or refresh cycles;</w:t>
      </w:r>
    </w:p>
    <w:p>
      <w:pPr>
        <w:spacing w:after="0" w:line="197" w:lineRule="exact"/>
        <w:rPr>
          <w:rFonts w:ascii="Arial" w:cs="Arial" w:eastAsia="Arial" w:hAnsi="Arial"/>
          <w:sz w:val="18"/>
          <w:szCs w:val="18"/>
          <w:color w:val="auto"/>
        </w:rPr>
      </w:pPr>
    </w:p>
    <w:p>
      <w:pPr>
        <w:ind w:left="1300" w:right="80" w:hanging="644"/>
        <w:spacing w:after="0" w:line="24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such as the war in Ukraine, and critical infrastructure attacks;</w:t>
      </w:r>
    </w:p>
    <w:p>
      <w:pPr>
        <w:spacing w:after="0" w:line="228" w:lineRule="exact"/>
        <w:rPr>
          <w:rFonts w:ascii="Arial" w:cs="Arial" w:eastAsia="Arial" w:hAnsi="Arial"/>
          <w:sz w:val="18"/>
          <w:szCs w:val="18"/>
          <w:color w:val="auto"/>
        </w:rPr>
      </w:pPr>
    </w:p>
    <w:p>
      <w:pPr>
        <w:ind w:left="1300" w:right="60" w:hanging="644"/>
        <w:spacing w:after="0" w:line="25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including the time it takes to hire sales personnel, the timing of hiring and our ability to hire and retain effective sales personnel, as well as our efforts to align our sales capacity and market demand;</w:t>
      </w:r>
    </w:p>
    <w:p>
      <w:pPr>
        <w:spacing w:after="0" w:line="188" w:lineRule="exact"/>
        <w:rPr>
          <w:rFonts w:ascii="Arial" w:cs="Arial" w:eastAsia="Arial" w:hAnsi="Arial"/>
          <w:sz w:val="18"/>
          <w:szCs w:val="18"/>
          <w:color w:val="auto"/>
        </w:rPr>
      </w:pPr>
    </w:p>
    <w:p>
      <w:pPr>
        <w:ind w:left="1300" w:hanging="644"/>
        <w:spacing w:after="0" w:line="24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spacing w:after="0" w:line="216" w:lineRule="exact"/>
        <w:rPr>
          <w:rFonts w:ascii="Arial" w:cs="Arial" w:eastAsia="Arial" w:hAnsi="Arial"/>
          <w:sz w:val="18"/>
          <w:szCs w:val="18"/>
          <w:color w:val="auto"/>
        </w:rPr>
      </w:pPr>
    </w:p>
    <w:p>
      <w:pPr>
        <w:ind w:left="1300" w:right="40" w:hanging="644"/>
        <w:spacing w:after="0" w:line="23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and IoT and OT security opportunities;</w:t>
      </w:r>
    </w:p>
    <w:p>
      <w:pPr>
        <w:spacing w:after="0" w:line="231"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38" w:lineRule="exact"/>
        <w:rPr>
          <w:rFonts w:ascii="Arial" w:cs="Arial" w:eastAsia="Arial" w:hAnsi="Arial"/>
          <w:sz w:val="18"/>
          <w:szCs w:val="18"/>
          <w:color w:val="auto"/>
        </w:rPr>
      </w:pPr>
    </w:p>
    <w:p>
      <w:pPr>
        <w:ind w:left="1300" w:right="140" w:hanging="644"/>
        <w:spacing w:after="0" w:line="291"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420" w:hanging="644"/>
        <w:spacing w:after="0" w:line="248"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revenue recognition for our sales, including any impacts resulting from extension of payment terms to distributors and fluctuations in backlog levels, which could result in more variability and less predictability in our quarter-to-quarter revenue and operating results;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84" w:lineRule="exact"/>
        <w:rPr>
          <w:rFonts w:ascii="Arial" w:cs="Arial" w:eastAsia="Arial" w:hAnsi="Arial"/>
          <w:sz w:val="18"/>
          <w:szCs w:val="18"/>
          <w:color w:val="auto"/>
        </w:rPr>
      </w:pPr>
    </w:p>
    <w:p>
      <w:pPr>
        <w:ind w:left="1300" w:right="240" w:hanging="644"/>
        <w:spacing w:after="0" w:line="248"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95" w:lineRule="exact"/>
        <w:rPr>
          <w:rFonts w:ascii="Arial" w:cs="Arial" w:eastAsia="Arial" w:hAnsi="Arial"/>
          <w:sz w:val="18"/>
          <w:szCs w:val="18"/>
          <w:color w:val="auto"/>
        </w:rPr>
      </w:pPr>
    </w:p>
    <w:p>
      <w:pPr>
        <w:ind w:left="1300" w:right="260" w:hanging="644"/>
        <w:spacing w:after="0" w:line="291"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19" w:lineRule="exact"/>
        <w:rPr>
          <w:rFonts w:ascii="Arial" w:cs="Arial" w:eastAsia="Arial" w:hAnsi="Arial"/>
          <w:sz w:val="17"/>
          <w:szCs w:val="17"/>
          <w:color w:val="auto"/>
        </w:rPr>
      </w:pPr>
    </w:p>
    <w:p>
      <w:pPr>
        <w:ind w:left="1300" w:right="180" w:hanging="644"/>
        <w:spacing w:after="0" w:line="248"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spacing w:after="0" w:line="195" w:lineRule="exact"/>
        <w:rPr>
          <w:rFonts w:ascii="Arial" w:cs="Arial" w:eastAsia="Arial" w:hAnsi="Arial"/>
          <w:sz w:val="18"/>
          <w:szCs w:val="18"/>
          <w:color w:val="auto"/>
        </w:rPr>
      </w:pPr>
    </w:p>
    <w:p>
      <w:pPr>
        <w:ind w:left="1300" w:right="60" w:hanging="644"/>
        <w:spacing w:after="0" w:line="294"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87"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25"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permits, clearances and certifications that are applicable to our ability to conduct business with the U.S. federal government, other international and local governments and other industries and sectors;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cloud-based security solutions on our billings, revenue, operating margins and free cash flow;</w:t>
      </w:r>
    </w:p>
    <w:p>
      <w:pPr>
        <w:spacing w:after="0" w:line="211"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both increase revenue and manage and control operating expenses in order to maintain or improve our operating margins;</w:t>
      </w:r>
    </w:p>
    <w:p>
      <w:pPr>
        <w:spacing w:after="0" w:line="234"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timing of our billings, collection for our contracts or the contractual term of service sold;</w:t>
      </w:r>
    </w:p>
    <w:p>
      <w:pPr>
        <w:spacing w:after="0" w:line="238" w:lineRule="exact"/>
        <w:rPr>
          <w:rFonts w:ascii="Arial" w:cs="Arial" w:eastAsia="Arial" w:hAnsi="Arial"/>
          <w:sz w:val="18"/>
          <w:szCs w:val="18"/>
          <w:color w:val="auto"/>
        </w:rPr>
      </w:pPr>
    </w:p>
    <w:p>
      <w:pPr>
        <w:ind w:left="1300" w:right="60" w:hanging="644"/>
        <w:spacing w:after="0" w:line="261"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 and the tax treatment of research and development expenses and the related impact of cash from operations;</w:t>
      </w:r>
    </w:p>
    <w:p>
      <w:pPr>
        <w:spacing w:after="0" w:line="211" w:lineRule="exact"/>
        <w:rPr>
          <w:rFonts w:ascii="Arial" w:cs="Arial" w:eastAsia="Arial" w:hAnsi="Arial"/>
          <w:sz w:val="18"/>
          <w:szCs w:val="18"/>
          <w:color w:val="auto"/>
        </w:rPr>
      </w:pPr>
    </w:p>
    <w:p>
      <w:pPr>
        <w:ind w:left="1300" w:right="80" w:hanging="644"/>
        <w:spacing w:after="0" w:line="291"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4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3" w:lineRule="exact"/>
        <w:rPr>
          <w:rFonts w:ascii="Arial" w:cs="Arial" w:eastAsia="Arial" w:hAnsi="Arial"/>
          <w:sz w:val="18"/>
          <w:szCs w:val="18"/>
          <w:color w:val="auto"/>
        </w:rPr>
      </w:pPr>
    </w:p>
    <w:p>
      <w:pPr>
        <w:ind w:left="1300" w:right="640" w:hanging="644"/>
        <w:spacing w:after="0" w:line="291"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0" w:lineRule="exact"/>
        <w:rPr>
          <w:rFonts w:ascii="Arial" w:cs="Arial" w:eastAsia="Arial" w:hAnsi="Arial"/>
          <w:sz w:val="17"/>
          <w:szCs w:val="17"/>
          <w:color w:val="auto"/>
        </w:rPr>
      </w:pPr>
    </w:p>
    <w:p>
      <w:pPr>
        <w:ind w:left="1300" w:right="300" w:hanging="644"/>
        <w:spacing w:after="0" w:line="274"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political, economic and social instability, including geo-political instability and uncertainty</w:t>
      </w:r>
      <w:r>
        <w:rPr>
          <w:rFonts w:ascii="Arial" w:cs="Arial" w:eastAsia="Arial" w:hAnsi="Arial"/>
          <w:sz w:val="20"/>
          <w:szCs w:val="20"/>
          <w:color w:val="auto"/>
        </w:rPr>
        <w:t>,</w:t>
      </w:r>
      <w:r>
        <w:rPr>
          <w:rFonts w:ascii="Arial" w:cs="Arial" w:eastAsia="Arial" w:hAnsi="Arial"/>
          <w:sz w:val="17"/>
          <w:szCs w:val="17"/>
          <w:color w:val="auto"/>
        </w:rPr>
        <w:t xml:space="preserve"> such as that caused by the war in Ukraine and tensions between China and Taiwan, and any disruption or negative impact on our ability to sell to, ship product to and support customers in certain regions based on trade restrictions, embargoes and export control law restrictions;</w:t>
      </w:r>
    </w:p>
    <w:p>
      <w:pPr>
        <w:spacing w:after="0" w:line="202" w:lineRule="exact"/>
        <w:rPr>
          <w:rFonts w:ascii="Arial" w:cs="Arial" w:eastAsia="Arial" w:hAnsi="Arial"/>
          <w:sz w:val="17"/>
          <w:szCs w:val="17"/>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38"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211" w:lineRule="exact"/>
        <w:rPr>
          <w:rFonts w:ascii="Arial" w:cs="Arial" w:eastAsia="Arial" w:hAnsi="Arial"/>
          <w:sz w:val="18"/>
          <w:szCs w:val="18"/>
          <w:color w:val="auto"/>
        </w:rPr>
      </w:pPr>
    </w:p>
    <w:p>
      <w:pPr>
        <w:ind w:left="1300" w:right="520" w:hanging="644"/>
        <w:spacing w:after="0" w:line="261"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investments and future acquisition and development plans; and</w:t>
      </w:r>
    </w:p>
    <w:p>
      <w:pPr>
        <w:spacing w:after="0" w:line="197"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regional component bans, and requirements for local manufacture.</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9"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Adverse economic conditions, such as a possible recession and possible impacts of inflation or stagflation, increasing or decreasing interest rates, reduced information technology spending or any economic downturn or recession, may adversely impact our business.</w:t>
      </w:r>
    </w:p>
    <w:p>
      <w:pPr>
        <w:spacing w:after="0" w:line="124"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increasing or decreasing interest rates, geopolitical instability and uncertainty, a reduction in information technology spending regardless of macroeconomic conditions, the effects of epidemics and pandemics and the impact of the war in Ukraine each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0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existence of inflation in certain economies has resulted in, and may continue to result in, increasing or decreasing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Our real estate investments, including construction or acquisition of new data centers, data center expansions or office buildings, could involve significant risks to our business.</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order to sustain our growth in certain of our existing and new markets, we may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198"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construction delays;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availability and delays for data center equipment, including items such as generators and switchgear;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budget changes;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prices for and delays in obtaining building supplies, raw materials and data center equipment;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 availability, labor disputes and work stoppages with contractors, subcontractors and other third parties;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environmental issues and geological problems;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related to permitting and approvals to open from public agencies and utility companies;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lack of power access;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or inability for any reason to meet customer requirements;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investor expectations regarding ESG;</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site readiness leading to our failure to meet commitments made to customers; and</w:t>
      </w:r>
    </w:p>
    <w:p>
      <w:pPr>
        <w:spacing w:after="0" w:line="238"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4"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21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and our operating margins may decline.</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 slowdown in demand for our products or services, a shift in demand from products to services, decrease in services revenue growth, increased competition, worldwide or regional economic challenges based on inflation or possible stagflation, a regional recession or a recession in the global economy, rising interest rates, the war in Ukraine,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0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188"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29% of our total net accounts receivable as of June 30, 2023.</w:t>
      </w:r>
    </w:p>
    <w:p>
      <w:pPr>
        <w:spacing w:after="0" w:line="19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Six distributor customers accounted for 66% of our total net accounts receivable in the aggregate as of June 30, 2023. See Note 15.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r>
        <w:rPr>
          <w:rFonts w:ascii="Arial" w:cs="Arial" w:eastAsia="Arial" w:hAnsi="Arial"/>
          <w:sz w:val="17"/>
          <w:szCs w:val="17"/>
          <w:i w:val="1"/>
          <w:iCs w:val="1"/>
          <w:color w:val="auto"/>
        </w:rPr>
        <w:t>.</w:t>
      </w:r>
    </w:p>
    <w:p>
      <w:pPr>
        <w:spacing w:after="0" w:line="250"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08"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 in manufacturing or shipping based on power outages, system failures, labor disputes or constraints, excessive demand, natural disasters or widespread public health problems including pandemics and epidemics;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00" w:lineRule="exact"/>
        <w:rPr>
          <w:sz w:val="20"/>
          <w:szCs w:val="20"/>
          <w:color w:val="auto"/>
        </w:rPr>
      </w:pPr>
    </w:p>
    <w:p>
      <w:pPr>
        <w:ind w:right="80" w:firstLine="648"/>
        <w:spacing w:after="0" w:line="266" w:lineRule="auto"/>
        <w:rPr>
          <w:sz w:val="20"/>
          <w:szCs w:val="20"/>
          <w:color w:val="auto"/>
        </w:rPr>
      </w:pPr>
      <w:r>
        <w:rPr>
          <w:rFonts w:ascii="Arial" w:cs="Arial" w:eastAsia="Arial" w:hAnsi="Arial"/>
          <w:sz w:val="16"/>
          <w:szCs w:val="16"/>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Core Platform appliances or our Enhanced Platform Technology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June 30, 2023, we had an aggregate of $991.3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275" w:lineRule="exact"/>
        <w:rPr>
          <w:rFonts w:ascii="Arial" w:cs="Arial" w:eastAsia="Arial" w:hAnsi="Arial"/>
          <w:sz w:val="16"/>
          <w:szCs w:val="16"/>
          <w:color w:val="auto"/>
        </w:rPr>
      </w:pPr>
    </w:p>
    <w:p>
      <w:pPr>
        <w:ind w:left="1300" w:right="22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79" w:lineRule="exact"/>
        <w:rPr>
          <w:sz w:val="20"/>
          <w:szCs w:val="20"/>
          <w:color w:val="auto"/>
        </w:rPr>
      </w:pPr>
    </w:p>
    <w:p>
      <w:pPr>
        <w:ind w:left="1300" w:right="140" w:hanging="644"/>
        <w:spacing w:after="0" w:line="259"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or tensions between China and Taiwan, and critical infrastructure attacks;</w:t>
      </w:r>
    </w:p>
    <w:p>
      <w:pPr>
        <w:spacing w:after="0" w:line="200" w:lineRule="exact"/>
        <w:rPr>
          <w:rFonts w:ascii="Arial" w:cs="Arial" w:eastAsia="Arial" w:hAnsi="Arial"/>
          <w:sz w:val="17"/>
          <w:szCs w:val="17"/>
          <w:color w:val="auto"/>
        </w:rPr>
      </w:pPr>
    </w:p>
    <w:p>
      <w:pPr>
        <w:ind w:left="1300" w:right="160" w:hanging="644"/>
        <w:spacing w:after="0" w:line="248"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line="291"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economic or political instability in foreign markets, such as any economic or political instability caused by economic downturns and wars or other foreign conflicts, such as the war in Ukraine, tensions between China and Taiwan and any expansions thereof;</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instability in the global banking system;</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sales processes for larger deals;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(“IP”) rights in some countries;</w:t>
      </w:r>
    </w:p>
    <w:p>
      <w:pPr>
        <w:spacing w:after="0" w:line="238" w:lineRule="exact"/>
        <w:rPr>
          <w:rFonts w:ascii="Arial" w:cs="Arial" w:eastAsia="Arial" w:hAnsi="Arial"/>
          <w:sz w:val="18"/>
          <w:szCs w:val="18"/>
          <w:color w:val="auto"/>
        </w:rPr>
      </w:pPr>
    </w:p>
    <w:p>
      <w:pPr>
        <w:ind w:left="1300" w:right="260" w:hanging="644"/>
        <w:spacing w:after="0" w:line="261"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211" w:lineRule="exact"/>
        <w:rPr>
          <w:rFonts w:ascii="Arial" w:cs="Arial" w:eastAsia="Arial" w:hAnsi="Arial"/>
          <w:sz w:val="18"/>
          <w:szCs w:val="18"/>
          <w:color w:val="auto"/>
        </w:rPr>
      </w:pPr>
    </w:p>
    <w:p>
      <w:pPr>
        <w:ind w:left="1300" w:right="96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56"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20" w:hanging="644"/>
        <w:spacing w:after="0" w:line="259"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2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1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2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20" w:firstLine="648"/>
        <w:spacing w:after="0" w:line="256"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Enhanced Platform Technology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2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0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sales are to government organizations, which subjects us to a number of regulatory requirements, challenges and risks.</w:t>
      </w:r>
    </w:p>
    <w:p>
      <w:pPr>
        <w:spacing w:after="0" w:line="26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18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10"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 and</w:t>
      </w:r>
    </w:p>
    <w:p>
      <w:pPr>
        <w:spacing w:after="0" w:line="197" w:lineRule="exact"/>
        <w:rPr>
          <w:rFonts w:ascii="Arial" w:cs="Arial" w:eastAsia="Arial" w:hAnsi="Arial"/>
          <w:sz w:val="18"/>
          <w:szCs w:val="18"/>
          <w:color w:val="auto"/>
        </w:rPr>
      </w:pPr>
    </w:p>
    <w:p>
      <w:pPr>
        <w:ind w:left="1300" w:right="20" w:hanging="644"/>
        <w:spacing w:after="0" w:line="303"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geopolitical matters, including tariff and trade disputes, government shutdowns, impact of the war in Ukraine,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154"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In addition, if we do not have certain certifications, this may restrict our ability to sell to certain government customers until we have obtained certain certifications and we may not obtain the certifications in a timely manner or at all.</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1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1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Arista Networks, Inc., Aruba Networks, LLC, Barracuda Networks, Inc., Check Point Software Technologies Ltd., Cisco Systems, Inc. (“Cisco”), CrowdStrike Holdings, Inc., F5 Networks, Inc., Huawei Technologies Co., Ltd., Juniper Networks, Inc., Palo Alto Networks, Inc., SonicWALL, Inc., Sophos Group Plc, Trend Micro Incorporated, VMware, Inc. and Zscaler, Inc. (“Zscaler”).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write-offs.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or other foreign conflicts, such as the war in Ukraine or tensions between China and Taiwan, and critical infrastructure attacks, our business and financial results could be materially and adversely impacted.</w:t>
      </w:r>
    </w:p>
    <w:p>
      <w:pPr>
        <w:spacing w:after="0" w:line="196"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In response to component shortages in recent quarters, we increased our purchase order commitments. Our suppliers may require us to accept or pay for components and finished goods regardless of our level of sales in a particular period, which may negatively impact our operating results and financial condition.</w:t>
      </w:r>
    </w:p>
    <w:p>
      <w:pPr>
        <w:spacing w:after="0" w:line="22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services or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releasing our new products, services or enhancements to the market;</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and service functionality and to supply products and services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failure to have the appropriate research and development expertise and focus to make our top strategic products and services successful;</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and services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reluctance of customers to purchase products or services incorporating open source software.</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21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97" w:lineRule="exact"/>
        <w:rPr>
          <w:sz w:val="20"/>
          <w:szCs w:val="20"/>
          <w:color w:val="auto"/>
        </w:rPr>
      </w:pPr>
    </w:p>
    <w:p>
      <w:pPr>
        <w:ind w:right="20" w:firstLine="648"/>
        <w:spacing w:after="0" w:line="250"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such as the war in Ukraine,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90% of our hardware is manufactured in Taiwan. Any increase in tensions between China and Taiwan, including threats of military actions or escalation of military activities, could adversely affect our manufacturing operations in Taiwan.</w:t>
      </w:r>
    </w:p>
    <w:p>
      <w:pPr>
        <w:spacing w:after="0" w:line="20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locations, would severely affect sales of our product lines manufactured by that manufacturing partner. Furthermore, manufacturing cost increases for any reason could result in lower gross margins.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proprietary application-specific integrated circuits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0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9"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4" w:lineRule="exact"/>
        <w:rPr>
          <w:sz w:val="20"/>
          <w:szCs w:val="20"/>
          <w:color w:val="auto"/>
        </w:rPr>
      </w:pPr>
    </w:p>
    <w:p>
      <w:pPr>
        <w:ind w:right="100" w:firstLine="648"/>
        <w:spacing w:after="0" w:line="26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and are currently experiencing, shortages and long or uncertain lead times for certain components. Our limited source components for particular appliances and suppliers of those components include specific types of CPUs from Intel and Advanced Micro Devices, Inc. (“AMD”), network and wireless chips from Broadcom, Marvell, Qualcomm and Intel, and memory devices from Intel, Micron, ADATA, Toshiba, Samsung and Western Digital. We also may face shortages in the supply of the capacitors and resistors that are used in the manufacturing of our products. .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Although we have increased our purchase order commitments to support long-term customer demand, 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purchase order commitments, we could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22"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15"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offer retroactive price protection to certain of our major North America distributors, and if we fail to balance their inventory with end-customer demand for our products, our allowance for price protection may be inadequate, which could adversely affect our results of operations.</w:t>
      </w:r>
    </w:p>
    <w:p>
      <w:pPr>
        <w:spacing w:after="0" w:line="12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provide certain of our major North America distributors with price protection rights for inventories of our products held by them. If we reduce the list price of our products, as we have recently done, certain North America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North America distributors’ inventories. If future price protection adjustments are higher than expected, our future results of operations could be materially and adversely affected.</w:t>
      </w: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errors or vulnerabilities in our products or services, the failure of our products or services to detect or prevent a security incident, or the misuse of our products could harm our operational results and reputation.</w:t>
      </w:r>
    </w:p>
    <w:p>
      <w:pPr>
        <w:spacing w:after="0" w:line="184"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Following a period of internal review and sometimes other steps, our Product Security Incident Response Team publicly posts on our FortiGuard Labs website known product vulnerabilities, including critical vulnerabilities, and methods for customers to mitigate the risk of vulnerabilities. There can be no assurance, however, that such posts will be sufficiently timely, accurate or complete or that those customers will take steps to mitigate the risk of vulnerabilities, and certain customers may be negatively impacted. Additionally, any perception that our products have vulnerabilities, whether or not accurate, and any actual vulnerabilities may harm our operational results and reputation, more significantly as compared to certain other companies in other industries because we are a security company.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operational results and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An actual, possible or perceived security incident or infection of the network of one of our end-customers, regardless of whether the incident is attributable to the failure of our products or services to prevent or detect the security incident,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81" w:lineRule="exact"/>
        <w:rPr>
          <w:sz w:val="20"/>
          <w:szCs w:val="20"/>
          <w:color w:val="auto"/>
        </w:rPr>
      </w:pPr>
    </w:p>
    <w:p>
      <w:pPr>
        <w:ind w:left="1300" w:right="1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11" w:lineRule="exact"/>
        <w:rPr>
          <w:rFonts w:ascii="Arial" w:cs="Arial" w:eastAsia="Arial" w:hAnsi="Arial"/>
          <w:sz w:val="18"/>
          <w:szCs w:val="18"/>
          <w:color w:val="auto"/>
        </w:rPr>
      </w:pPr>
    </w:p>
    <w:p>
      <w:pPr>
        <w:ind w:left="1300" w:right="640" w:hanging="644"/>
        <w:spacing w:after="0" w:line="261"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Moreover, business models based on a subscription software as a service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subscription SaaS business model, we would be required to make additional investments in our infrastructure and personnel to be able to more fully provide our platform through a subscription SaaS model in order to maintain the competitiveness of our platform. Such investments may involve expanding our data centers, servers and networks, and increasing our technical operations and engineering teams. These risks are compounded by the uncertainty concerning the future success of any of our particular subscription SaaS business models and the future demand for our subscription SaaS models by</w:t>
      </w:r>
    </w:p>
    <w:p>
      <w:pPr>
        <w:spacing w:after="0" w:line="2"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customers. Additionally, if we are unable to meet the demand to provide our services through a subscription SaaS model, we may lose customers to competitors.</w:t>
      </w:r>
    </w:p>
    <w:p>
      <w:pPr>
        <w:spacing w:after="0" w:line="2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harm our reputation. Any failure to effectively categorize and filter websites according to our end-customers’ and channel partners’ expectations could impair the growth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incidents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98"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the public cloud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5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If our internal enterprise IT networks, on which we conduct internal business and interface externally, our operational networks, through which we connect to customers</w:t>
      </w:r>
      <w:r>
        <w:rPr>
          <w:rFonts w:ascii="Arial" w:cs="Arial" w:eastAsia="Arial" w:hAnsi="Arial"/>
          <w:sz w:val="19"/>
          <w:szCs w:val="19"/>
          <w:b w:val="1"/>
          <w:bCs w:val="1"/>
          <w:i w:val="1"/>
          <w:iCs w:val="1"/>
          <w:color w:val="auto"/>
        </w:rPr>
        <w:t>,</w:t>
      </w:r>
      <w:r>
        <w:rPr>
          <w:rFonts w:ascii="Arial" w:cs="Arial" w:eastAsia="Arial" w:hAnsi="Arial"/>
          <w:sz w:val="16"/>
          <w:szCs w:val="16"/>
          <w:b w:val="1"/>
          <w:bCs w:val="1"/>
          <w:i w:val="1"/>
          <w:iCs w:val="1"/>
          <w:color w:val="auto"/>
        </w:rPr>
        <w:t xml:space="preserve">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71" w:lineRule="exact"/>
        <w:rPr>
          <w:sz w:val="20"/>
          <w:szCs w:val="20"/>
          <w:color w:val="auto"/>
        </w:rPr>
      </w:pPr>
    </w:p>
    <w:p>
      <w:pPr>
        <w:ind w:right="40" w:firstLine="648"/>
        <w:spacing w:after="0" w:line="267"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19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firstLine="648"/>
        <w:spacing w:after="0" w:line="268" w:lineRule="auto"/>
        <w:rPr>
          <w:sz w:val="20"/>
          <w:szCs w:val="20"/>
          <w:color w:val="auto"/>
        </w:rPr>
      </w:pPr>
      <w:r>
        <w:rPr>
          <w:rFonts w:ascii="Arial" w:cs="Arial" w:eastAsia="Arial" w:hAnsi="Arial"/>
          <w:sz w:val="16"/>
          <w:szCs w:val="16"/>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(EDI).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9"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92" w:lineRule="exact"/>
        <w:rPr>
          <w:sz w:val="20"/>
          <w:szCs w:val="20"/>
          <w:color w:val="auto"/>
        </w:rPr>
      </w:pPr>
    </w:p>
    <w:p>
      <w:pPr>
        <w:ind w:right="46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jc w:val="both"/>
        <w:ind w:right="4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12"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The maintenance of our internal business management systems, such as our Enterprise Resource Planning (“ERP”) and Customer Relationship Management (“CRM”) systems, has required, and will continue to require, the investment of significant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proprietary rights may be difficult to enforce and we may be subject to claims by others that we infringe their propriety technology.</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01"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3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97" w:lineRule="exact"/>
        <w:rPr>
          <w:sz w:val="20"/>
          <w:szCs w:val="20"/>
          <w:color w:val="auto"/>
        </w:rPr>
      </w:pPr>
    </w:p>
    <w:p>
      <w:pPr>
        <w:ind w:firstLine="648"/>
        <w:spacing w:after="0" w:line="249"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Holdings, Inc.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23"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have analyzed whether there should be an OTTI of the value of our investment in Linksys and in fiscal 2022, we recorded an OTTI charge of $22.2 million. In evaluating OTTI, we considered factors such as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consolidated statements of income. 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spacing w:after="0" w:line="2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98" w:lineRule="exact"/>
        <w:rPr>
          <w:sz w:val="20"/>
          <w:szCs w:val="20"/>
          <w:color w:val="auto"/>
        </w:rPr>
      </w:pPr>
    </w:p>
    <w:p>
      <w:pPr>
        <w:ind w:right="180" w:firstLine="648"/>
        <w:spacing w:after="0" w:line="274"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15"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following certain changes to U.S. law intended to address the concerns underlying that court decision with respect to transfers of personal data to the United States.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194"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4"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3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shipped pursuant to such orders. Obtaining the necessary export license for a particular sale may be time-consuming and may result in the delay or loss of sales opportunities.</w:t>
      </w:r>
    </w:p>
    <w:p>
      <w:pPr>
        <w:spacing w:after="0" w:line="184"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5"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8"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2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73"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financial condition. These laws and regulations may also impact our suppliers, which could have, among other things, an adverse impact on the costs of components in our products.</w:t>
      </w:r>
    </w:p>
    <w:p>
      <w:pPr>
        <w:spacing w:after="0" w:line="198"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196"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the European Economic Area and the UK.</w:t>
      </w:r>
    </w:p>
    <w:p>
      <w:pPr>
        <w:spacing w:after="0" w:line="18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EU’s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16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7"/>
          <w:szCs w:val="17"/>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202"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Furthermore, in the event that we communicate certain initiatives and goals regarding ESG matters, such as our commitment to target Net-Zero on Scope 1 and Scope 2 emissions resulting from our owned facilities worldwide by 2030 or our commitment to the Paris Agreement via the Science Based Targets Initiative,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has also proposed a draft rule that requires climate disclosures in financial filings. To the extent the SEC proposal becomes effective for our company, we will be required to establish additional internal controls, engage additional consultants and incur additional costs related to evaluating, managing and reporting on our environmental impact and climate-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related risks and opportunities. If we fail to implement sufficient oversight or accurately capture and disclose on environmental matters, our reputation, business, operating results and financial condition may be materially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50" w:lineRule="exact"/>
        <w:rPr>
          <w:sz w:val="20"/>
          <w:szCs w:val="20"/>
          <w:color w:val="auto"/>
        </w:rPr>
      </w:pPr>
    </w:p>
    <w:p>
      <w:pPr>
        <w:jc w:val="both"/>
        <w:ind w:right="140" w:firstLine="648"/>
        <w:spacing w:after="0" w:line="269"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While we are not currently engaged in material hedging activities, we have been hedging currency exposures relating to certain balance sheet</w:t>
      </w:r>
    </w:p>
    <w:p>
      <w:pPr>
        <w:spacing w:after="0" w:line="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9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to corporate tax rates;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tax payments;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0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6"/>
          <w:szCs w:val="16"/>
          <w:color w:val="auto"/>
        </w:rPr>
        <w:t>The Sarbanes-Oxley Act of 2002 (“Sarbanes -Oxley”),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2022, our internal controls over financial reporting were effective, we cannot predict the outcome of our testing in</w:t>
      </w:r>
    </w:p>
    <w:p>
      <w:pPr>
        <w:spacing w:after="0" w:line="3"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2023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we do not maintain adequate research coverage, if one or more of the analysts who cover us downgrades our stock or publishes inaccurate or unfavorable research about our business or if our results or forecasts fail to meet the expectations of research analysts and investors, our stock price could decline. If one or more of these analysts ceases coverage of our company or fails to publish reports on us regularly, demand for our stock could decrease, which could cause our stock price and trading volume to decline. If securities analysts publish inaccurate positive information, stockholders could buy our stock and the stock price may later decline.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may be volatile, which may be exacerbated by share repurchases under our Share Repurchase Program.</w:t>
      </w:r>
    </w:p>
    <w:p>
      <w:pPr>
        <w:spacing w:after="0" w:line="275" w:lineRule="exact"/>
        <w:rPr>
          <w:sz w:val="20"/>
          <w:szCs w:val="20"/>
          <w:color w:val="auto"/>
        </w:rPr>
      </w:pPr>
    </w:p>
    <w:p>
      <w:pPr>
        <w:ind w:right="20" w:firstLine="648"/>
        <w:spacing w:after="0" w:line="24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six months ended June 30, 2023, the closing price of our common stock ranged from $47.45 to $75.59 per share.</w:t>
      </w:r>
    </w:p>
    <w:p>
      <w:pPr>
        <w:spacing w:after="0" w:line="221" w:lineRule="exact"/>
        <w:rPr>
          <w:sz w:val="20"/>
          <w:szCs w:val="20"/>
          <w:color w:val="auto"/>
        </w:rPr>
      </w:pPr>
    </w:p>
    <w:p>
      <w:pPr>
        <w:ind w:right="14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jc w:val="both"/>
        <w:ind w:right="680" w:firstLine="648"/>
        <w:spacing w:after="0" w:line="286" w:lineRule="auto"/>
        <w:rPr>
          <w:sz w:val="20"/>
          <w:szCs w:val="20"/>
          <w:color w:val="auto"/>
        </w:rPr>
      </w:pPr>
      <w:r>
        <w:rPr>
          <w:rFonts w:ascii="Arial" w:cs="Arial" w:eastAsia="Arial" w:hAnsi="Arial"/>
          <w:sz w:val="17"/>
          <w:szCs w:val="17"/>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60" w:lineRule="exact"/>
        <w:rPr>
          <w:sz w:val="20"/>
          <w:szCs w:val="20"/>
          <w:color w:val="auto"/>
        </w:rPr>
      </w:pPr>
    </w:p>
    <w:p>
      <w:pPr>
        <w:ind w:right="180" w:firstLine="648"/>
        <w:spacing w:after="0" w:line="272" w:lineRule="auto"/>
        <w:rPr>
          <w:sz w:val="20"/>
          <w:szCs w:val="20"/>
          <w:color w:val="auto"/>
        </w:rPr>
      </w:pPr>
      <w:r>
        <w:rPr>
          <w:rFonts w:ascii="Arial" w:cs="Arial" w:eastAsia="Arial" w:hAnsi="Arial"/>
          <w:sz w:val="16"/>
          <w:szCs w:val="16"/>
          <w:color w:val="auto"/>
        </w:rPr>
        <w:t>In February 2023, our board of directors approved an extension of the Repurchase Program to February 29, 2024. In April 2023, our board of directors approved a $1.0 billion increase in the authorized stock repurchase amount under the Repurchase Program, and in July 2023, our board of directors approved an additional $500 million increase in the authorized stock repurchase amount under the Repurchase Program, bringing the remaining aggregate amount authorized to be repurchased to $1.87 billion as of August 7, 2023.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19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professionals to advise and assist us on activist stockholder matters, including legal, financial, communications advisors and solicitation experts, which may negatively impact our future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Global economic uncertainty, an economic downturn, the possibility of a recession, inflation, rising interest rates, weakening product demand caused by political instability, changes in trade agreements and conflicts such as the war in Ukraine, could adversely affect our business and financial performance.</w:t>
      </w:r>
    </w:p>
    <w:p>
      <w:pPr>
        <w:spacing w:after="0" w:line="188"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Economic uncertainty in various global markets caused by political instability and conflict, such as the war in Ukraine, and economic challenges caused by the economic downturn, any resulting recession, inflation or rise in interest rates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177"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In addition,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 Moreover, there has been recent turmoil in the global banking system. For example, in March 2023, Silicon Valley Bank (“SVB”) was put into receivership by the Federal Deposit Insurance Corporation and subsequently sold. Other banks at risk of failure have been subsequently sold, including First Republic Bank in May 2023, and there is concern that more banks could be at risk of the same fate. Although we only had an immaterial amount of our cash directly at SVB, there is no guarantee that the federal government would guarantee all depositors as they did with SVB depositors in the event of further bank closures. Continued instability in the global banking system may negatively impact us or our customers, including our customers’ ability to pay for our platform, and adversely impact our business and financial condition. Moreover, events such as the closure of SVB, in addition to global macroeconomic conditions discussed above, may cause further turbulence and uncertainty in the capital markets and economy.</w:t>
      </w:r>
    </w:p>
    <w:p>
      <w:pPr>
        <w:spacing w:after="0" w:line="21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delay of the manufacture, deployment or shipment of our products or interruption or downtime of our services, our business, financial condition and results of operations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39"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color w:val="auto"/>
        </w:rPr>
        <w:t>There were no shares repurchased under the Repurchase Program during the three months ended June 30, 2023. As of June 30, 2023, $1.53 billion remained available for future share repurchases under the Repurchase Program.</w:t>
      </w:r>
    </w:p>
    <w:p>
      <w:pPr>
        <w:spacing w:after="0" w:line="198"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6"/>
          <w:szCs w:val="16"/>
          <w:color w:val="auto"/>
        </w:rPr>
        <w:t>In April 2023 and July 2023, our board of directors approved $1.0 billion and $500.0 million increases in the authorized stock repurchase amount under the Repurchase Program, respectively, bringing the aggregate amount authorized to be repurchased to $6.75 billion of our outstanding common stock through February 29, 2024. As of August 7, 2023, approximately $1.87 billion remained available for future share repurchases.</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22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On June 9, 2023, William Neukom, one of our directors, entered into a pre-arranged written stock purchase plan in accordance with Rule 10b5-1 (the “Rule 10b5-1 Plan”) under the Exchange Act for the purchase of shares of our common stock.</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Rule 10b5-1 Plan was entered into during an open trading window in accordance with our insider trading policy and is intended to satisfy the affirmative defense of Rule 10b5-1(c) under the Exchange Act. Mr. Neukom’s Rule 10b5-1 Plan provides for the potential purchase of up to $35,000 worth of shares per purchase period of our common stock at its market price on six specific dates as specified in the Rule 10b5-1 Plan between September 8, 2023 and December 7, 2024.</w:t>
      </w:r>
    </w:p>
    <w:p>
      <w:pPr>
        <w:spacing w:after="0" w:line="21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Rule 10b5-1 Plan includes a representation from Mr. Neukom to the broker administering the plan that he was not in possession of any material nonpublic information regarding us or the securities subject to the Rule 10b5-1 Plan at the time the Rule 10b5-1 Plan was entered into. A similar representation was made to us in connection with the adoption of the Rule 10b5-1 Plan under our insider trading policy. Those representations were made as of the date of adoption of the Rule 10b5-1 Plan, and speak only as of that date. In making those representations, there is no assurance with respect to any material nonpublic information of which Mr. Neukom was unaware, or with respect to any material nonpublic information acquired by Mr. Neukom or us after the date of the representation.</w:t>
      </w:r>
    </w:p>
    <w:p>
      <w:pPr>
        <w:spacing w:after="0" w:line="218"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Once executed, transactions under the Rule 10b5-1 Plan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Mr. Neukom or our other officers or directors.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Incorporated by reference herein</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7"/>
                <w:szCs w:val="17"/>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0" w:type="dxa"/>
            <w:vAlign w:val="bottom"/>
          </w:tcPr>
          <w:p>
            <w:pPr>
              <w:spacing w:after="0"/>
              <w:rPr>
                <w:sz w:val="1"/>
                <w:szCs w:val="1"/>
                <w:color w:val="auto"/>
              </w:rPr>
            </w:pPr>
          </w:p>
        </w:tc>
      </w:tr>
      <w:tr>
        <w:trPr>
          <w:trHeight w:val="189"/>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94">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320" w:type="dxa"/>
            <w:vAlign w:val="bottom"/>
          </w:tcPr>
          <w:p>
            <w:pPr>
              <w:spacing w:after="0"/>
              <w:rPr>
                <w:sz w:val="16"/>
                <w:szCs w:val="16"/>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Majority Vote Amendment to Amended and Restated Certificate of Incorporation</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Current Report on Form 8-K (File</w:t>
            </w:r>
          </w:p>
        </w:tc>
        <w:tc>
          <w:tcPr>
            <w:tcW w:w="1340" w:type="dxa"/>
            <w:vAlign w:val="bottom"/>
          </w:tcPr>
          <w:p>
            <w:pPr>
              <w:ind w:left="20"/>
              <w:spacing w:after="0"/>
              <w:rPr>
                <w:sz w:val="20"/>
                <w:szCs w:val="20"/>
                <w:color w:val="auto"/>
              </w:rPr>
            </w:pPr>
            <w:r>
              <w:rPr>
                <w:rFonts w:ascii="Arial" w:cs="Arial" w:eastAsia="Arial" w:hAnsi="Arial"/>
                <w:sz w:val="14"/>
                <w:szCs w:val="14"/>
                <w:color w:val="auto"/>
              </w:rPr>
              <w:t>June 23, 2023</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No. 001-34511)</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95">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320" w:type="dxa"/>
            <w:vAlign w:val="bottom"/>
          </w:tcPr>
          <w:p>
            <w:pPr>
              <w:spacing w:after="0"/>
              <w:rPr>
                <w:sz w:val="18"/>
                <w:szCs w:val="18"/>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Officer Exculpation Amendment to Amended and Restated Certificate of Incorporation</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Current Report on Form 8-K (File</w:t>
            </w:r>
          </w:p>
        </w:tc>
        <w:tc>
          <w:tcPr>
            <w:tcW w:w="1340" w:type="dxa"/>
            <w:vAlign w:val="bottom"/>
          </w:tcPr>
          <w:p>
            <w:pPr>
              <w:ind w:left="20"/>
              <w:spacing w:after="0"/>
              <w:rPr>
                <w:sz w:val="20"/>
                <w:szCs w:val="20"/>
                <w:color w:val="auto"/>
              </w:rPr>
            </w:pPr>
            <w:r>
              <w:rPr>
                <w:rFonts w:ascii="Arial" w:cs="Arial" w:eastAsia="Arial" w:hAnsi="Arial"/>
                <w:sz w:val="14"/>
                <w:szCs w:val="14"/>
                <w:color w:val="auto"/>
              </w:rPr>
              <w:t>June 23, 2023</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5"/>
        </w:trPr>
        <w:tc>
          <w:tcPr>
            <w:tcW w:w="500" w:type="dxa"/>
            <w:vAlign w:val="bottom"/>
            <w:gridSpan w:val="2"/>
            <w:vMerge w:val="restart"/>
          </w:tcPr>
          <w:p>
            <w:pPr>
              <w:spacing w:after="0"/>
              <w:rPr>
                <w:sz w:val="20"/>
                <w:szCs w:val="20"/>
                <w:color w:val="auto"/>
              </w:rPr>
            </w:pPr>
            <w:r>
              <w:rPr>
                <w:rFonts w:ascii="Arial" w:cs="Arial" w:eastAsia="Arial" w:hAnsi="Arial"/>
                <w:sz w:val="14"/>
                <w:szCs w:val="14"/>
                <w:color w:val="0000FF"/>
              </w:rPr>
              <w:t>3.</w:t>
            </w:r>
            <w:r>
              <w:rPr>
                <w:rFonts w:ascii="Arial" w:cs="Arial" w:eastAsia="Arial" w:hAnsi="Arial"/>
                <w:sz w:val="14"/>
                <w:szCs w:val="14"/>
                <w:u w:val="single" w:color="auto"/>
                <w:color w:val="0000FF"/>
              </w:rPr>
              <w:t>3</w:t>
            </w:r>
            <w:r>
              <w:rPr>
                <w:rFonts w:ascii="Arial" w:cs="Arial" w:eastAsia="Arial" w:hAnsi="Arial"/>
                <w:sz w:val="14"/>
                <w:szCs w:val="14"/>
                <w:color w:val="000000"/>
              </w:rPr>
              <w:t>*</w:t>
            </w:r>
          </w:p>
        </w:tc>
        <w:tc>
          <w:tcPr>
            <w:tcW w:w="5720" w:type="dxa"/>
            <w:vAlign w:val="bottom"/>
            <w:vMerge w:val="restart"/>
          </w:tcPr>
          <w:p>
            <w:pPr>
              <w:ind w:left="260"/>
              <w:spacing w:after="0"/>
              <w:rPr>
                <w:sz w:val="20"/>
                <w:szCs w:val="20"/>
                <w:color w:val="auto"/>
              </w:rPr>
            </w:pPr>
            <w:r>
              <w:rPr>
                <w:rFonts w:ascii="Arial" w:cs="Arial" w:eastAsia="Arial" w:hAnsi="Arial"/>
                <w:sz w:val="14"/>
                <w:szCs w:val="14"/>
                <w:color w:val="auto"/>
              </w:rPr>
              <w:t>Restated Certificate of Incorporation</w:t>
            </w:r>
          </w:p>
        </w:tc>
        <w:tc>
          <w:tcPr>
            <w:tcW w:w="21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No. 001-34511)</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 w:type="dxa"/>
            <w:vAlign w:val="bottom"/>
            <w:gridSpan w:val="2"/>
            <w:vMerge w:val="continue"/>
          </w:tcPr>
          <w:p>
            <w:pPr>
              <w:spacing w:after="0"/>
              <w:rPr>
                <w:sz w:val="19"/>
                <w:szCs w:val="19"/>
                <w:color w:val="auto"/>
              </w:rPr>
            </w:pPr>
          </w:p>
        </w:tc>
        <w:tc>
          <w:tcPr>
            <w:tcW w:w="572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ectPr>
          <w:pgSz w:w="11900" w:h="16838" w:orient="portrait"/>
          <w:cols w:equalWidth="0" w:num="1">
            <w:col w:w="11220"/>
          </w:cols>
          <w:pgMar w:left="320" w:top="283" w:right="359" w:bottom="1440" w:gutter="0" w:footer="0" w:header="0"/>
        </w:sectPr>
      </w:pP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96">
              <w:r>
                <w:rPr>
                  <w:rFonts w:ascii="Arial" w:cs="Arial" w:eastAsia="Arial" w:hAnsi="Arial"/>
                  <w:sz w:val="14"/>
                  <w:szCs w:val="14"/>
                  <w:color w:val="0000FF"/>
                  <w:w w:val="81"/>
                </w:rPr>
                <w:t>3.</w:t>
              </w:r>
              <w:r>
                <w:rPr>
                  <w:rFonts w:ascii="Arial" w:cs="Arial" w:eastAsia="Arial" w:hAnsi="Arial"/>
                  <w:sz w:val="14"/>
                  <w:szCs w:val="14"/>
                  <w:u w:val="single" w:color="auto"/>
                  <w:color w:val="0000FF"/>
                  <w:w w:val="81"/>
                </w:rPr>
                <w:t>4</w:t>
              </w:r>
            </w:hyperlink>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Arial" w:cs="Arial" w:eastAsia="Arial" w:hAnsi="Arial"/>
                <w:sz w:val="14"/>
                <w:szCs w:val="14"/>
                <w:color w:val="auto"/>
              </w:rPr>
              <w:t>Restated Bylaws</w:t>
            </w:r>
          </w:p>
        </w:tc>
        <w:tc>
          <w:tcPr>
            <w:tcW w:w="0" w:type="dxa"/>
            <w:vAlign w:val="bottom"/>
          </w:tcPr>
          <w:p>
            <w:pPr>
              <w:spacing w:after="0"/>
              <w:rPr>
                <w:sz w:val="1"/>
                <w:szCs w:val="1"/>
                <w:color w:val="auto"/>
              </w:rPr>
            </w:pPr>
          </w:p>
        </w:tc>
      </w:tr>
      <w:tr>
        <w:trPr>
          <w:trHeight w:val="371"/>
        </w:trPr>
        <w:tc>
          <w:tcPr>
            <w:tcW w:w="540" w:type="dxa"/>
            <w:vAlign w:val="bottom"/>
            <w:gridSpan w:val="3"/>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w:t>
            </w:r>
            <w:r>
              <w:rPr>
                <w:rFonts w:ascii="Arial" w:cs="Arial" w:eastAsia="Arial" w:hAnsi="Arial"/>
                <w:sz w:val="14"/>
                <w:szCs w:val="14"/>
                <w:color w:val="000000"/>
              </w:rPr>
              <w:t>*</w:t>
            </w:r>
          </w:p>
        </w:tc>
        <w:tc>
          <w:tcPr>
            <w:tcW w:w="5540" w:type="dxa"/>
            <w:vAlign w:val="bottom"/>
          </w:tcPr>
          <w:p>
            <w:pPr>
              <w:ind w:left="220"/>
              <w:spacing w:after="0"/>
              <w:rPr>
                <w:sz w:val="20"/>
                <w:szCs w:val="20"/>
                <w:color w:val="auto"/>
              </w:rPr>
            </w:pPr>
            <w:r>
              <w:rPr>
                <w:rFonts w:ascii="Arial" w:cs="Arial" w:eastAsia="Arial" w:hAnsi="Arial"/>
                <w:sz w:val="14"/>
                <w:szCs w:val="14"/>
                <w:color w:val="auto"/>
                <w:w w:val="94"/>
              </w:rPr>
              <w:t>Certification of Chief Executive Officer pursuant to Exchange Act Rules 13a-14(a) and 15d-</w:t>
            </w:r>
          </w:p>
        </w:tc>
        <w:tc>
          <w:tcPr>
            <w:tcW w:w="0" w:type="dxa"/>
            <w:vAlign w:val="bottom"/>
          </w:tcPr>
          <w:p>
            <w:pPr>
              <w:spacing w:after="0"/>
              <w:rPr>
                <w:sz w:val="1"/>
                <w:szCs w:val="1"/>
                <w:color w:val="auto"/>
              </w:rPr>
            </w:pPr>
          </w:p>
        </w:tc>
      </w:tr>
      <w:tr>
        <w:trPr>
          <w:trHeight w:val="162"/>
        </w:trPr>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5540" w:type="dxa"/>
            <w:vAlign w:val="bottom"/>
          </w:tcPr>
          <w:p>
            <w:pPr>
              <w:ind w:left="22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209"/>
        </w:trPr>
        <w:tc>
          <w:tcPr>
            <w:tcW w:w="540" w:type="dxa"/>
            <w:vAlign w:val="bottom"/>
            <w:gridSpan w:val="3"/>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2</w:t>
            </w:r>
            <w:r>
              <w:rPr>
                <w:rFonts w:ascii="Arial" w:cs="Arial" w:eastAsia="Arial" w:hAnsi="Arial"/>
                <w:sz w:val="14"/>
                <w:szCs w:val="14"/>
                <w:color w:val="000000"/>
              </w:rPr>
              <w:t>*</w:t>
            </w:r>
          </w:p>
        </w:tc>
        <w:tc>
          <w:tcPr>
            <w:tcW w:w="5540" w:type="dxa"/>
            <w:vAlign w:val="bottom"/>
          </w:tcPr>
          <w:p>
            <w:pPr>
              <w:ind w:left="220"/>
              <w:spacing w:after="0"/>
              <w:rPr>
                <w:sz w:val="20"/>
                <w:szCs w:val="20"/>
                <w:color w:val="auto"/>
              </w:rPr>
            </w:pPr>
            <w:r>
              <w:rPr>
                <w:rFonts w:ascii="Arial" w:cs="Arial" w:eastAsia="Arial" w:hAnsi="Arial"/>
                <w:sz w:val="14"/>
                <w:szCs w:val="14"/>
                <w:color w:val="auto"/>
                <w:w w:val="94"/>
              </w:rPr>
              <w:t>Certification of Chief Financial Officer pursuant to Exchange Act Rules 13a-14(a) and 15d-</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40" w:type="dxa"/>
            <w:vAlign w:val="bottom"/>
            <w:vMerge w:val="restart"/>
          </w:tcPr>
          <w:p>
            <w:pPr>
              <w:ind w:left="22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62"/>
        </w:trPr>
        <w:tc>
          <w:tcPr>
            <w:tcW w:w="540" w:type="dxa"/>
            <w:vAlign w:val="bottom"/>
            <w:gridSpan w:val="3"/>
            <w:vMerge w:val="restart"/>
          </w:tcPr>
          <w:p>
            <w:pPr>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1</w:t>
            </w:r>
            <w:r>
              <w:rPr>
                <w:rFonts w:ascii="Arial" w:cs="Arial" w:eastAsia="Arial" w:hAnsi="Arial"/>
                <w:sz w:val="18"/>
                <w:szCs w:val="18"/>
                <w:color w:val="000000"/>
                <w:vertAlign w:val="superscript"/>
              </w:rPr>
              <w:t>#</w:t>
            </w:r>
          </w:p>
        </w:tc>
        <w:tc>
          <w:tcPr>
            <w:tcW w:w="5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 w:type="dxa"/>
            <w:vAlign w:val="bottom"/>
            <w:gridSpan w:val="3"/>
            <w:vMerge w:val="continue"/>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4"/>
                <w:szCs w:val="14"/>
                <w:color w:val="auto"/>
                <w:w w:val="96"/>
              </w:rPr>
              <w:t>Certifications of Chief Executive Officer and Chief Financial Officer pursuant to 18 U.S.C.</w:t>
            </w:r>
          </w:p>
        </w:tc>
        <w:tc>
          <w:tcPr>
            <w:tcW w:w="0" w:type="dxa"/>
            <w:vAlign w:val="bottom"/>
          </w:tcPr>
          <w:p>
            <w:pPr>
              <w:spacing w:after="0"/>
              <w:rPr>
                <w:sz w:val="1"/>
                <w:szCs w:val="1"/>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540" w:type="dxa"/>
            <w:vAlign w:val="bottom"/>
          </w:tcPr>
          <w:p>
            <w:pPr>
              <w:ind w:left="220"/>
              <w:spacing w:after="0" w:line="155" w:lineRule="exact"/>
              <w:rPr>
                <w:sz w:val="20"/>
                <w:szCs w:val="20"/>
                <w:color w:val="auto"/>
              </w:rPr>
            </w:pPr>
            <w:r>
              <w:rPr>
                <w:rFonts w:ascii="Arial" w:cs="Arial" w:eastAsia="Arial" w:hAnsi="Arial"/>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color w:val="auto"/>
              </w:rPr>
              <w:t>Current Report on Form 8-K (File   June 23, 2023</w:t>
            </w: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auto"/>
              </w:rPr>
              <w:t>No. 001-34511)</w:t>
            </w:r>
          </w:p>
        </w:tc>
        <w:tc>
          <w:tcPr>
            <w:tcW w:w="500" w:type="dxa"/>
            <w:vAlign w:val="bottom"/>
          </w:tcPr>
          <w:p>
            <w:pPr>
              <w:spacing w:after="0"/>
              <w:rPr>
                <w:sz w:val="15"/>
                <w:szCs w:val="15"/>
                <w:color w:val="auto"/>
              </w:rPr>
            </w:pPr>
          </w:p>
        </w:tc>
      </w:tr>
    </w:tbl>
    <w:p>
      <w:pPr>
        <w:spacing w:after="0" w:line="1257" w:lineRule="exact"/>
        <w:rPr>
          <w:sz w:val="20"/>
          <w:szCs w:val="20"/>
          <w:color w:val="auto"/>
        </w:rPr>
      </w:pPr>
    </w:p>
    <w:p>
      <w:pPr>
        <w:sectPr>
          <w:pgSz w:w="11900" w:h="16838" w:orient="portrait"/>
          <w:cols w:equalWidth="0" w:num="2">
            <w:col w:w="6120" w:space="160"/>
            <w:col w:w="4940"/>
          </w:cols>
          <w:pgMar w:left="320" w:top="283" w:right="359" w:bottom="1440" w:gutter="0" w:footer="0" w:header="0"/>
          <w:type w:val="continuous"/>
        </w:sectPr>
      </w:pPr>
    </w:p>
    <w:p>
      <w:pPr>
        <w:ind w:left="40"/>
        <w:spacing w:after="0"/>
        <w:tabs>
          <w:tab w:leader="none" w:pos="780" w:val="left"/>
        </w:tabs>
        <w:rPr>
          <w:sz w:val="20"/>
          <w:szCs w:val="20"/>
          <w:color w:val="auto"/>
        </w:rPr>
      </w:pPr>
      <w:r>
        <w:rPr>
          <w:rFonts w:ascii="Arial" w:cs="Arial" w:eastAsia="Arial" w:hAnsi="Arial"/>
          <w:sz w:val="14"/>
          <w:szCs w:val="14"/>
          <w:color w:val="auto"/>
        </w:rPr>
        <w:t>101.INS*</w:t>
      </w:r>
      <w:r>
        <w:rPr>
          <w:sz w:val="20"/>
          <w:szCs w:val="20"/>
          <w:color w:val="auto"/>
        </w:rPr>
        <w:tab/>
      </w:r>
      <w:r>
        <w:rPr>
          <w:rFonts w:ascii="Arial" w:cs="Arial" w:eastAsia="Arial" w:hAnsi="Arial"/>
          <w:sz w:val="13"/>
          <w:szCs w:val="13"/>
          <w:color w:val="auto"/>
        </w:rPr>
        <w:t>Inline XBRL Instance Document - the instance document does not appear in the interactive</w:t>
      </w:r>
    </w:p>
    <w:p>
      <w:pPr>
        <w:ind w:left="800"/>
        <w:spacing w:after="0"/>
        <w:rPr>
          <w:sz w:val="20"/>
          <w:szCs w:val="20"/>
          <w:color w:val="auto"/>
        </w:rPr>
      </w:pPr>
      <w:r>
        <w:rPr>
          <w:rFonts w:ascii="Arial" w:cs="Arial" w:eastAsia="Arial" w:hAnsi="Arial"/>
          <w:sz w:val="14"/>
          <w:szCs w:val="14"/>
          <w:color w:val="auto"/>
        </w:rPr>
        <w:t>data file because its XBRL tags are embedded within the inline XBRL document.</w:t>
      </w:r>
    </w:p>
    <w:p>
      <w:pPr>
        <w:spacing w:after="0" w:line="70"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4"/>
          <w:szCs w:val="14"/>
          <w:color w:val="auto"/>
        </w:rPr>
        <w:t>101.SCH*</w:t>
      </w:r>
      <w:r>
        <w:rPr>
          <w:sz w:val="20"/>
          <w:szCs w:val="20"/>
          <w:color w:val="auto"/>
        </w:rPr>
        <w:tab/>
      </w:r>
      <w:r>
        <w:rPr>
          <w:rFonts w:ascii="Arial" w:cs="Arial" w:eastAsia="Arial" w:hAnsi="Arial"/>
          <w:sz w:val="13"/>
          <w:szCs w:val="13"/>
          <w:color w:val="auto"/>
        </w:rPr>
        <w:t>Inline XBRL Taxonomy Extension Schema Document</w:t>
      </w:r>
    </w:p>
    <w:p>
      <w:pPr>
        <w:spacing w:after="0" w:line="96"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4"/>
          <w:szCs w:val="14"/>
          <w:color w:val="auto"/>
        </w:rPr>
        <w:t>101.CAL*</w:t>
      </w:r>
      <w:r>
        <w:rPr>
          <w:sz w:val="20"/>
          <w:szCs w:val="20"/>
          <w:color w:val="auto"/>
        </w:rPr>
        <w:tab/>
      </w:r>
      <w:r>
        <w:rPr>
          <w:rFonts w:ascii="Arial" w:cs="Arial" w:eastAsia="Arial" w:hAnsi="Arial"/>
          <w:sz w:val="13"/>
          <w:szCs w:val="13"/>
          <w:color w:val="auto"/>
        </w:rPr>
        <w:t>Inline XBRL Taxonomy Extension Calculation Linkbase Document</w:t>
      </w:r>
    </w:p>
    <w:p>
      <w:pPr>
        <w:spacing w:after="0" w:line="96"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4"/>
          <w:szCs w:val="14"/>
          <w:color w:val="auto"/>
        </w:rPr>
        <w:t>101.DEF*</w:t>
      </w:r>
      <w:r>
        <w:rPr>
          <w:sz w:val="20"/>
          <w:szCs w:val="20"/>
          <w:color w:val="auto"/>
        </w:rPr>
        <w:tab/>
      </w:r>
      <w:r>
        <w:rPr>
          <w:rFonts w:ascii="Arial" w:cs="Arial" w:eastAsia="Arial" w:hAnsi="Arial"/>
          <w:sz w:val="13"/>
          <w:szCs w:val="13"/>
          <w:color w:val="auto"/>
        </w:rPr>
        <w:t>Inline XBRL Taxonomy Extension Definition Linkbase Document</w:t>
      </w:r>
    </w:p>
    <w:p>
      <w:pPr>
        <w:spacing w:after="0" w:line="82"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4"/>
          <w:szCs w:val="14"/>
          <w:color w:val="auto"/>
        </w:rPr>
        <w:t>101.LAB*</w:t>
      </w:r>
      <w:r>
        <w:rPr>
          <w:sz w:val="20"/>
          <w:szCs w:val="20"/>
          <w:color w:val="auto"/>
        </w:rPr>
        <w:tab/>
      </w:r>
      <w:r>
        <w:rPr>
          <w:rFonts w:ascii="Arial" w:cs="Arial" w:eastAsia="Arial" w:hAnsi="Arial"/>
          <w:sz w:val="13"/>
          <w:szCs w:val="13"/>
          <w:color w:val="auto"/>
        </w:rPr>
        <w:t>Inline XBRL Taxonomy Extension Label Linkbase Document</w:t>
      </w:r>
    </w:p>
    <w:p>
      <w:pPr>
        <w:spacing w:after="0" w:line="96"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3"/>
          <w:szCs w:val="13"/>
          <w:color w:val="auto"/>
        </w:rPr>
        <w:t>Inline XBRL Taxonomy Extension Presentation Linkbase Document</w:t>
      </w:r>
    </w:p>
    <w:p>
      <w:pPr>
        <w:spacing w:after="0" w:line="9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 the cover page from the Company’s Quarterly Report on</w:t>
      </w:r>
    </w:p>
    <w:p>
      <w:pPr>
        <w:ind w:left="800"/>
        <w:spacing w:after="0"/>
        <w:rPr>
          <w:sz w:val="20"/>
          <w:szCs w:val="20"/>
          <w:color w:val="auto"/>
        </w:rPr>
      </w:pPr>
      <w:r>
        <w:rPr>
          <w:rFonts w:ascii="Arial" w:cs="Arial" w:eastAsia="Arial" w:hAnsi="Arial"/>
          <w:sz w:val="14"/>
          <w:szCs w:val="14"/>
          <w:color w:val="auto"/>
        </w:rPr>
        <w:t>Form 10-Q for the quarter ended June 30, 2023 is formatted in inline XBRL.</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1" w:lineRule="auto"/>
        <w:tabs>
          <w:tab w:leader="none" w:pos="10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7, 2023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184" w:lineRule="exact"/>
        <w:rPr>
          <w:sz w:val="20"/>
          <w:szCs w:val="20"/>
          <w:color w:val="auto"/>
        </w:rPr>
      </w:pPr>
    </w:p>
    <w:p>
      <w:pPr>
        <w:ind w:left="3560"/>
        <w:spacing w:after="0"/>
        <w:tabs>
          <w:tab w:leader="none" w:pos="7160" w:val="left"/>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23495</wp:posOffset>
            </wp:positionV>
            <wp:extent cx="4526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6" w:lineRule="exact"/>
        <w:rPr>
          <w:sz w:val="20"/>
          <w:szCs w:val="20"/>
          <w:color w:val="auto"/>
        </w:rPr>
      </w:pPr>
    </w:p>
    <w:p>
      <w:pPr>
        <w:jc w:val="center"/>
        <w:ind w:left="4060"/>
        <w:spacing w:after="0"/>
        <w:rPr>
          <w:sz w:val="20"/>
          <w:szCs w:val="20"/>
          <w:color w:val="auto"/>
        </w:rPr>
      </w:pPr>
      <w:r>
        <w:rPr>
          <w:rFonts w:ascii="Arial" w:cs="Arial" w:eastAsia="Arial" w:hAnsi="Arial"/>
          <w:sz w:val="18"/>
          <w:szCs w:val="18"/>
          <w:b w:val="1"/>
          <w:bCs w:val="1"/>
          <w:color w:val="auto"/>
        </w:rPr>
        <w:t>Ken Xie, Chief Executive Officer and Chairman</w:t>
      </w:r>
    </w:p>
    <w:p>
      <w:pPr>
        <w:spacing w:after="0" w:line="117" w:lineRule="exact"/>
        <w:rPr>
          <w:sz w:val="20"/>
          <w:szCs w:val="20"/>
          <w:color w:val="auto"/>
        </w:rPr>
      </w:pPr>
    </w:p>
    <w:p>
      <w:pPr>
        <w:jc w:val="center"/>
        <w:ind w:left="4060"/>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7, 2023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197" w:lineRule="exact"/>
        <w:rPr>
          <w:sz w:val="20"/>
          <w:szCs w:val="20"/>
          <w:color w:val="auto"/>
        </w:rPr>
      </w:pPr>
    </w:p>
    <w:p>
      <w:pPr>
        <w:ind w:left="3560"/>
        <w:spacing w:after="0"/>
        <w:tabs>
          <w:tab w:leader="none" w:pos="6820" w:val="left"/>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14605</wp:posOffset>
            </wp:positionV>
            <wp:extent cx="4526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12" w:lineRule="exact"/>
        <w:rPr>
          <w:sz w:val="20"/>
          <w:szCs w:val="20"/>
          <w:color w:val="auto"/>
        </w:rPr>
      </w:pPr>
    </w:p>
    <w:p>
      <w:pPr>
        <w:jc w:val="center"/>
        <w:ind w:left="4060"/>
        <w:spacing w:after="0"/>
        <w:rPr>
          <w:sz w:val="20"/>
          <w:szCs w:val="20"/>
          <w:color w:val="auto"/>
        </w:rPr>
      </w:pPr>
      <w:r>
        <w:rPr>
          <w:rFonts w:ascii="Arial" w:cs="Arial" w:eastAsia="Arial" w:hAnsi="Arial"/>
          <w:sz w:val="18"/>
          <w:szCs w:val="18"/>
          <w:b w:val="1"/>
          <w:bCs w:val="1"/>
          <w:color w:val="auto"/>
        </w:rPr>
        <w:t>Keith Jensen, Chief Financial Officer</w:t>
      </w:r>
    </w:p>
    <w:p>
      <w:pPr>
        <w:spacing w:after="0" w:line="117" w:lineRule="exact"/>
        <w:rPr>
          <w:sz w:val="20"/>
          <w:szCs w:val="20"/>
          <w:color w:val="auto"/>
        </w:rPr>
      </w:pPr>
    </w:p>
    <w:p>
      <w:pPr>
        <w:jc w:val="center"/>
        <w:ind w:left="406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283" w:right="39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FORTINET,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Fortinet, Inc., a corporation organized and existing under the laws of the State of Delaware, hereby certifies as follows: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That the name of the corporation is Fortinet, Inc. and that this corporation was originally incorporated pursuant to the General Corporation Law on November 28, 2000, under the name “Appligation, Inc.” changed its name to “ApSecure, Inc.” pursuant to a Certificate of Amendment of Certificate of</w:t>
      </w:r>
    </w:p>
    <w:p>
      <w:pPr>
        <w:jc w:val="both"/>
        <w:spacing w:after="0" w:line="248" w:lineRule="auto"/>
        <w:rPr>
          <w:sz w:val="20"/>
          <w:szCs w:val="20"/>
          <w:color w:val="auto"/>
        </w:rPr>
      </w:pPr>
      <w:r>
        <w:rPr>
          <w:rFonts w:ascii="Arial" w:cs="Arial" w:eastAsia="Arial" w:hAnsi="Arial"/>
          <w:sz w:val="16"/>
          <w:szCs w:val="16"/>
          <w:color w:val="auto"/>
        </w:rPr>
        <w:t>Incorporation filed on December 12, 2000, changed its name to “Fortinet, Inc.” pursuant to a Certificate of Amendment of Certificate of Incorporation filed on December 6, 2001, changed its name to “FortiNet, Inc.” pursuant to an Amended and Restated Certificate of Incorporation filed on May 30, 2002 and subsequently changed its name to “Fortinet, Inc.” pursuant to an Amended and Restated Certificate of Incorporation filed on August 15, 2003.</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B. The corporation filed an Amended and Restated Certificate of Incorporation with the Secretary of State of the State of Delaware on May 29, 2001, May 30, 2002 and August 15, 2003, filed a Certificate of Amendment of Certificate of Incorporation on March 12, 2008, filed an Amended and Restated Certificate of Incorporation on November 23, 2009, filed an Amended and Restated Certificate of Incorporation on June 22, 2018, filed an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Amended and Restated Certificate of Incorporation on June 22, 2022 (the “</w:t>
      </w:r>
      <w:r>
        <w:rPr>
          <w:rFonts w:ascii="Arial" w:cs="Arial" w:eastAsia="Arial" w:hAnsi="Arial"/>
          <w:sz w:val="18"/>
          <w:szCs w:val="18"/>
          <w:b w:val="1"/>
          <w:bCs w:val="1"/>
          <w:color w:val="auto"/>
        </w:rPr>
        <w:t>June 2022 Certificate</w:t>
      </w:r>
      <w:r>
        <w:rPr>
          <w:rFonts w:ascii="Arial" w:cs="Arial" w:eastAsia="Arial" w:hAnsi="Arial"/>
          <w:sz w:val="18"/>
          <w:szCs w:val="18"/>
          <w:color w:val="auto"/>
        </w:rPr>
        <w:t>”) and filed two amendments to the June 2022 Certificate on June 21, 2023 (the “</w:t>
      </w:r>
      <w:r>
        <w:rPr>
          <w:rFonts w:ascii="Arial" w:cs="Arial" w:eastAsia="Arial" w:hAnsi="Arial"/>
          <w:sz w:val="18"/>
          <w:szCs w:val="18"/>
          <w:b w:val="1"/>
          <w:bCs w:val="1"/>
          <w:color w:val="auto"/>
        </w:rPr>
        <w:t>June 2023 Amendments</w:t>
      </w:r>
      <w:r>
        <w:rPr>
          <w:rFonts w:ascii="Arial" w:cs="Arial" w:eastAsia="Arial" w:hAnsi="Arial"/>
          <w:sz w:val="18"/>
          <w:szCs w:val="18"/>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following Restated Certificate of Incorporation was duly adopted by the corporation’s Board of Directors in accordance with Section 245</w:t>
      </w:r>
    </w:p>
    <w:p>
      <w:pPr>
        <w:spacing w:after="0" w:line="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and only restates and integrates, and does not further amend, the June 2022 Certificate, as heretofore amended by the June 2023 Amendments, and there is no discrepancy between those provisions and the following.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The Certificate of Incorporation of the corporation is hereby restated in its entirety to read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Fortinet,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in the City of Wilmington 19808, County of New Castle.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have authority to issue shares as follows:</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1,500,000,000 shares of Common Stock, par value $0.001 per share. Each share of Common Stock shall entitle the holder thereof to one (1) vote on each matter submitted to a vote at a meeting of stockholders.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10,000,000 shares of Preferred Stock, par value $0.001 per share, which may be issued from time to time in one or more series pursuant to a</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is further authorized to increase (but not above the total number of authorized shares of the class) or decrease (but not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of Directors originally fixing the number of shares of such series. If the number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shares of any series is so decreased, then the shares constituting such decrease shall resume the status which they had prior to the adoption of the resolution originally fixing the number of shares of such series.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number of directors that constitutes the entire Board of Directors of the corporation shall be fixed by, or in the manner provided in, the Bylaws of the corporation.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provisions of this Certificate of Incorporation relating to directors elected by the holders of one or more series of Preferred Stock,</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voting as a separate series or with one or more other series of Preferred Stock, all directors of the corporation will be elected for a term of one-year. Each director shall serve until such director’s successor has been duly elected and qualified or until such director’s earlier death, resignation, or removal. No decrease in the number of directors constituting the Board of Directors shall shorten the term of any incumbent director.</w:t>
      </w:r>
    </w:p>
    <w:p>
      <w:pPr>
        <w:sectPr>
          <w:pgSz w:w="11900" w:h="16838" w:orient="portrait"/>
          <w:cols w:equalWidth="0" w:num="1">
            <w:col w:w="11240"/>
          </w:cols>
          <w:pgMar w:left="320" w:top="1404" w:right="339" w:bottom="3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04" w:right="339" w:bottom="399" w:gutter="0" w:footer="0" w:header="0"/>
          <w:type w:val="continuous"/>
        </w:sectPr>
      </w:pPr>
    </w:p>
    <w:bookmarkStart w:id="84" w:name="page85"/>
    <w:bookmarkEnd w:id="84"/>
    <w:p>
      <w:pPr>
        <w:ind w:firstLine="648"/>
        <w:spacing w:after="0" w:line="248" w:lineRule="auto"/>
        <w:rPr>
          <w:sz w:val="20"/>
          <w:szCs w:val="20"/>
          <w:color w:val="auto"/>
        </w:rPr>
      </w:pPr>
      <w:r>
        <w:rPr>
          <w:rFonts w:ascii="Arial" w:cs="Arial" w:eastAsia="Arial" w:hAnsi="Arial"/>
          <w:sz w:val="16"/>
          <w:szCs w:val="16"/>
          <w:color w:val="auto"/>
        </w:rPr>
        <w:t>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w:t>
      </w:r>
    </w:p>
    <w:p>
      <w:pPr>
        <w:spacing w:after="0"/>
        <w:rPr>
          <w:sz w:val="20"/>
          <w:szCs w:val="20"/>
          <w:color w:val="auto"/>
        </w:rPr>
      </w:pPr>
      <w:r>
        <w:rPr>
          <w:rFonts w:ascii="Arial" w:cs="Arial" w:eastAsia="Arial" w:hAnsi="Arial"/>
          <w:sz w:val="18"/>
          <w:szCs w:val="18"/>
          <w:color w:val="auto"/>
        </w:rPr>
        <w:t>remaining director, at any meeting of the Board of Directors.</w:t>
      </w:r>
    </w:p>
    <w:p>
      <w:pPr>
        <w:spacing w:after="0" w:line="169"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Subject to the provisions of this Certificate of Incorporation relating to directors elected by the holders of one or more series of Preferred Stock, voting as a separate series or with one or more other series of Preferred Stock, except as otherwise provided by law, all directors may be removed with or</w:t>
      </w:r>
    </w:p>
    <w:p>
      <w:pPr>
        <w:spacing w:after="0" w:line="226" w:lineRule="auto"/>
        <w:rPr>
          <w:sz w:val="20"/>
          <w:szCs w:val="20"/>
          <w:color w:val="auto"/>
        </w:rPr>
      </w:pPr>
      <w:r>
        <w:rPr>
          <w:rFonts w:ascii="Arial" w:cs="Arial" w:eastAsia="Arial" w:hAnsi="Arial"/>
          <w:sz w:val="18"/>
          <w:szCs w:val="18"/>
          <w:color w:val="auto"/>
        </w:rPr>
        <w:t>without cause by the affirmative vote of the holders of a majority of the voting power of all then outstanding shares of capital stock of the corporation entitled to vote generally in the election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0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the corporation is expressly authorized to adopt, amend or repeal the Bylaws of the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18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No action shall be taken by the stockholders of the corporation except at an annual or special meeting of the stockholders called in accordance with the Bylaws, and no action shall be taken by the stockholders by written consent.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To the fullest extent permitted by the DGCL, as it presently exists or may hereafter be amended from time to time, a director or officer of the</w:t>
      </w:r>
    </w:p>
    <w:p>
      <w:pPr>
        <w:spacing w:after="0" w:line="10"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corporation shall not be personally liable to the corporation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76"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director, officer, employee or agent of the corporation or is or was serving at</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Proceeding initiated by such person only if the Proceeding was authorized by the Board.</w:t>
      </w:r>
    </w:p>
    <w:p>
      <w:pPr>
        <w:spacing w:after="0" w:line="169"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w:t>
      </w:r>
    </w:p>
    <w:p>
      <w:pPr>
        <w:spacing w:after="0" w:line="234" w:lineRule="auto"/>
        <w:rPr>
          <w:sz w:val="20"/>
          <w:szCs w:val="20"/>
          <w:color w:val="auto"/>
        </w:rPr>
      </w:pPr>
      <w:r>
        <w:rPr>
          <w:rFonts w:ascii="Arial" w:cs="Arial" w:eastAsia="Arial" w:hAnsi="Arial"/>
          <w:sz w:val="16"/>
          <w:szCs w:val="16"/>
          <w:color w:val="auto"/>
        </w:rPr>
        <w:t>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any such Proceeding.</w:t>
      </w:r>
    </w:p>
    <w:p>
      <w:pPr>
        <w:spacing w:after="0" w:line="169" w:lineRule="exact"/>
        <w:rPr>
          <w:sz w:val="20"/>
          <w:szCs w:val="20"/>
          <w:color w:val="auto"/>
        </w:rPr>
      </w:pPr>
    </w:p>
    <w:p>
      <w:pPr>
        <w:jc w:val="both"/>
        <w:ind w:right="220" w:firstLine="648"/>
        <w:spacing w:after="0" w:line="237" w:lineRule="auto"/>
        <w:rPr>
          <w:sz w:val="20"/>
          <w:szCs w:val="20"/>
          <w:color w:val="auto"/>
        </w:rPr>
      </w:pPr>
      <w:r>
        <w:rPr>
          <w:rFonts w:ascii="Arial" w:cs="Arial" w:eastAsia="Arial" w:hAnsi="Arial"/>
          <w:sz w:val="17"/>
          <w:szCs w:val="17"/>
          <w:color w:val="auto"/>
        </w:rPr>
        <w:t>Neither any amendment nor repeal of this Article IX, nor the adoption of any provision of this Certificate of Incorporation inconsistent with this Article IX, shall eliminate or reduce the effect of this Article IX in respect of any matter occurring, or any cause of action, suit or proceeding accruing or arising or that, but for this Article IX, would accrue or arise, prior to such amendment, repeal or adoption of an inconsistent provision.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(including any rights, preferences or other designations of Preferred Stock), in the manner now or hereafter prescribed by this Certificate of Incorporation and the DGCL;</w:t>
      </w:r>
    </w:p>
    <w:p>
      <w:pPr>
        <w:spacing w:after="0" w:line="239" w:lineRule="auto"/>
        <w:rPr>
          <w:sz w:val="20"/>
          <w:szCs w:val="20"/>
          <w:color w:val="auto"/>
        </w:rPr>
      </w:pPr>
      <w:r>
        <w:rPr>
          <w:rFonts w:ascii="Arial" w:cs="Arial" w:eastAsia="Arial" w:hAnsi="Arial"/>
          <w:sz w:val="17"/>
          <w:szCs w:val="17"/>
          <w:color w:val="auto"/>
        </w:rPr>
        <w:t>and, except as set forth in Article IX, all rights, preferences and privileges herein conferred upon stockholders, directors or any other persons by and pursuant to this Certificate of Incorporation in its present form or as hereafter amended are granted subject to the right reserved in this Article X.</w:t>
      </w:r>
    </w:p>
    <w:p>
      <w:pPr>
        <w:spacing w:after="0" w:line="162" w:lineRule="exact"/>
        <w:rPr>
          <w:sz w:val="20"/>
          <w:szCs w:val="20"/>
          <w:color w:val="auto"/>
        </w:rPr>
      </w:pPr>
    </w:p>
    <w:p>
      <w:pPr>
        <w:ind w:right="40" w:firstLine="648"/>
        <w:spacing w:after="0" w:line="267" w:lineRule="auto"/>
        <w:rPr>
          <w:sz w:val="20"/>
          <w:szCs w:val="20"/>
          <w:color w:val="auto"/>
        </w:rPr>
      </w:pPr>
      <w:r>
        <w:rPr>
          <w:rFonts w:ascii="Arial" w:cs="Arial" w:eastAsia="Arial" w:hAnsi="Arial"/>
          <w:sz w:val="18"/>
          <w:szCs w:val="18"/>
          <w:color w:val="auto"/>
        </w:rPr>
        <w:t>IN WITNESS WHEREOF, the corporation has caused this Restated Certificate of Incorporation to be signed by the Chief Executive Officer of the corporation on this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August, 2023.</w:t>
      </w:r>
    </w:p>
    <w:p>
      <w:pPr>
        <w:spacing w:after="0" w:line="380" w:lineRule="exact"/>
        <w:rPr>
          <w:sz w:val="20"/>
          <w:szCs w:val="20"/>
          <w:color w:val="auto"/>
        </w:rPr>
      </w:pPr>
    </w:p>
    <w:p>
      <w:pPr>
        <w:ind w:left="53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8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197860"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Ken Xie</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08" w:right="339"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08" w:right="339" w:bottom="1033"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35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2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2023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820" w:type="dxa"/>
            <w:vAlign w:val="bottom"/>
          </w:tcPr>
          <w:p>
            <w:pPr>
              <w:ind w:left="210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Date:   August 7, 2023</w:t>
            </w:r>
          </w:p>
        </w:tc>
        <w:tc>
          <w:tcPr>
            <w:tcW w:w="2820" w:type="dxa"/>
            <w:vAlign w:val="bottom"/>
          </w:tcPr>
          <w:p>
            <w:pPr>
              <w:ind w:left="210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88"/>
        </w:trPr>
        <w:tc>
          <w:tcPr>
            <w:tcW w:w="3820" w:type="dxa"/>
            <w:vAlign w:val="bottom"/>
          </w:tcPr>
          <w:p>
            <w:pPr>
              <w:spacing w:after="0"/>
              <w:rPr>
                <w:sz w:val="16"/>
                <w:szCs w:val="16"/>
                <w:color w:val="auto"/>
              </w:rPr>
            </w:pPr>
          </w:p>
        </w:tc>
        <w:tc>
          <w:tcPr>
            <w:tcW w:w="2820" w:type="dxa"/>
            <w:vAlign w:val="bottom"/>
          </w:tcPr>
          <w:p>
            <w:pPr>
              <w:ind w:left="2100"/>
              <w:spacing w:after="0" w:line="189" w:lineRule="exact"/>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90"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June 30, 2023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840" w:type="dxa"/>
            <w:vAlign w:val="bottom"/>
          </w:tcPr>
          <w:p>
            <w:pPr>
              <w:spacing w:after="0"/>
              <w:rPr>
                <w:sz w:val="21"/>
                <w:szCs w:val="21"/>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Date:   August 7, 2023</w:t>
            </w:r>
          </w:p>
        </w:tc>
        <w:tc>
          <w:tcPr>
            <w:tcW w:w="2820" w:type="dxa"/>
            <w:vAlign w:val="bottom"/>
          </w:tcPr>
          <w:p>
            <w:pPr>
              <w:ind w:left="2080"/>
              <w:spacing w:after="0"/>
              <w:rPr>
                <w:sz w:val="20"/>
                <w:szCs w:val="20"/>
                <w:color w:val="auto"/>
              </w:rPr>
            </w:pPr>
            <w:r>
              <w:rPr>
                <w:rFonts w:ascii="Arial" w:cs="Arial" w:eastAsia="Arial" w:hAnsi="Arial"/>
                <w:sz w:val="18"/>
                <w:szCs w:val="18"/>
                <w:color w:val="auto"/>
              </w:rPr>
              <w:t>Name:</w:t>
            </w:r>
          </w:p>
        </w:tc>
        <w:tc>
          <w:tcPr>
            <w:tcW w:w="456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840" w:type="dxa"/>
            <w:vAlign w:val="bottom"/>
          </w:tcPr>
          <w:p>
            <w:pPr>
              <w:spacing w:after="0"/>
              <w:rPr>
                <w:sz w:val="15"/>
                <w:szCs w:val="15"/>
                <w:color w:val="auto"/>
              </w:rPr>
            </w:pPr>
          </w:p>
        </w:tc>
        <w:tc>
          <w:tcPr>
            <w:tcW w:w="2820" w:type="dxa"/>
            <w:vAlign w:val="bottom"/>
          </w:tcPr>
          <w:p>
            <w:pPr>
              <w:ind w:left="2080"/>
              <w:spacing w:after="0" w:line="176" w:lineRule="exact"/>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decimal"/>
      <w:start w:val="7"/>
    </w:lvl>
  </w:abstractNum>
  <w:abstractNum w:abstractNumId="9">
    <w:nsid w:val="1E7FF521"/>
    <w:multiLevelType w:val="hybridMultilevel"/>
    <w:lvl w:ilvl="0">
      <w:lvlJc w:val="left"/>
      <w:lvlText w:val="%1."/>
      <w:numFmt w:val="decimal"/>
      <w:start w:val="9"/>
    </w:lvl>
  </w:abstractNum>
  <w:abstractNum w:abstractNumId="10">
    <w:nsid w:val="7C3DBD3D"/>
    <w:multiLevelType w:val="hybridMultilevel"/>
    <w:lvl w:ilvl="0">
      <w:lvlJc w:val="left"/>
      <w:lvlText w:val="%1."/>
      <w:numFmt w:val="decimal"/>
      <w:start w:val="10"/>
    </w:lvl>
  </w:abstractNum>
  <w:abstractNum w:abstractNumId="11">
    <w:nsid w:val="737B8DDC"/>
    <w:multiLevelType w:val="hybridMultilevel"/>
    <w:lvl w:ilvl="0">
      <w:lvlJc w:val="left"/>
      <w:lvlText w:val="%1."/>
      <w:numFmt w:val="decimal"/>
      <w:start w:val="11"/>
    </w:lvl>
  </w:abstractNum>
  <w:abstractNum w:abstractNumId="12">
    <w:nsid w:val="6CEAF087"/>
    <w:multiLevelType w:val="hybridMultilevel"/>
    <w:lvl w:ilvl="0">
      <w:lvlJc w:val="left"/>
      <w:lvlText w:val="%1."/>
      <w:numFmt w:val="decimal"/>
      <w:start w:val="12"/>
    </w:lvl>
  </w:abstractNum>
  <w:abstractNum w:abstractNumId="13">
    <w:nsid w:val="22221A70"/>
    <w:multiLevelType w:val="hybridMultilevel"/>
    <w:lvl w:ilvl="0">
      <w:lvlJc w:val="left"/>
      <w:lvlText w:val="%1."/>
      <w:numFmt w:val="decimal"/>
      <w:start w:val="14"/>
    </w:lvl>
  </w:abstractNum>
  <w:abstractNum w:abstractNumId="14">
    <w:nsid w:val="4516DDE9"/>
    <w:multiLevelType w:val="hybridMultilevel"/>
    <w:lvl w:ilvl="0">
      <w:lvlJc w:val="left"/>
      <w:lvlText w:val="%1."/>
      <w:numFmt w:val="decimal"/>
      <w:start w:val="15"/>
    </w:lvl>
  </w:abstractNum>
  <w:abstractNum w:abstractNumId="15">
    <w:nsid w:val="3006C83E"/>
    <w:multiLevelType w:val="hybridMultilevel"/>
    <w:lvl w:ilvl="0">
      <w:lvlJc w:val="left"/>
      <w:lvlText w:val="%1."/>
      <w:numFmt w:val="decimal"/>
      <w:start w:val="16"/>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94" Type="http://schemas.openxmlformats.org/officeDocument/2006/relationships/hyperlink" Target="https://www.sec.gov/Archives/edgar/data/1262039/000126203923000024/ftnt-ex31majorityvotingame.htm" TargetMode="External"/><Relationship Id="rId95" Type="http://schemas.openxmlformats.org/officeDocument/2006/relationships/hyperlink" Target="https://www.sec.gov/Archives/edgar/data/1262039/000126203923000024/ftnt-ex32officerexculpatio.htm" TargetMode="External"/><Relationship Id="rId96" Type="http://schemas.openxmlformats.org/officeDocument/2006/relationships/hyperlink" Target="https://www.sec.gov/Archives/edgar/data/1262039/000126203923000024/ftnt-ex33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2023-08-07T16:36:12Z</dcterms:created>
  <dcterms:modified xsi:type="dcterms:W3CDTF">2023-08-07T16:36:12Z</dcterms:modified>
</cp:coreProperties>
</file>