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6"/>
        </w:rPr>
        <w:t>FORM 10-Q</w:t>
      </w:r>
      <w:r>
        <w:rPr>
          <w:color w:val="000000"/>
        </w:rPr>
        <w:t> </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pPr>
      <w:r>
        <w:rPr>
          <w:color w:val="000000"/>
        </w:rPr>
        <w:t> </w:t>
      </w: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001-34511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FORTINET,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w:t>
      </w:r>
    </w:p>
    <w:p>
      <w:pPr>
        <w:pStyle w:val="TextBody"/>
        <w:bidi w:val="0"/>
        <w:spacing w:before="0" w:after="0"/>
        <w:jc w:val="center"/>
        <w:rPr/>
      </w:pPr>
      <w:r>
        <w:rPr/>
      </w:r>
    </w:p>
    <w:tbl>
      <w:tblPr>
        <w:tblW w:w="4659" w:type="dxa"/>
        <w:jc w:val="center"/>
        <w:tblInd w:w="0" w:type="dxa"/>
        <w:tblLayout w:type="fixed"/>
        <w:tblCellMar>
          <w:top w:w="28" w:type="dxa"/>
          <w:left w:w="28" w:type="dxa"/>
          <w:bottom w:w="28" w:type="dxa"/>
          <w:right w:w="28" w:type="dxa"/>
        </w:tblCellMar>
      </w:tblPr>
      <w:tblGrid>
        <w:gridCol w:w="883"/>
        <w:gridCol w:w="777"/>
        <w:gridCol w:w="785"/>
        <w:gridCol w:w="109"/>
        <w:gridCol w:w="109"/>
        <w:gridCol w:w="109"/>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77-0560389</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909 Kifer Road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Sunnyvale, California 94086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(408) 235-7700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813" w:type="dxa"/>
        <w:jc w:val="left"/>
        <w:tblInd w:w="0" w:type="dxa"/>
        <w:tblLayout w:type="fixed"/>
        <w:tblCellMar>
          <w:top w:w="28" w:type="dxa"/>
          <w:left w:w="28" w:type="dxa"/>
          <w:bottom w:w="28" w:type="dxa"/>
          <w:right w:w="28" w:type="dxa"/>
        </w:tblCellMar>
      </w:tblPr>
      <w:tblGrid>
        <w:gridCol w:w="1073"/>
        <w:gridCol w:w="943"/>
        <w:gridCol w:w="954"/>
        <w:gridCol w:w="109"/>
        <w:gridCol w:w="109"/>
        <w:gridCol w:w="109"/>
        <w:gridCol w:w="454"/>
        <w:gridCol w:w="454"/>
        <w:gridCol w:w="456"/>
        <w:gridCol w:w="109"/>
        <w:gridCol w:w="109"/>
        <w:gridCol w:w="109"/>
        <w:gridCol w:w="1118"/>
        <w:gridCol w:w="1118"/>
        <w:gridCol w:w="1589"/>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FTNT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1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 </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ind w:left="0" w:right="0" w:firstLine="31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July 28, 2026, there were 733,713,653 shares of the registrant’s common stock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286" w:type="dxa"/>
        <w:jc w:val="left"/>
        <w:tblInd w:w="0" w:type="dxa"/>
        <w:tblLayout w:type="fixed"/>
        <w:tblCellMar>
          <w:top w:w="28" w:type="dxa"/>
          <w:left w:w="28" w:type="dxa"/>
          <w:bottom w:w="28" w:type="dxa"/>
          <w:right w:w="28" w:type="dxa"/>
        </w:tblCellMar>
      </w:tblPr>
      <w:tblGrid>
        <w:gridCol w:w="293"/>
        <w:gridCol w:w="258"/>
        <w:gridCol w:w="259"/>
        <w:gridCol w:w="2654"/>
        <w:gridCol w:w="2654"/>
        <w:gridCol w:w="2657"/>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PART I</w:t>
            </w:r>
            <w:r>
              <w:rPr>
                <w:color w:val="000000"/>
              </w:rPr>
              <w:t>—</w:t>
            </w:r>
            <w:r>
              <w:rPr>
                <w:rFonts w:ascii="Times New Roman;serif" w:hAnsi="Times New Roman;serif"/>
                <w:b/>
                <w:color w:val="000000"/>
                <w:sz w:val="20"/>
              </w:rPr>
              <w:t>FINANCIAL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6">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9">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22">
              <w:r>
                <w:rPr>
                  <w:rStyle w:val="InternetLink"/>
                  <w:rFonts w:ascii="Times New Roman;serif" w:hAnsi="Times New Roman;serif"/>
                  <w:b w:val="false"/>
                  <w:color w:val="0000FF"/>
                  <w:sz w:val="20"/>
                  <w:u w:val="single"/>
                </w:rPr>
                <w:t>Condensed Consolidated Statements of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22">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25">
              <w:r>
                <w:rPr>
                  <w:rStyle w:val="InternetLink"/>
                  <w:rFonts w:ascii="Times New Roman;serif" w:hAnsi="Times New Roman;serif"/>
                  <w:b w:val="false"/>
                  <w:color w:val="0000FF"/>
                  <w:sz w:val="20"/>
                  <w:u w:val="single"/>
                </w:rPr>
                <w:t>Condensed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25">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28">
              <w:r>
                <w:rPr>
                  <w:rStyle w:val="InternetLink"/>
                  <w:rFonts w:ascii="Times New Roman;serif" w:hAnsi="Times New Roman;serif"/>
                  <w:b w:val="false"/>
                  <w:color w:val="0000FF"/>
                  <w:sz w:val="20"/>
                  <w:u w:val="single"/>
                </w:rPr>
                <w:t>Condensed Consolidated Statements of Stockholders’ Equity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28">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34">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34">
              <w:r>
                <w:rPr>
                  <w:rStyle w:val="InternetLink"/>
                  <w:rFonts w:ascii="Times New Roman;serif" w:hAnsi="Times New Roman;serif"/>
                  <w:b w:val="false"/>
                  <w:color w:val="0000FF"/>
                  <w:sz w:val="20"/>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37">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37">
              <w:r>
                <w:rPr>
                  <w:rStyle w:val="InternetLink"/>
                  <w:rFonts w:ascii="Times New Roman;serif" w:hAnsi="Times New Roman;serif"/>
                  <w:b w:val="false"/>
                  <w:color w:val="0000FF"/>
                  <w:sz w:val="20"/>
                  <w:u w:val="single"/>
                </w:rPr>
                <w:t>10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06">
              <w:r>
                <w:rPr>
                  <w:rStyle w:val="InternetLink"/>
                  <w:rFonts w:ascii="Times New Roman;serif" w:hAnsi="Times New Roman;serif"/>
                  <w:b w:val="false"/>
                  <w:color w:val="0000FF"/>
                  <w:sz w:val="20"/>
                  <w:u w:val="single"/>
                </w:rPr>
                <w:t>27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21">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21">
              <w:r>
                <w:rPr>
                  <w:rStyle w:val="InternetLink"/>
                  <w:rFonts w:ascii="Times New Roman;serif" w:hAnsi="Times New Roman;serif"/>
                  <w:b w:val="false"/>
                  <w:color w:val="0000FF"/>
                  <w:sz w:val="20"/>
                  <w:u w:val="single"/>
                </w:rPr>
                <w:t>43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24">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24">
              <w:r>
                <w:rPr>
                  <w:rStyle w:val="InternetLink"/>
                  <w:rFonts w:ascii="Times New Roman;serif" w:hAnsi="Times New Roman;serif"/>
                  <w:b w:val="false"/>
                  <w:color w:val="0000FF"/>
                  <w:sz w:val="20"/>
                  <w:u w:val="singl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30">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30">
              <w:r>
                <w:rPr>
                  <w:rStyle w:val="InternetLink"/>
                  <w:rFonts w:ascii="Times New Roman;serif" w:hAnsi="Times New Roman;serif"/>
                  <w:b w:val="false"/>
                  <w:color w:val="0000FF"/>
                  <w:sz w:val="20"/>
                  <w:u w:val="singl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33">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33">
              <w:r>
                <w:rPr>
                  <w:rStyle w:val="InternetLink"/>
                  <w:rFonts w:ascii="Times New Roman;serif" w:hAnsi="Times New Roman;serif"/>
                  <w:b w:val="false"/>
                  <w:color w:val="0000FF"/>
                  <w:sz w:val="20"/>
                  <w:u w:val="singl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36">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36">
              <w:r>
                <w:rPr>
                  <w:rStyle w:val="InternetLink"/>
                  <w:rFonts w:ascii="Times New Roman;serif" w:hAnsi="Times New Roman;serif"/>
                  <w:b w:val="false"/>
                  <w:color w:val="0000FF"/>
                  <w:sz w:val="20"/>
                  <w:u w:val="single"/>
                </w:rPr>
                <w:t>83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39">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39">
              <w:r>
                <w:rPr>
                  <w:rStyle w:val="InternetLink"/>
                  <w:rFonts w:ascii="Times New Roman;serif" w:hAnsi="Times New Roman;serif"/>
                  <w:b w:val="false"/>
                  <w:color w:val="0000FF"/>
                  <w:sz w:val="20"/>
                  <w:u w:val="single"/>
                </w:rPr>
                <w:t>83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45">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45">
              <w:r>
                <w:rPr>
                  <w:rStyle w:val="InternetLink"/>
                  <w:rFonts w:ascii="Times New Roman;serif" w:hAnsi="Times New Roman;serif"/>
                  <w:b w:val="false"/>
                  <w:color w:val="0000FF"/>
                  <w:sz w:val="20"/>
                  <w:u w:val="single"/>
                </w:rPr>
                <w:t>85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48">
              <w:r>
                <w:rPr>
                  <w:rStyle w:val="InternetLink"/>
                  <w:rFonts w:ascii="Times New Roman;serif" w:hAnsi="Times New Roman;serif"/>
                  <w:b w:val="false"/>
                  <w:color w:val="0000FF"/>
                  <w:sz w:val="20"/>
                  <w:u w:val="single"/>
                </w:rPr>
                <w:t>Exhibit Index</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48">
              <w:r>
                <w:rPr>
                  <w:rStyle w:val="InternetLink"/>
                  <w:rFonts w:ascii="Times New Roman;serif" w:hAnsi="Times New Roman;serif"/>
                  <w:b w:val="false"/>
                  <w:color w:val="0000FF"/>
                  <w:sz w:val="20"/>
                  <w:u w:val="single"/>
                </w:rPr>
                <w:t>85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f763f6703496ea27c601844a01e7f_151">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f763f6703496ea27c601844a01e7f_151">
              <w:r>
                <w:rPr>
                  <w:rStyle w:val="InternetLink"/>
                  <w:rFonts w:ascii="Times New Roman;serif" w:hAnsi="Times New Roman;serif"/>
                  <w:b w:val="false"/>
                  <w:color w:val="0000FF"/>
                  <w:sz w:val="20"/>
                  <w:u w:val="single"/>
                </w:rPr>
                <w:t>86</w:t>
              </w:r>
            </w:hyperlink>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operating results are likely to vary significantly and be unpredictable.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economic conditions, such as a possible economic downturn or recession, and possible impacts of inflation or stagflation, tariffs, trade policies or other trade disruptions, geopolitical instability and conflicts, changing interest rates, changes in government spending or regulation or reduced information technology (“IT”) spending, including firewall spending, may adversely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been, are currently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During prior periods of supply chain disruption, including during the COVID-19 pandemic, we increased our purchase order commitments. Similar conditions could arise in the future, which may require us to accept or pay for components and finished goods regardless of our level of sales in a particular period, which may negatively or unpredictably impact our operating results and financial condition.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billings, revenue and free cash flow growth, including our product and service billings and revenue, may slow, and our operating margins may decline, particularly if our billings and revenue do not improve or grow as anticipated, or if customer demand, renewal rates, pricing, competitive dynamics, implementation timing, cost structure, or macroeconomic conditions adversely affect our business, which could negatively impact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real estate assets, including construction, acquisitions, improvements, leasing activity, and ongoing maintenance and management of office buildings, warehouses, data centers and points of presence (“PoPs”), as well as data center operations, expansions or enhancements, could involve significant risks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weakness in sales strategy, productivity, personnel, hiring and retention, and execution could negatively impact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dependent on the continued services and performance of our senior management, as well as our ability to hire, retain and motivate qualified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third-party channel partners for substantially all of our billings, revenue, and a small number of distributors represent a large percentage of our revenue and accounts receivable.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Reliance on a concentration of shipments at the end of the quarter or changes in shipping terms could cause our billings and revenue to fall below expected levels.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significantly on revenue from FortiGuard and other security subscriptions and FortiCare technical support services. Revenue generated from these services may decline or fluctuate in manners that could adversely impact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intense competition in our market, and we may not maintain or improve our competitive position.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 Team publicly posts on our FortiGuard Labs website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our internal enterprise IT networks, our operational networks, our research and development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incurred indebtedness and may incur other debt in the future, which may adversely affect our financial condition and future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generate the majority of our billings, revenue and cash flow from sales outside of the United States, which may expose us to risks associated with international operations and may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successful in executing our strategy to increase our sales to large- and medium-sized end-customers.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portion of our revenue is generated by sales to government organizations and other adjacent customers, which are subject to regulatory requirements, their own supply chain constraints and contractual requirements, challenges and risks, including impacts from geopolitical dynamics.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order components and finished goods from third-party manufacturers based on our forecasts of future demand and targeted inventory levels, which exposes us to the risk of product shortages, tariffs, may result in lost sales, higher expenses and inventory excesses which may lead to inventory charges and costs related to future purchase commitments, possibly requiring us to sell our products at discounts or offer various other incentives.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third parties to provide various components for our products and build our products and are susceptible to manufacturing delays, capacity constraints, cost increases, and changes in the geopolitical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Investors’, activists’ and regulators’ expectations of our investments and performance relating to operational sustainability factors may impose additional costs and expose us to new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exposed to fluctuations in currency exchange rates, which could negatively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proprietary rights may be difficult to enforce, and we may be subject to claims by others that we infringe their proprietary technology.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trading price of our common stock may be volatile, which volatility may be exacerbated by share repurchases under our Share Repurchase Program (the “Repurchase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Anti-takeover provisions contained in our certificate of incorporation and bylaws, as well as provisions of Delaware law, could impair a takeover attempt.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economic uncertainty can weaken and harm our financial position.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Weakening product demand caused by geopolitical instability, changes in trade agreements, wars and foreign conflicts, such as the war in Ukraine, tensions between China and Taiwan or conflicts in the Middle East, could adversely affect our business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bl>
      <w:tblPr>
        <w:tblW w:w="10205" w:type="dxa"/>
        <w:jc w:val="left"/>
        <w:tblInd w:w="0" w:type="dxa"/>
        <w:tblLayout w:type="fixed"/>
        <w:tblCellMar>
          <w:top w:w="28" w:type="dxa"/>
          <w:left w:w="28" w:type="dxa"/>
          <w:bottom w:w="28" w:type="dxa"/>
          <w:right w:w="28" w:type="dxa"/>
        </w:tblCellMar>
      </w:tblPr>
      <w:tblGrid>
        <w:gridCol w:w="2904"/>
        <w:gridCol w:w="2212"/>
        <w:gridCol w:w="2225"/>
        <w:gridCol w:w="211"/>
        <w:gridCol w:w="871"/>
        <w:gridCol w:w="109"/>
        <w:gridCol w:w="109"/>
        <w:gridCol w:w="109"/>
        <w:gridCol w:w="109"/>
        <w:gridCol w:w="211"/>
        <w:gridCol w:w="871"/>
        <w:gridCol w:w="109"/>
        <w:gridCol w:w="155"/>
      </w:tblGrid>
      <w:tr>
        <w:trPr/>
        <w:tc>
          <w:tcPr>
            <w:tcW w:w="290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receivable—net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value—1,500.0 shares authorized; 733.6 and 743.0 shares issued and outstanding on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bl>
      <w:tblPr>
        <w:tblW w:w="10205" w:type="dxa"/>
        <w:jc w:val="left"/>
        <w:tblInd w:w="0" w:type="dxa"/>
        <w:tblLayout w:type="fixed"/>
        <w:tblCellMar>
          <w:top w:w="28" w:type="dxa"/>
          <w:left w:w="28" w:type="dxa"/>
          <w:bottom w:w="28" w:type="dxa"/>
          <w:right w:w="28" w:type="dxa"/>
        </w:tblCellMar>
      </w:tblPr>
      <w:tblGrid>
        <w:gridCol w:w="2084"/>
        <w:gridCol w:w="1597"/>
        <w:gridCol w:w="160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5"/>
      </w:tblGrid>
      <w:tr>
        <w:trPr/>
        <w:tc>
          <w:tcPr>
            <w:tcW w:w="20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8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GAIN (LOSS) FROM EQUITY METHOD INVESTMENTS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(Note 8):</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917"/>
        <w:gridCol w:w="1675"/>
        <w:gridCol w:w="169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5"/>
      </w:tblGrid>
      <w:tr>
        <w:trPr/>
        <w:tc>
          <w:tcPr>
            <w:tcW w:w="191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tax benefit related to items of other comprehensive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750"/>
        <w:gridCol w:w="635"/>
        <w:gridCol w:w="637"/>
        <w:gridCol w:w="308"/>
        <w:gridCol w:w="308"/>
        <w:gridCol w:w="211"/>
        <w:gridCol w:w="109"/>
        <w:gridCol w:w="109"/>
        <w:gridCol w:w="109"/>
        <w:gridCol w:w="218"/>
        <w:gridCol w:w="419"/>
        <w:gridCol w:w="114"/>
        <w:gridCol w:w="109"/>
        <w:gridCol w:w="109"/>
        <w:gridCol w:w="109"/>
        <w:gridCol w:w="211"/>
        <w:gridCol w:w="766"/>
        <w:gridCol w:w="109"/>
        <w:gridCol w:w="109"/>
        <w:gridCol w:w="109"/>
        <w:gridCol w:w="109"/>
        <w:gridCol w:w="336"/>
        <w:gridCol w:w="842"/>
        <w:gridCol w:w="175"/>
        <w:gridCol w:w="109"/>
        <w:gridCol w:w="109"/>
        <w:gridCol w:w="109"/>
        <w:gridCol w:w="263"/>
        <w:gridCol w:w="789"/>
        <w:gridCol w:w="137"/>
        <w:gridCol w:w="109"/>
        <w:gridCol w:w="109"/>
        <w:gridCol w:w="109"/>
        <w:gridCol w:w="248"/>
        <w:gridCol w:w="905"/>
        <w:gridCol w:w="189"/>
      </w:tblGrid>
      <w:tr>
        <w:trPr/>
        <w:tc>
          <w:tcPr>
            <w:tcW w:w="75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022" w:type="dxa"/>
            <w:gridSpan w:val="3"/>
            <w:vMerge w:val="continue"/>
            <w:tcBorders/>
            <w:tcMar>
              <w:top w:w="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BALANCE—March 31, 2026</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incentive plans - net of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Excise tax on net stock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investments -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02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Earnings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02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353"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89"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BALANCE—March 31,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incentive plans - net of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Excise tax on net stock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investments -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02"/>
        <w:gridCol w:w="593"/>
        <w:gridCol w:w="595"/>
        <w:gridCol w:w="308"/>
        <w:gridCol w:w="308"/>
        <w:gridCol w:w="211"/>
        <w:gridCol w:w="109"/>
        <w:gridCol w:w="109"/>
        <w:gridCol w:w="109"/>
        <w:gridCol w:w="218"/>
        <w:gridCol w:w="419"/>
        <w:gridCol w:w="114"/>
        <w:gridCol w:w="109"/>
        <w:gridCol w:w="109"/>
        <w:gridCol w:w="109"/>
        <w:gridCol w:w="211"/>
        <w:gridCol w:w="766"/>
        <w:gridCol w:w="109"/>
        <w:gridCol w:w="109"/>
        <w:gridCol w:w="109"/>
        <w:gridCol w:w="109"/>
        <w:gridCol w:w="334"/>
        <w:gridCol w:w="836"/>
        <w:gridCol w:w="174"/>
        <w:gridCol w:w="109"/>
        <w:gridCol w:w="109"/>
        <w:gridCol w:w="109"/>
        <w:gridCol w:w="349"/>
        <w:gridCol w:w="887"/>
        <w:gridCol w:w="154"/>
        <w:gridCol w:w="109"/>
        <w:gridCol w:w="109"/>
        <w:gridCol w:w="109"/>
        <w:gridCol w:w="237"/>
        <w:gridCol w:w="864"/>
        <w:gridCol w:w="181"/>
      </w:tblGrid>
      <w:tr>
        <w:trPr/>
        <w:tc>
          <w:tcPr>
            <w:tcW w:w="7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8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Equity</w:t>
            </w:r>
          </w:p>
        </w:tc>
      </w:tr>
      <w:tr>
        <w:trPr/>
        <w:tc>
          <w:tcPr>
            <w:tcW w:w="1890" w:type="dxa"/>
            <w:gridSpan w:val="3"/>
            <w:vMerge w:val="continue"/>
            <w:tcBorders/>
            <w:tcMar>
              <w:top w:w="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9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incentive plans - net of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Excise tax on net stock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investments -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8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 xml:space="preserve">Stockholders’ Equity </w:t>
            </w:r>
          </w:p>
        </w:tc>
      </w:tr>
      <w:tr>
        <w:trPr/>
        <w:tc>
          <w:tcPr>
            <w:tcW w:w="1890" w:type="dxa"/>
            <w:gridSpan w:val="3"/>
            <w:vMerge w:val="continue"/>
            <w:tcBorders/>
            <w:tcMar>
              <w:top w:w="0" w:type="dxa"/>
              <w:left w:w="0" w:type="dxa"/>
              <w:bottom w:w="0" w:type="dxa"/>
              <w:right w:w="0" w:type="dxa"/>
            </w:tcMar>
            <w:vAlign w:val="center"/>
          </w:tcPr>
          <w:p>
            <w:pPr>
              <w:pStyle w:val="Normal"/>
              <w:bidi w:val="0"/>
              <w:jc w:val="left"/>
              <w:rPr/>
            </w:pPr>
            <w:r>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9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incentive plans - net of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Excise tax on net stock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investments -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8558" w:type="dxa"/>
        <w:jc w:val="left"/>
        <w:tblInd w:w="0" w:type="dxa"/>
        <w:tblLayout w:type="fixed"/>
        <w:tblCellMar>
          <w:top w:w="28" w:type="dxa"/>
          <w:left w:w="28" w:type="dxa"/>
          <w:bottom w:w="28" w:type="dxa"/>
          <w:right w:w="28" w:type="dxa"/>
        </w:tblCellMar>
      </w:tblPr>
      <w:tblGrid>
        <w:gridCol w:w="2243"/>
        <w:gridCol w:w="1970"/>
        <w:gridCol w:w="1981"/>
        <w:gridCol w:w="196"/>
        <w:gridCol w:w="691"/>
        <w:gridCol w:w="109"/>
        <w:gridCol w:w="109"/>
        <w:gridCol w:w="109"/>
        <w:gridCol w:w="109"/>
        <w:gridCol w:w="196"/>
        <w:gridCol w:w="69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investment discounts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impact of business combinations: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compensation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Payments made in connection with business combinations, net of cash acquired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Repayment of senior notes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paid for income taxes—net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arising from obtaining right-of-use assets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Transfers of evaluation units and equipment from inventory to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purchase of property and equipment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Excise tax payable on net stock repurchase</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Basis of Presentation and Preparation</w:t>
      </w:r>
      <w:r>
        <w:rPr>
          <w:color w:val="000000"/>
        </w:rPr>
        <w:t>—</w:t>
      </w:r>
      <w:r>
        <w:rPr>
          <w:rFonts w:ascii="Times New Roman;serif" w:hAnsi="Times New Roman;serif"/>
          <w:b w:val="false"/>
          <w:color w:val="000000"/>
          <w:sz w:val="20"/>
        </w:rPr>
        <w:t>The unaudited condensed consolidated financial statements of Fortinet, Inc. and its 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2025, contained in our Annual Report on Form 10-K filed with the SEC on February 25, 2026. In the opinion of management, all adjustments, which include normal recurring adjustments, considered necessary for a fair presentation, have been included. The results of operations for the three and six months ended June 30, 2026 are not necessarily indicative of the results to be expected for the full year or for any future periods. The condensed consolidated balance sheet as of December 31, 2025 is derived from the audited consolidated financial statements for the year ended December 31,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as of and for the six months ended June 30, 2026, as compared to the significant accounting policies described in our Annual Report on Form 10-K for the fiscal year ended December 31, 2025 filed with the SEC.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Recent Adopted Accounting Standards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Losses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(the “FASB”) issued Accounting Standards Update (“ASU”) 2025-05—Financial Instruments—Credit Losses (Topic 326): Measurement of Credit Losses for Accounts Receivable and Contract Assets (“ASU 2025-05”), which provides a practical expedient for estimating expected credit losses for current accounts receivable and current contract assets that arise from transactions accounted for under Revenue from Contracts with Customers (Topic 606). The amendments are effective for our annual reporting periods beginning with fiscal year 2026 and interim reporting periods within those annual reporting periods on a prospective basis, with early adoption permitted. We adopted ASU 2025-05 on January 1, 2026 and the adoption of this standard did not have a material impact on our condensed consolidated financial statements.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Recent Accounting Standards Not Yet Effective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Expense Disaggregation Disclosures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periods beginning fiscal year 2027 and our interim reporting periods beginning in fiscal year 2028, with early adoption permitted, and can be applied prospectively or retrospectively. We are currently evaluating the ASU to determine its impact on our disclosures.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amends the cost capitalization criteria for internal-use software development costs by removing all references to prescriptive and sequential software project development stages and providing new guidance on how to evaluate whether the probable-to-complete recognition threshold has been met. The amendments are effective for our annual periods beginning fiscal year 2028 and interim reporting periods within those annual reporting periods and can be applied prospectively, retrospectively, or via a modified prospective transition method, with early adoption permitted. We are currently assessing adoption timing and the method of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major product and service lines (in millions):</w:t>
      </w:r>
    </w:p>
    <w:tbl>
      <w:tblPr>
        <w:tblW w:w="7770" w:type="dxa"/>
        <w:jc w:val="center"/>
        <w:tblInd w:w="0" w:type="dxa"/>
        <w:tblLayout w:type="fixed"/>
        <w:tblCellMar>
          <w:top w:w="28" w:type="dxa"/>
          <w:left w:w="28" w:type="dxa"/>
          <w:bottom w:w="28" w:type="dxa"/>
          <w:right w:w="28" w:type="dxa"/>
        </w:tblCellMar>
      </w:tblPr>
      <w:tblGrid>
        <w:gridCol w:w="868"/>
        <w:gridCol w:w="763"/>
        <w:gridCol w:w="76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subscription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support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recognized $996.9 million and $2.09 billion in revenue that was included in the deferred revenue balance as of December 31, 2025, respectively. During the three and six months ended June 30, 2025, we recognized $876.8 million and $1.85 billion in revenue that was included in the deferred revenue balance as of December 31, 2024,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allocated to remaining performance obligations was $7.73 billion, which was substantially comprised of deferred security subscription and technical support services revenue as well as unbilled contract revenue from non-cancellable contracts that will be recognized in future periods. We expect to recognize approximately $3.86 billion as revenue over the next 12 months, $3.08 billion in years two and three, and the remainder thereafter.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Deferred Contract Costs</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deferred contract costs, primarily consisting of sales commissions earned by our sales force, was $96.7 million and $82.0 million during the three months ended June 30, 2026 and 2025, respectively, and $190.9 million and $160.0 million during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FINANCIAL INSTRUMENTS AND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and Long-Term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short-term and long-term investments consisted of available-for-sale investments and marketable equity securities. The following tables summarize our short-term and long-term investments (in millions):</w:t>
      </w:r>
    </w:p>
    <w:p>
      <w:pPr>
        <w:pStyle w:val="TextBody"/>
        <w:bidi w:val="0"/>
        <w:spacing w:lineRule="auto" w:line="288" w:before="0" w:after="0"/>
        <w:ind w:left="0" w:right="0" w:firstLine="720"/>
        <w:jc w:val="left"/>
        <w:rPr>
          <w:color w:val="000000"/>
        </w:rPr>
      </w:pPr>
      <w:r>
        <w:rPr>
          <w:color w:val="000000"/>
        </w:rPr>
        <w:t> </w:t>
      </w:r>
    </w:p>
    <w:tbl>
      <w:tblPr>
        <w:tblW w:w="8690" w:type="dxa"/>
        <w:jc w:val="center"/>
        <w:tblInd w:w="0" w:type="dxa"/>
        <w:tblLayout w:type="fixed"/>
        <w:tblCellMar>
          <w:top w:w="28" w:type="dxa"/>
          <w:left w:w="28" w:type="dxa"/>
          <w:bottom w:w="28" w:type="dxa"/>
          <w:right w:w="28" w:type="dxa"/>
        </w:tblCellMar>
      </w:tblPr>
      <w:tblGrid>
        <w:gridCol w:w="1316"/>
        <w:gridCol w:w="1155"/>
        <w:gridCol w:w="1159"/>
        <w:gridCol w:w="211"/>
        <w:gridCol w:w="766"/>
        <w:gridCol w:w="109"/>
        <w:gridCol w:w="109"/>
        <w:gridCol w:w="109"/>
        <w:gridCol w:w="109"/>
        <w:gridCol w:w="270"/>
        <w:gridCol w:w="520"/>
        <w:gridCol w:w="141"/>
        <w:gridCol w:w="109"/>
        <w:gridCol w:w="109"/>
        <w:gridCol w:w="109"/>
        <w:gridCol w:w="265"/>
        <w:gridCol w:w="528"/>
        <w:gridCol w:w="138"/>
        <w:gridCol w:w="109"/>
        <w:gridCol w:w="109"/>
        <w:gridCol w:w="109"/>
        <w:gridCol w:w="211"/>
        <w:gridCol w:w="7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short-term and long-term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8690" w:type="dxa"/>
        <w:jc w:val="center"/>
        <w:tblInd w:w="0" w:type="dxa"/>
        <w:tblLayout w:type="fixed"/>
        <w:tblCellMar>
          <w:top w:w="28" w:type="dxa"/>
          <w:left w:w="28" w:type="dxa"/>
          <w:bottom w:w="28" w:type="dxa"/>
          <w:right w:w="28" w:type="dxa"/>
        </w:tblCellMar>
      </w:tblPr>
      <w:tblGrid>
        <w:gridCol w:w="1316"/>
        <w:gridCol w:w="1155"/>
        <w:gridCol w:w="1159"/>
        <w:gridCol w:w="211"/>
        <w:gridCol w:w="766"/>
        <w:gridCol w:w="109"/>
        <w:gridCol w:w="109"/>
        <w:gridCol w:w="109"/>
        <w:gridCol w:w="109"/>
        <w:gridCol w:w="270"/>
        <w:gridCol w:w="520"/>
        <w:gridCol w:w="141"/>
        <w:gridCol w:w="109"/>
        <w:gridCol w:w="109"/>
        <w:gridCol w:w="109"/>
        <w:gridCol w:w="265"/>
        <w:gridCol w:w="528"/>
        <w:gridCol w:w="138"/>
        <w:gridCol w:w="109"/>
        <w:gridCol w:w="109"/>
        <w:gridCol w:w="109"/>
        <w:gridCol w:w="211"/>
        <w:gridCol w:w="7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short-term and long-term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gross unrealized losses and the related fair values of our available-for-sale investments that have been in a continuous unrealized loss position (in millions):</w:t>
      </w:r>
    </w:p>
    <w:tbl>
      <w:tblPr>
        <w:tblW w:w="10205" w:type="dxa"/>
        <w:jc w:val="left"/>
        <w:tblInd w:w="0" w:type="dxa"/>
        <w:tblLayout w:type="fixed"/>
        <w:tblCellMar>
          <w:top w:w="28" w:type="dxa"/>
          <w:left w:w="28" w:type="dxa"/>
          <w:bottom w:w="28" w:type="dxa"/>
          <w:right w:w="28" w:type="dxa"/>
        </w:tblCellMar>
      </w:tblPr>
      <w:tblGrid>
        <w:gridCol w:w="1108"/>
        <w:gridCol w:w="861"/>
        <w:gridCol w:w="863"/>
        <w:gridCol w:w="211"/>
        <w:gridCol w:w="766"/>
        <w:gridCol w:w="109"/>
        <w:gridCol w:w="109"/>
        <w:gridCol w:w="109"/>
        <w:gridCol w:w="109"/>
        <w:gridCol w:w="265"/>
        <w:gridCol w:w="528"/>
        <w:gridCol w:w="138"/>
        <w:gridCol w:w="109"/>
        <w:gridCol w:w="109"/>
        <w:gridCol w:w="109"/>
        <w:gridCol w:w="211"/>
        <w:gridCol w:w="406"/>
        <w:gridCol w:w="109"/>
        <w:gridCol w:w="109"/>
        <w:gridCol w:w="109"/>
        <w:gridCol w:w="109"/>
        <w:gridCol w:w="270"/>
        <w:gridCol w:w="520"/>
        <w:gridCol w:w="141"/>
        <w:gridCol w:w="109"/>
        <w:gridCol w:w="109"/>
        <w:gridCol w:w="109"/>
        <w:gridCol w:w="211"/>
        <w:gridCol w:w="766"/>
        <w:gridCol w:w="109"/>
        <w:gridCol w:w="109"/>
        <w:gridCol w:w="109"/>
        <w:gridCol w:w="109"/>
        <w:gridCol w:w="262"/>
        <w:gridCol w:w="522"/>
        <w:gridCol w:w="194"/>
      </w:tblGrid>
      <w:tr>
        <w:trPr/>
        <w:tc>
          <w:tcPr>
            <w:tcW w:w="11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08"/>
        <w:gridCol w:w="861"/>
        <w:gridCol w:w="863"/>
        <w:gridCol w:w="211"/>
        <w:gridCol w:w="766"/>
        <w:gridCol w:w="109"/>
        <w:gridCol w:w="109"/>
        <w:gridCol w:w="109"/>
        <w:gridCol w:w="109"/>
        <w:gridCol w:w="265"/>
        <w:gridCol w:w="528"/>
        <w:gridCol w:w="138"/>
        <w:gridCol w:w="109"/>
        <w:gridCol w:w="109"/>
        <w:gridCol w:w="109"/>
        <w:gridCol w:w="211"/>
        <w:gridCol w:w="406"/>
        <w:gridCol w:w="109"/>
        <w:gridCol w:w="109"/>
        <w:gridCol w:w="109"/>
        <w:gridCol w:w="109"/>
        <w:gridCol w:w="270"/>
        <w:gridCol w:w="520"/>
        <w:gridCol w:w="141"/>
        <w:gridCol w:w="109"/>
        <w:gridCol w:w="109"/>
        <w:gridCol w:w="109"/>
        <w:gridCol w:w="211"/>
        <w:gridCol w:w="766"/>
        <w:gridCol w:w="109"/>
        <w:gridCol w:w="109"/>
        <w:gridCol w:w="109"/>
        <w:gridCol w:w="109"/>
        <w:gridCol w:w="262"/>
        <w:gridCol w:w="522"/>
        <w:gridCol w:w="194"/>
      </w:tblGrid>
      <w:tr>
        <w:trPr/>
        <w:tc>
          <w:tcPr>
            <w:tcW w:w="11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our available-for-sale investments were (in millions):</w:t>
      </w:r>
    </w:p>
    <w:tbl>
      <w:tblPr>
        <w:tblW w:w="5087" w:type="dxa"/>
        <w:jc w:val="center"/>
        <w:tblInd w:w="0" w:type="dxa"/>
        <w:tblLayout w:type="fixed"/>
        <w:tblCellMar>
          <w:top w:w="28" w:type="dxa"/>
          <w:left w:w="28" w:type="dxa"/>
          <w:bottom w:w="28" w:type="dxa"/>
          <w:right w:w="28" w:type="dxa"/>
        </w:tblCellMar>
      </w:tblPr>
      <w:tblGrid>
        <w:gridCol w:w="902"/>
        <w:gridCol w:w="790"/>
        <w:gridCol w:w="797"/>
        <w:gridCol w:w="211"/>
        <w:gridCol w:w="766"/>
        <w:gridCol w:w="109"/>
        <w:gridCol w:w="109"/>
        <w:gridCol w:w="109"/>
        <w:gridCol w:w="109"/>
        <w:gridCol w:w="221"/>
        <w:gridCol w:w="803"/>
        <w:gridCol w:w="161"/>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to three years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investments are reported at fair value, with unrealized gains and losses and the related tax impact included as a separate component of stockholders’ equity and in comprehensive income. We do not intend to sell any of the securities in an unrealized loss position and it is not more likely than not that we would be required to sell these securities before recovery of their amortized cost basis, which may be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available-for-sale investments were not material in the periods presented.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Gains and losses on our marketable equity securities are recorded in other income—net on the condensed consolidated statements of income. During the first quarter of 2026, we sold certain marketable equity securities for net proceeds of $115.9 million, for which we recognized net gains of $50.7 million during the period. We had no sales of marketable equity securities during the second quarter of 2026 and the six months ended June 30, 2025. During the three and six months ended June 30, 2026, we recognized a $5.1 million and $1.5 million unrealized gain, respectively, related to the changes in the fair value of our marketable equity securities still held at the reporting date. During the three and six months ended June 30, 2025, we recognized an $11.3 million gain and $3.4 million unrealized loss,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Measured at Fair Value on a Recurring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our financial assets measured at fair value on a recurring basis (in millions):</w:t>
      </w:r>
    </w:p>
    <w:tbl>
      <w:tblPr>
        <w:tblW w:w="11373" w:type="dxa"/>
        <w:jc w:val="center"/>
        <w:tblInd w:w="0" w:type="dxa"/>
        <w:tblLayout w:type="fixed"/>
        <w:tblCellMar>
          <w:top w:w="28" w:type="dxa"/>
          <w:left w:w="28" w:type="dxa"/>
          <w:bottom w:w="28" w:type="dxa"/>
          <w:right w:w="28" w:type="dxa"/>
        </w:tblCellMar>
      </w:tblPr>
      <w:tblGrid>
        <w:gridCol w:w="431"/>
        <w:gridCol w:w="339"/>
        <w:gridCol w:w="341"/>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70"/>
        <w:gridCol w:w="520"/>
        <w:gridCol w:w="141"/>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67"/>
        <w:gridCol w:w="513"/>
        <w:gridCol w:w="196"/>
      </w:tblGrid>
      <w:tr>
        <w:trPr/>
        <w:tc>
          <w:tcPr>
            <w:tcW w:w="4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Quoted</w:t>
              <w:br/>
              <w:t>Prices in</w:t>
              <w:br/>
              <w:t>Active</w:t>
              <w:br/>
              <w:t>Markets For</w:t>
              <w:br/>
              <w:t>Identical</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Observable</w:t>
              <w:br/>
              <w:t>Remaining</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Unobservable</w:t>
              <w:br/>
              <w:t>Remaining</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Quoted</w:t>
              <w:br/>
              <w:t>Prices in</w:t>
              <w:br/>
              <w:t>Active</w:t>
              <w:br/>
              <w:t>Markets For</w:t>
              <w:br/>
              <w:t>Identical</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Observable</w:t>
              <w:br/>
              <w:t>Remaining</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Unobservable</w:t>
              <w:br/>
              <w:t>Remaining</w:t>
              <w:br/>
              <w:t>Inputs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investments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of the fair value hierarchy during the six months ended June 30, 2026 and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net of reserves, consisted of (in millions):</w:t>
      </w:r>
    </w:p>
    <w:tbl>
      <w:tblPr>
        <w:tblW w:w="3873" w:type="dxa"/>
        <w:jc w:val="center"/>
        <w:tblInd w:w="0" w:type="dxa"/>
        <w:tblLayout w:type="fixed"/>
        <w:tblCellMar>
          <w:top w:w="28" w:type="dxa"/>
          <w:left w:w="28" w:type="dxa"/>
          <w:bottom w:w="28" w:type="dxa"/>
          <w:right w:w="28" w:type="dxa"/>
        </w:tblCellMar>
      </w:tblPr>
      <w:tblGrid>
        <w:gridCol w:w="516"/>
        <w:gridCol w:w="453"/>
        <w:gridCol w:w="456"/>
        <w:gridCol w:w="211"/>
        <w:gridCol w:w="616"/>
        <w:gridCol w:w="109"/>
        <w:gridCol w:w="109"/>
        <w:gridCol w:w="109"/>
        <w:gridCol w:w="109"/>
        <w:gridCol w:w="255"/>
        <w:gridCol w:w="744"/>
        <w:gridCol w:w="18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and obsolete inventory reserve was $122.8 million and $137.5 million as of June 30, 2026 and December 31, 2025, respectively. Inventory write-downs related to excess and obsolete inventory were not material during the three and six months ended June 30, 2026 and 2025. These were recorded in cost of product revenue on the condensed consolidated statements of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PROPERTY AND EQUIPMENT—Net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equipment—net consisted of (in millions):</w:t>
      </w:r>
    </w:p>
    <w:p>
      <w:pPr>
        <w:pStyle w:val="TextBody"/>
        <w:bidi w:val="0"/>
        <w:spacing w:lineRule="auto" w:line="288" w:before="0" w:after="0"/>
        <w:jc w:val="left"/>
        <w:rPr>
          <w:color w:val="000000"/>
        </w:rPr>
      </w:pPr>
      <w:r>
        <w:rPr>
          <w:color w:val="000000"/>
        </w:rPr>
        <w:t> </w:t>
      </w:r>
    </w:p>
    <w:tbl>
      <w:tblPr>
        <w:tblW w:w="5508" w:type="dxa"/>
        <w:jc w:val="center"/>
        <w:tblInd w:w="0" w:type="dxa"/>
        <w:tblLayout w:type="fixed"/>
        <w:tblCellMar>
          <w:top w:w="28" w:type="dxa"/>
          <w:left w:w="28" w:type="dxa"/>
          <w:bottom w:w="28" w:type="dxa"/>
          <w:right w:w="28" w:type="dxa"/>
        </w:tblCellMar>
      </w:tblPr>
      <w:tblGrid>
        <w:gridCol w:w="1054"/>
        <w:gridCol w:w="923"/>
        <w:gridCol w:w="933"/>
        <w:gridCol w:w="211"/>
        <w:gridCol w:w="766"/>
        <w:gridCol w:w="109"/>
        <w:gridCol w:w="109"/>
        <w:gridCol w:w="109"/>
        <w:gridCol w:w="109"/>
        <w:gridCol w:w="221"/>
        <w:gridCol w:w="803"/>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Evaluation units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purchased certain real estate property in the United States totaling $62.1 million, to be used for future development to expand our data center and office space. The purchase was accounted for under the asset acquisition method, with $59.5 million allocated to land and $2.6 million allocated to buildings and improvements, based on their relative fair values.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was $31.5 million and $25.1 million during the three months ended June 30, 2026 and 2025, respectively. Depreciation expense was $61.0 million and $49.1 million during the six months ended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BUSINESS COMBINATIONS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Linksys Holdings, Inc.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In 2021, we invested $160.0 million in cash for shares of the Series A Preferred Stock of Linksys for a 50.8% ownership interest in the outstanding equity of Linksys. On January 31, 2025 (</w:t>
      </w:r>
      <w:r>
        <w:rPr>
          <w:color w:val="000000"/>
        </w:rPr>
        <w:t>“</w:t>
      </w:r>
      <w:r>
        <w:rPr>
          <w:rFonts w:ascii="Times New Roman;serif" w:hAnsi="Times New Roman;serif"/>
          <w:b w:val="false"/>
          <w:color w:val="000000"/>
          <w:sz w:val="20"/>
          <w:shd w:fill="FFFFFF" w:val="clear"/>
        </w:rPr>
        <w:t>Linksys Acquisition Date</w:t>
      </w:r>
      <w:r>
        <w:rPr>
          <w:color w:val="000000"/>
        </w:rPr>
        <w:t>”</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 we acquired all of the remaining outstanding Series A Preferred Stock of Linksys for $20.8 million in cash and now own 100% of the outstanding equity of Linksys. Our pre-existing equity method investment in Linksys of </w:t>
      </w:r>
      <w:r>
        <w:rPr>
          <w:rFonts w:ascii="Times New Roman;serif" w:hAnsi="Times New Roman;serif"/>
          <w:b w:val="false"/>
          <w:color w:val="000000"/>
          <w:sz w:val="20"/>
        </w:rPr>
        <w:t>50.8% ownership interest</w:t>
      </w:r>
      <w:r>
        <w:rPr>
          <w:color w:val="000000"/>
          <w:shd w:fill="FFFFFF" w:val="clear"/>
        </w:rPr>
        <w:t xml:space="preserve"> </w:t>
      </w:r>
      <w:r>
        <w:rPr>
          <w:rFonts w:ascii="Times New Roman;serif" w:hAnsi="Times New Roman;serif"/>
          <w:b w:val="false"/>
          <w:color w:val="000000"/>
          <w:sz w:val="20"/>
          <w:shd w:fill="FFFFFF" w:val="clear"/>
        </w:rPr>
        <w:t>was remeasured to the fair value of $21.5 million at the Linksys Acquisition Date, which resulted in a $10.8 million gain</w:t>
      </w:r>
      <w:r>
        <w:rPr>
          <w:color w:val="000000"/>
        </w:rPr>
        <w:t xml:space="preserve"> </w:t>
      </w:r>
      <w:r>
        <w:rPr>
          <w:rFonts w:ascii="Times New Roman;serif" w:hAnsi="Times New Roman;serif"/>
          <w:b w:val="false"/>
          <w:color w:val="000000"/>
          <w:sz w:val="20"/>
        </w:rPr>
        <w:t>recorded in gain (loss) from equity method investments on the condensed consolidated statements of income. Therefore, the aggregate purchase consideration for Linksys’ equity equaling the fair value of the previously owned stock and the purchase price for the remaining stock acquired was $42.3 million.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 xml:space="preserve">This acquisition was accounted for as a business combination using the acquisition method of accounting. Of the aggregate purchase price, $17.5 million was allocated to identifiable intangible assets acquired, and $64.7 million was allocated to other net assets acquired which predominantly included deferred tax asset of $45.8 million, inventory of $21.4 million, and cash of $8.8 million, offset by </w:t>
      </w:r>
      <w:r>
        <w:rPr>
          <w:rFonts w:ascii="Times New Roman;serif" w:hAnsi="Times New Roman;serif"/>
          <w:b w:val="false"/>
          <w:color w:val="000000"/>
          <w:sz w:val="20"/>
        </w:rPr>
        <w:t>$11.3 million</w:t>
      </w:r>
      <w:r>
        <w:rPr>
          <w:color w:val="000000"/>
          <w:shd w:fill="FFFFFF" w:val="clear"/>
        </w:rPr>
        <w:t xml:space="preserve"> </w:t>
      </w:r>
      <w:r>
        <w:rPr>
          <w:rFonts w:ascii="Times New Roman;serif" w:hAnsi="Times New Roman;serif"/>
          <w:b w:val="false"/>
          <w:color w:val="000000"/>
          <w:sz w:val="20"/>
          <w:shd w:fill="FFFFFF" w:val="clear"/>
        </w:rPr>
        <w:t>of net other assets and liabilities assumed. The excess of the fair values of the net assets acquired over the net purchase consideration was recorded as a gain on bargain purchase of $39.9 million within other income</w:t>
      </w:r>
      <w:r>
        <w:rPr>
          <w:color w:val="000000"/>
        </w:rPr>
        <w:t>—</w:t>
      </w:r>
      <w:r>
        <w:rPr>
          <w:rFonts w:ascii="Times New Roman;serif" w:hAnsi="Times New Roman;serif"/>
          <w:b w:val="false"/>
          <w:color w:val="000000"/>
          <w:sz w:val="20"/>
          <w:shd w:fill="FFFFFF" w:val="clear"/>
        </w:rPr>
        <w:t xml:space="preserve">net on the </w:t>
      </w:r>
      <w:r>
        <w:rPr>
          <w:rFonts w:ascii="Times New Roman;serif" w:hAnsi="Times New Roman;serif"/>
          <w:b w:val="false"/>
          <w:color w:val="000000"/>
          <w:sz w:val="20"/>
        </w:rPr>
        <w:t xml:space="preserve">condensed </w:t>
      </w:r>
      <w:r>
        <w:rPr>
          <w:rFonts w:ascii="Times New Roman;serif" w:hAnsi="Times New Roman;serif"/>
          <w:b w:val="false"/>
          <w:color w:val="000000"/>
          <w:sz w:val="20"/>
          <w:shd w:fill="FFFFFF" w:val="clear"/>
        </w:rPr>
        <w:t xml:space="preserve">consolidated statements of income. The gain on bargain purchase occurred primarily due to the recognition of the deferred tax assets, which were comprised primarily of pre-acquisition federal net operating loss carryforwards with an indefinite carryforward period. In addition, we had previously recorded a deferred tax asset of $30.6 million for an outside basis difference in our investment in Linksys when it was accounted for under the equity method. As a result of the acquisition of the remaining shares, we now account for our investment in Linksys under the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method, and therefore we have derecognized this deferred tax asset. The charge is included in the provision for income taxes on the condensed consolidated statements of income. Acquisition-related costs related to this acquisition were not material and were recorded as general and administrative expenses.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2025</w:t>
      </w:r>
      <w:r>
        <w:rPr>
          <w:rFonts w:ascii="Times New Roman;serif" w:hAnsi="Times New Roman;serif"/>
          <w:b w:val="false"/>
          <w:color w:val="000000"/>
          <w:sz w:val="20"/>
          <w:shd w:fill="FFFFFF" w:val="clear"/>
        </w:rPr>
        <w:t>, we completed other acquisitions for total purchase consideration of $38.3 million in cash. We have accounted for the transactions as business combinations and recorded goodwill of $21.9 million, among which $8.6 million of goodwill is expected to be deductible and $13.3 million of goodwill is not deductible for income tax purposes. Acquisition-related costs were not material and were recorded as general and administrative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Additional acquisition-related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The operating results of the acquired companies are included in our </w:t>
      </w:r>
      <w:r>
        <w:rPr>
          <w:rFonts w:ascii="Times New Roman;serif" w:hAnsi="Times New Roman;serif"/>
          <w:b w:val="false"/>
          <w:color w:val="000000"/>
          <w:sz w:val="20"/>
        </w:rPr>
        <w:t>condensed</w:t>
      </w:r>
      <w:r>
        <w:rPr>
          <w:color w:val="000000"/>
          <w:shd w:fill="FFFFFF" w:val="clear"/>
        </w:rPr>
        <w:t xml:space="preserve"> </w:t>
      </w:r>
      <w:r>
        <w:rPr>
          <w:rFonts w:ascii="Times New Roman;serif" w:hAnsi="Times New Roman;serif"/>
          <w:b w:val="false"/>
          <w:color w:val="000000"/>
          <w:sz w:val="20"/>
          <w:shd w:fill="FFFFFF" w:val="clear"/>
        </w:rPr>
        <w:t xml:space="preserve">consolidated statements of income from the respective dates of acquisition. Acquisition-related costs related to each acquisition were not material. The operating results of the acquired companies were not material in the period presented. Pro forma information has not been presented, as the impact of these acquisitions, individually and in the aggregate, in each period was not material to our </w:t>
      </w:r>
      <w:r>
        <w:rPr>
          <w:rFonts w:ascii="Times New Roman;serif" w:hAnsi="Times New Roman;serif"/>
          <w:b w:val="false"/>
          <w:color w:val="000000"/>
          <w:sz w:val="20"/>
        </w:rPr>
        <w:t xml:space="preserve">condensed </w:t>
      </w:r>
      <w:r>
        <w:rPr>
          <w:rFonts w:ascii="Times New Roman;serif" w:hAnsi="Times New Roman;serif"/>
          <w:b w:val="false"/>
          <w:color w:val="000000"/>
          <w:sz w:val="20"/>
          <w:shd w:fill="FFFFFF" w:val="clear"/>
        </w:rPr>
        <w:t>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GOODWILL AND OTHER INTANGIBLE ASSETS—Net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goodwill of $257.4 million. There were no impairments to goodwill during the six months ended June 30, 2026 or during prior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other intangible assets—net (in millions, except years):</w:t>
      </w:r>
    </w:p>
    <w:tbl>
      <w:tblPr>
        <w:tblW w:w="10205" w:type="dxa"/>
        <w:jc w:val="center"/>
        <w:tblInd w:w="0" w:type="dxa"/>
        <w:tblLayout w:type="fixed"/>
        <w:tblCellMar>
          <w:top w:w="28" w:type="dxa"/>
          <w:left w:w="28" w:type="dxa"/>
          <w:bottom w:w="28" w:type="dxa"/>
          <w:right w:w="28" w:type="dxa"/>
        </w:tblCellMar>
      </w:tblPr>
      <w:tblGrid>
        <w:gridCol w:w="944"/>
        <w:gridCol w:w="794"/>
        <w:gridCol w:w="795"/>
        <w:gridCol w:w="964"/>
        <w:gridCol w:w="964"/>
        <w:gridCol w:w="966"/>
        <w:gridCol w:w="109"/>
        <w:gridCol w:w="109"/>
        <w:gridCol w:w="109"/>
        <w:gridCol w:w="211"/>
        <w:gridCol w:w="616"/>
        <w:gridCol w:w="109"/>
        <w:gridCol w:w="109"/>
        <w:gridCol w:w="109"/>
        <w:gridCol w:w="109"/>
        <w:gridCol w:w="445"/>
        <w:gridCol w:w="1304"/>
        <w:gridCol w:w="231"/>
        <w:gridCol w:w="109"/>
        <w:gridCol w:w="109"/>
        <w:gridCol w:w="109"/>
        <w:gridCol w:w="211"/>
        <w:gridCol w:w="511"/>
        <w:gridCol w:w="159"/>
      </w:tblGrid>
      <w:tr>
        <w:trPr/>
        <w:tc>
          <w:tcPr>
            <w:tcW w:w="9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assets—net</w:t>
            </w:r>
          </w:p>
        </w:tc>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4"/>
        <w:gridCol w:w="794"/>
        <w:gridCol w:w="795"/>
        <w:gridCol w:w="964"/>
        <w:gridCol w:w="964"/>
        <w:gridCol w:w="966"/>
        <w:gridCol w:w="109"/>
        <w:gridCol w:w="109"/>
        <w:gridCol w:w="109"/>
        <w:gridCol w:w="211"/>
        <w:gridCol w:w="616"/>
        <w:gridCol w:w="109"/>
        <w:gridCol w:w="109"/>
        <w:gridCol w:w="109"/>
        <w:gridCol w:w="109"/>
        <w:gridCol w:w="445"/>
        <w:gridCol w:w="1304"/>
        <w:gridCol w:w="231"/>
        <w:gridCol w:w="109"/>
        <w:gridCol w:w="109"/>
        <w:gridCol w:w="109"/>
        <w:gridCol w:w="211"/>
        <w:gridCol w:w="511"/>
        <w:gridCol w:w="159"/>
      </w:tblGrid>
      <w:tr>
        <w:trPr/>
        <w:tc>
          <w:tcPr>
            <w:tcW w:w="9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assets—net</w:t>
            </w:r>
          </w:p>
        </w:tc>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expense was $9.9 million and $13.2 million during the three months ended June 30, 2026 and 2025, respectively. Amortization expense was $20.2 million and $25.0 million during the six months ended June 30, 2026 and 2025,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estimated future amortization expense of finite-lived intangible assets—net (in millions):</w:t>
      </w:r>
    </w:p>
    <w:tbl>
      <w:tblPr>
        <w:tblW w:w="3366" w:type="dxa"/>
        <w:jc w:val="center"/>
        <w:tblInd w:w="0" w:type="dxa"/>
        <w:tblLayout w:type="fixed"/>
        <w:tblCellMar>
          <w:top w:w="28" w:type="dxa"/>
          <w:left w:w="28" w:type="dxa"/>
          <w:bottom w:w="28" w:type="dxa"/>
          <w:right w:w="28" w:type="dxa"/>
        </w:tblCellMar>
      </w:tblPr>
      <w:tblGrid>
        <w:gridCol w:w="901"/>
        <w:gridCol w:w="789"/>
        <w:gridCol w:w="800"/>
        <w:gridCol w:w="211"/>
        <w:gridCol w:w="51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(the remainder of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NET INCOME PER SHARE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income per share is (in millions, except per share amounts):</w:t>
      </w:r>
    </w:p>
    <w:tbl>
      <w:tblPr>
        <w:tblW w:w="10205" w:type="dxa"/>
        <w:jc w:val="center"/>
        <w:tblInd w:w="0" w:type="dxa"/>
        <w:tblLayout w:type="fixed"/>
        <w:tblCellMar>
          <w:top w:w="28" w:type="dxa"/>
          <w:left w:w="28" w:type="dxa"/>
          <w:bottom w:w="28" w:type="dxa"/>
          <w:right w:w="28" w:type="dxa"/>
        </w:tblCellMar>
      </w:tblPr>
      <w:tblGrid>
        <w:gridCol w:w="1912"/>
        <w:gridCol w:w="1677"/>
        <w:gridCol w:w="1694"/>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6"/>
      </w:tblGrid>
      <w:tr>
        <w:trPr/>
        <w:tc>
          <w:tcPr>
            <w:tcW w:w="191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to compute diluted net income per share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share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weighted-average shares of common stock were excluded from the computation of diluted net income per share for the periods presented, as their effect would have been antidilutive (in millions):</w:t>
      </w:r>
    </w:p>
    <w:tbl>
      <w:tblPr>
        <w:tblW w:w="5708" w:type="dxa"/>
        <w:jc w:val="center"/>
        <w:tblInd w:w="0" w:type="dxa"/>
        <w:tblLayout w:type="fixed"/>
        <w:tblCellMar>
          <w:top w:w="28" w:type="dxa"/>
          <w:left w:w="28" w:type="dxa"/>
          <w:bottom w:w="28" w:type="dxa"/>
          <w:right w:w="28" w:type="dxa"/>
        </w:tblCellMar>
      </w:tblPr>
      <w:tblGrid>
        <w:gridCol w:w="450"/>
        <w:gridCol w:w="394"/>
        <w:gridCol w:w="401"/>
        <w:gridCol w:w="250"/>
        <w:gridCol w:w="250"/>
        <w:gridCol w:w="250"/>
        <w:gridCol w:w="195"/>
        <w:gridCol w:w="195"/>
        <w:gridCol w:w="195"/>
        <w:gridCol w:w="250"/>
        <w:gridCol w:w="250"/>
        <w:gridCol w:w="250"/>
        <w:gridCol w:w="109"/>
        <w:gridCol w:w="109"/>
        <w:gridCol w:w="109"/>
        <w:gridCol w:w="250"/>
        <w:gridCol w:w="250"/>
        <w:gridCol w:w="250"/>
        <w:gridCol w:w="169"/>
        <w:gridCol w:w="169"/>
        <w:gridCol w:w="169"/>
        <w:gridCol w:w="233"/>
        <w:gridCol w:w="233"/>
        <w:gridCol w:w="328"/>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w:t>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2026 and 2031 Senior Notes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5, 2021, we issued $1.0 billion aggregate principal amount of senior notes (collectively, the “Senior Notes”), consisting of $500.0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maturity on March 15, 2026, we repaid the full $500.0 million aggregate principal amount of the 2026 Senior Notes.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redeem the 2031 Senior Notes at any time in whole or in part for cash, at specified redemption prices that include accrued and unpaid interest, if any, and a make-whole premium. However, no make-whole premium will be paid for redemptions of the 2031 Senior Notes on or after December 15, 2030. Interest on the Senior Notes is payable on March 15 and September 15 of each year, beginning on September 15, 2021. The Senior Notes were recorded net of discount and issuance costs, which are amortized to interest expense over the respective contractual terms of these notes using the effective interest method.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outstanding debt is summarized below (in millions, except percentages):</w:t>
      </w:r>
    </w:p>
    <w:tbl>
      <w:tblPr>
        <w:tblW w:w="10205" w:type="dxa"/>
        <w:jc w:val="left"/>
        <w:tblInd w:w="0" w:type="dxa"/>
        <w:tblLayout w:type="fixed"/>
        <w:tblCellMar>
          <w:top w:w="28" w:type="dxa"/>
          <w:left w:w="28" w:type="dxa"/>
          <w:bottom w:w="28" w:type="dxa"/>
          <w:right w:w="28" w:type="dxa"/>
        </w:tblCellMar>
      </w:tblPr>
      <w:tblGrid>
        <w:gridCol w:w="1255"/>
        <w:gridCol w:w="1016"/>
        <w:gridCol w:w="1042"/>
        <w:gridCol w:w="334"/>
        <w:gridCol w:w="334"/>
        <w:gridCol w:w="336"/>
        <w:gridCol w:w="109"/>
        <w:gridCol w:w="109"/>
        <w:gridCol w:w="109"/>
        <w:gridCol w:w="338"/>
        <w:gridCol w:w="338"/>
        <w:gridCol w:w="340"/>
        <w:gridCol w:w="109"/>
        <w:gridCol w:w="109"/>
        <w:gridCol w:w="109"/>
        <w:gridCol w:w="499"/>
        <w:gridCol w:w="499"/>
        <w:gridCol w:w="501"/>
        <w:gridCol w:w="109"/>
        <w:gridCol w:w="109"/>
        <w:gridCol w:w="109"/>
        <w:gridCol w:w="211"/>
        <w:gridCol w:w="616"/>
        <w:gridCol w:w="109"/>
        <w:gridCol w:w="109"/>
        <w:gridCol w:w="109"/>
        <w:gridCol w:w="109"/>
        <w:gridCol w:w="241"/>
        <w:gridCol w:w="705"/>
        <w:gridCol w:w="183"/>
      </w:tblGrid>
      <w:tr>
        <w:trPr/>
        <w:tc>
          <w:tcPr>
            <w:tcW w:w="12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Coupon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Senior Notes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debt issuance costs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accrued interest payable of $3.2 million and $4.7 million, respectively, and there are no financial covenants with which we must comply. During the three months ended June 30, 2026 and 2025, we recorded $2.9 million and $4.5 million of total interest expense in relation to these Senior Notes, respectively. During the six months ended June 30, 2026 and 2025, we recorded $7.1 million and $9.0 million of total interest expense in relation to these Senior Notes, respectively. No interest costs were capitalized for the six months ended June 30, 2026 and 2025, as the costs that qualified for capitalization were not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estimated fair value of the outstanding 2031 Senior Notes was approximately $449.5 million, including accrued and unpaid interest, as of June 30, 2026. The fair value was determined based on observable market prices of identical instruments in less active markets. The estimated fair values are based on Level 2 inputs.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inventory purchase commitments as of June 30, 2026 (in millions):</w:t>
      </w:r>
    </w:p>
    <w:tbl>
      <w:tblPr>
        <w:tblW w:w="6626" w:type="dxa"/>
        <w:jc w:val="left"/>
        <w:tblInd w:w="0" w:type="dxa"/>
        <w:tblLayout w:type="fixed"/>
        <w:tblCellMar>
          <w:top w:w="28" w:type="dxa"/>
          <w:left w:w="28" w:type="dxa"/>
          <w:bottom w:w="28" w:type="dxa"/>
          <w:right w:w="28" w:type="dxa"/>
        </w:tblCellMar>
      </w:tblPr>
      <w:tblGrid>
        <w:gridCol w:w="1020"/>
        <w:gridCol w:w="897"/>
        <w:gridCol w:w="902"/>
        <w:gridCol w:w="211"/>
        <w:gridCol w:w="766"/>
        <w:gridCol w:w="109"/>
        <w:gridCol w:w="109"/>
        <w:gridCol w:w="109"/>
        <w:gridCol w:w="109"/>
        <w:gridCol w:w="211"/>
        <w:gridCol w:w="766"/>
        <w:gridCol w:w="109"/>
        <w:gridCol w:w="109"/>
        <w:gridCol w:w="109"/>
        <w:gridCol w:w="109"/>
        <w:gridCol w:w="211"/>
        <w:gridCol w:w="61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 commitments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color w:val="000000"/>
          <w:sz w:val="20"/>
        </w:rPr>
        <w:t>Inventory Purchase Commitments</w:t>
      </w:r>
      <w:r>
        <w:rPr>
          <w:color w:val="000000"/>
        </w:rPr>
        <w:t>—</w:t>
      </w:r>
      <w:r>
        <w:rPr>
          <w:rFonts w:ascii="Times New Roman;serif" w:hAnsi="Times New Roman;serif"/>
          <w:b w:val="false"/>
          <w:color w:val="000000"/>
          <w:sz w:val="20"/>
        </w:rPr>
        <w:t xml:space="preserve">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$1.67 billion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June 30, 2026 and December 31, 2025, the liability for these inventory purchase commitments was $24.0 million and $26.7 million, respectively, and was recorded in accrued liabilities on our condensed consolidated balance sheets. The expense related to such accrued liability for inventory purchase commitments is recorded in cost of product revenue on the condensed consolidated statements of income. The expense related to such accrued liability for inventory purchase commitments was not material during the three and six months ended June 30, 2026 and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Other Contractual Commitments and Open Purchase Orders</w:t>
      </w:r>
      <w:r>
        <w:rPr>
          <w:color w:val="000000"/>
        </w:rPr>
        <w:t>—</w:t>
      </w:r>
      <w:r>
        <w:rPr>
          <w:rFonts w:ascii="Times New Roman;serif" w:hAnsi="Times New Roman;serif"/>
          <w:b w:val="false"/>
          <w:color w:val="000000"/>
          <w:sz w:val="20"/>
        </w:rPr>
        <w:t xml:space="preserve">In addition to commitments with contract manufacturers, we have open purchase orders and contractual obligations in the ordinary course of business for which we have not received goods or services. A significant portion of our reported purchase commitments consists of non-cancelable commitments. In certain instances, contractual commitments allow us the option to cancel, reschedule and adjust our requirements based on our business needs prior to firm orders being placed. As of June 30, 2026, we had $110.9 million in other contractual commitments having a remaining term in excess of one year that are non-cancelable.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$64.5 million in contractual commitments related to payments for operating leases.</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Litigation</w:t>
      </w:r>
      <w:r>
        <w:rPr>
          <w:color w:val="000000"/>
        </w:rPr>
        <w:t>—</w:t>
      </w:r>
      <w:r>
        <w:rPr>
          <w:rFonts w:ascii="Times New Roman;serif" w:hAnsi="Times New Roman;serif"/>
          <w:b w:val="false"/>
          <w:color w:val="000000"/>
          <w:sz w:val="20"/>
        </w:rPr>
        <w:t>We are subject to legal proceedings arising in the ordinary course of business. We record accruals for litigation contingencies when a loss is probable and reasonably estimable, based on management’s assessment of the expected outcome and currently available information. As of June 30, 2026 and December 31, 2025, litigation loss contingency accruals associated with outstanding matters were not material.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22, 2025, a securities class action was filed against us, our chief executive officer, our chief technology officer, our current chief financial officer and our former chief financial officer in the United States District Court, Northern District of California, captioned Oklahoma Firefighters Pension and Retirement System v. Fortinet, Inc., et al., Case No. 3:25-cv-08037. On October 16, 2025, a securities class action was filed against us, our chief executive officer, our current chief financial officer and our former chief financial officer in the same court, captioned State of Rhode Island Office of the General Treasurer v. Fortinet, Inc., et al., Case No. 3:25-cv-08888. These suits are brought on behalf of an alleged class of stockholders who purchased or acquired shares of our common stock from November 8, 2024 through August 6, 2025. The complaints allege that defendants made false or misleading statements about our business, operations and prospects, including regarding the 2026 firewall refresh cycle, and purport to assert claims under Sections 10(b) and 20(a) of the Exchange Act. The court subsequently consolidated these actions under a new caption, In re Fortinet, Inc. Securities Litigation, Lead Case No. 3:25-cv-08037 (the “Consolidated Securities Class Action”), and appointed a lead plaintiff and lead counsel. A consolidated amended complaint was filed on April 24, 2026, which asserts claims under Section 10(b), 20(a) and 20A of the Exchange Act against our chief executive officer, our chief technology officer, our current chief financial officer, and our former chief financial officer relating to the same events and circumstances alleged in the initial complaints, and adds a Section 10(b) claim against our head of investor relations. The Consolidated Securities Class Action seeks damages, attorneys’ fees and costs, and other relief that the court may deem appropriate. Defendants filed a motion to dismiss the consolidated amended complaint on June 15, 2026. We believe the Consolidated Securities Class Action is without merit and intend to defend the suit vigorously. Based on the preliminary nature of the proceedings in the Consolidated Securities Class Action, the outcome of that matter remains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 we cannot estimate the potential impact, if any, on our business or financial statements at this time. Accordingly, no loss accrual was recorded as of June 30, 2026 related to this litigation.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8, 2025, Plaintiff Jack Pittrof filed a stockholder derivative complaint against us as a nominal defendant and certain of our current and former directors and officers in the United States District Court for the Northern District of California, captioned Pittrof v. Xie, et al., Case No. 3:2025-cv-08592 (“Pittrof”). The complaint alleges claims based on events similar to those in the securities class action and asserts causes of action against the individual defendants for breach of fiduciary duty, aiding and abetting breach of fiduciary duty, unjust enrichment, waste of corporate assets, and for violations of Section 10(b) of the Exchange Act. On November 5, 2025, Plaintiff Michael J. Marrinan filed a stockholder derivative complaint against us as a nominal defendant and certain of our current and former directors and officers in the United States District Court for the Northern District of California, captioned Marrinan v. Xie, et al., Case No. 3:25-cv-09546 (“Marrinan”). The complaint alleges claims based on events similar to those in the securities class action and asserts causes of action against the individual defendants for breach of fiduciary duty, unjust enrichment, insider trading, gross mismanagement, waste of corporate assets, violations of California Corporations Code §§ 24400, 25500, et seq., and violations of Section 10(b) of the Exchange Act. On November 6, 2025, Plaintiff Bryan Foster filed a stockholder derivative complaint against us as a nominal defendant and certain of our current and former directors and officers in the United States District Court for the Northern District of California, captioned Foster v. Xie, et al., Case No. 3:25-cv-09611 (“Foster”). The complaint alleges claims based on events similar to those in the securities class action and asserts causes of action against the individual defendants for breach of fiduciary duty, unjust enrichment, abuse of control, gross mismanagement, waste of corporate assets, for violations of Section 10(b), 14(a), and 20(a) of the Exchange Act, and for contribution under Section 21D of the Exchange Act. On December 2, 2025, Plaintiff LR Trust filed a stockholder derivative complaint against us as a nominal defendant and certain of our current and former directors and officers in the United States District Court for the Northern District of California, captioned LR Trust v. Xie, et al., Case No. 3:25-cv-10350 (“LR Trust,” together with Pittrof, Marrinan, and Foster, the “Derivative Actions”). The complaint alleges claims based on events similar to those in the securities class action and asserts causes of action against the individual defendants for breach of fiduciary duty, unjust enrichment, insider trading, aiding and abetting, violations of Sections 10(b) and 14(a) of the Exchange Act, and for contribution under Section 21D of the Exchange Act. On behalf of the Company, the Derivative Actions seek damages, disgorgement, remedial actions, restitution, and attorneys’ fees and costs. The Derivative Actions have been consolidated under a new caption, In re Fortinet, Inc. Stockholder Derivative Litigation, Lead Case No. 3:2025-cv-08592 (the “Consolidated Derivative Action”). On April 2, 2026, the Court stayed all proceedings in the Consolidated Derivative Action pending the final resolution of the Consolidated Securities Class Action.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June 30, 2026 or December 31, 2025 related to this litigation.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Indemnification and Other Matters</w:t>
      </w:r>
      <w:r>
        <w:rPr>
          <w:color w:val="000000"/>
        </w:rPr>
        <w:t>—</w:t>
      </w:r>
      <w:r>
        <w:rPr>
          <w:rFonts w:ascii="Times New Roman;serif" w:hAnsi="Times New Roman;serif"/>
          <w:b w:val="false"/>
          <w:color w:val="000000"/>
          <w:sz w:val="20"/>
        </w:rPr>
        <w:t>We enter into indemnification provisions in the ordinary course of business with other companies such as 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Intellectual Property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claims or proceedings related to these types of matters that we believe are likely to have a material adverse effect on our financial position,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EQUITY PLANS AND 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the Amended and Restated Fortinet, Inc. 2009 Equity Incentive Plan (the “Amended Plan”) pursuant to which we have granted RSUs, stock options and PSUs. As of June 30, 2026, there were a total of 45.4 million shares of common stock available for grant under the Amended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 and Market/Performance-Based PSUs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and related information for RSUs for the periods presented below (in millions, except per share amounts):</w:t>
      </w:r>
    </w:p>
    <w:tbl>
      <w:tblPr>
        <w:tblW w:w="8713" w:type="dxa"/>
        <w:jc w:val="center"/>
        <w:tblInd w:w="0" w:type="dxa"/>
        <w:tblLayout w:type="fixed"/>
        <w:tblCellMar>
          <w:top w:w="28" w:type="dxa"/>
          <w:left w:w="28" w:type="dxa"/>
          <w:bottom w:w="28" w:type="dxa"/>
          <w:right w:w="28" w:type="dxa"/>
        </w:tblCellMar>
      </w:tblPr>
      <w:tblGrid>
        <w:gridCol w:w="922"/>
        <w:gridCol w:w="812"/>
        <w:gridCol w:w="815"/>
        <w:gridCol w:w="504"/>
        <w:gridCol w:w="504"/>
        <w:gridCol w:w="506"/>
        <w:gridCol w:w="155"/>
        <w:gridCol w:w="155"/>
        <w:gridCol w:w="155"/>
        <w:gridCol w:w="897"/>
        <w:gridCol w:w="2624"/>
        <w:gridCol w:w="66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4" w:type="dxa"/>
            <w:gridSpan w:val="9"/>
            <w:tcBorders/>
            <w:tcMar>
              <w:top w:w="0" w:type="dxa"/>
              <w:left w:w="0" w:type="dxa"/>
              <w:bottom w:w="0" w:type="dxa"/>
              <w:right w:w="0" w:type="dxa"/>
            </w:tcMar>
            <w:vAlign w:val="center"/>
          </w:tcPr>
          <w:p>
            <w:pPr>
              <w:pStyle w:val="TableContents"/>
              <w:bidi w:val="0"/>
              <w:spacing w:lineRule="auto" w:line="26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RSUs Outstanding</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Grant Date Fair Value per Share </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10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grant RSUs under the Amended Plan to employees and non-employees. Subject to certain exceptions, RSUs vest generally over four years subject to continued service.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grant market/performance-based PSUs under the Amended Plan to certain of our executives. Based on the achievement of the market/performance-based vesting conditions during the applicable performance period for such PSUs,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granted approximately 0.1 million shares of PSU awards to certain of our executives, with a weighted-average grant date fair value of $103.01. The grant date fair value of these awards was determined using a Monte Carlo simulation pricing model. The following table summarizes the weighted-average assumptions relating to our PSUs:</w:t>
      </w:r>
    </w:p>
    <w:tbl>
      <w:tblPr>
        <w:tblW w:w="6876" w:type="dxa"/>
        <w:jc w:val="left"/>
        <w:tblInd w:w="0" w:type="dxa"/>
        <w:tblLayout w:type="fixed"/>
        <w:tblCellMar>
          <w:top w:w="28" w:type="dxa"/>
          <w:left w:w="28" w:type="dxa"/>
          <w:bottom w:w="28" w:type="dxa"/>
          <w:right w:w="28" w:type="dxa"/>
        </w:tblCellMar>
      </w:tblPr>
      <w:tblGrid>
        <w:gridCol w:w="712"/>
        <w:gridCol w:w="625"/>
        <w:gridCol w:w="627"/>
        <w:gridCol w:w="255"/>
        <w:gridCol w:w="256"/>
        <w:gridCol w:w="416"/>
        <w:gridCol w:w="146"/>
        <w:gridCol w:w="146"/>
        <w:gridCol w:w="146"/>
        <w:gridCol w:w="255"/>
        <w:gridCol w:w="256"/>
        <w:gridCol w:w="416"/>
        <w:gridCol w:w="109"/>
        <w:gridCol w:w="109"/>
        <w:gridCol w:w="109"/>
        <w:gridCol w:w="255"/>
        <w:gridCol w:w="256"/>
        <w:gridCol w:w="416"/>
        <w:gridCol w:w="128"/>
        <w:gridCol w:w="128"/>
        <w:gridCol w:w="128"/>
        <w:gridCol w:w="255"/>
        <w:gridCol w:w="256"/>
        <w:gridCol w:w="47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Approximately 0.1 million shares of PSUs were vested and less than 0.1 million shares of PSUs were forfeited during the six months ended June 30,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compensation expense is recognized on a straight-line basis over the vesting period of each RSU while compensation expense for PSUs is recognized on a graded vesting method. As of June 30, 2026, total compensation expense related to unvested RSUs and PSUs that were granted to employees, non-employees and certain executives, but not yet recognized, was $659.8 million, with a weighted-average vesting period of 2.9 years, and $25.1 million, with a weighted-average vesting period of 2.1 years,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RSUs and PSUs settle into shares of common stock upon vesting. Upon the vesting of the RSUs and PSUs, we net-settle the RSUs and PSUs and withhold a portion of the shares to satisfy employee withholding tax requirements. The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withheld taxes to the tax authorities is reflected as a financing activity within the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number and value of the shares withheld for employee taxes (in millions):</w:t>
      </w:r>
    </w:p>
    <w:tbl>
      <w:tblPr>
        <w:tblW w:w="6629" w:type="dxa"/>
        <w:jc w:val="center"/>
        <w:tblInd w:w="0" w:type="dxa"/>
        <w:tblLayout w:type="fixed"/>
        <w:tblCellMar>
          <w:top w:w="28" w:type="dxa"/>
          <w:left w:w="28" w:type="dxa"/>
          <w:bottom w:w="28" w:type="dxa"/>
          <w:right w:w="28" w:type="dxa"/>
        </w:tblCellMar>
      </w:tblPr>
      <w:tblGrid>
        <w:gridCol w:w="824"/>
        <w:gridCol w:w="726"/>
        <w:gridCol w:w="72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withheld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Employee Stock Options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following table summarizes the weighted-average assumptions relating to our employee stock options:</w:t>
      </w:r>
      <w:r>
        <w:rPr>
          <w:color w:val="000000"/>
        </w:rPr>
        <w:t> </w:t>
      </w:r>
    </w:p>
    <w:tbl>
      <w:tblPr>
        <w:tblW w:w="6876" w:type="dxa"/>
        <w:jc w:val="center"/>
        <w:tblInd w:w="0" w:type="dxa"/>
        <w:tblLayout w:type="fixed"/>
        <w:tblCellMar>
          <w:top w:w="28" w:type="dxa"/>
          <w:left w:w="28" w:type="dxa"/>
          <w:bottom w:w="28" w:type="dxa"/>
          <w:right w:w="28" w:type="dxa"/>
        </w:tblCellMar>
      </w:tblPr>
      <w:tblGrid>
        <w:gridCol w:w="712"/>
        <w:gridCol w:w="625"/>
        <w:gridCol w:w="627"/>
        <w:gridCol w:w="255"/>
        <w:gridCol w:w="256"/>
        <w:gridCol w:w="416"/>
        <w:gridCol w:w="146"/>
        <w:gridCol w:w="146"/>
        <w:gridCol w:w="146"/>
        <w:gridCol w:w="255"/>
        <w:gridCol w:w="256"/>
        <w:gridCol w:w="416"/>
        <w:gridCol w:w="109"/>
        <w:gridCol w:w="109"/>
        <w:gridCol w:w="109"/>
        <w:gridCol w:w="255"/>
        <w:gridCol w:w="256"/>
        <w:gridCol w:w="416"/>
        <w:gridCol w:w="128"/>
        <w:gridCol w:w="128"/>
        <w:gridCol w:w="128"/>
        <w:gridCol w:w="255"/>
        <w:gridCol w:w="256"/>
        <w:gridCol w:w="47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and related information for the periods presented below (in millions, except exercise prices and contractual life):</w:t>
      </w:r>
    </w:p>
    <w:tbl>
      <w:tblPr>
        <w:tblW w:w="9139" w:type="dxa"/>
        <w:jc w:val="center"/>
        <w:tblInd w:w="0" w:type="dxa"/>
        <w:tblLayout w:type="fixed"/>
        <w:tblCellMar>
          <w:top w:w="28" w:type="dxa"/>
          <w:left w:w="28" w:type="dxa"/>
          <w:bottom w:w="28" w:type="dxa"/>
          <w:right w:w="28" w:type="dxa"/>
        </w:tblCellMar>
      </w:tblPr>
      <w:tblGrid>
        <w:gridCol w:w="1584"/>
        <w:gridCol w:w="1395"/>
        <w:gridCol w:w="1400"/>
        <w:gridCol w:w="275"/>
        <w:gridCol w:w="275"/>
        <w:gridCol w:w="276"/>
        <w:gridCol w:w="109"/>
        <w:gridCol w:w="109"/>
        <w:gridCol w:w="109"/>
        <w:gridCol w:w="211"/>
        <w:gridCol w:w="616"/>
        <w:gridCol w:w="109"/>
        <w:gridCol w:w="109"/>
        <w:gridCol w:w="109"/>
        <w:gridCol w:w="109"/>
        <w:gridCol w:w="345"/>
        <w:gridCol w:w="345"/>
        <w:gridCol w:w="346"/>
        <w:gridCol w:w="109"/>
        <w:gridCol w:w="109"/>
        <w:gridCol w:w="109"/>
        <w:gridCol w:w="211"/>
        <w:gridCol w:w="61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 xml:space="preserve">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vest—June 30, 2026</w:t>
            </w:r>
          </w:p>
        </w:tc>
        <w:tc>
          <w:tcPr>
            <w:tcW w:w="5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exercisable—June 30, 2026</w:t>
            </w:r>
          </w:p>
        </w:tc>
        <w:tc>
          <w:tcPr>
            <w:tcW w:w="55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represents the difference between the exercise price of stock options and the quoted market price of our common stock at the date of the balance sheet for all in-the-money stock options. Stock compensation expense is recognized on a straight-line basis over the vesting period of each stock option. As of June 30, 2026, total compensation expense related to unvested stock options granted to employees but not yet recognized was $56.4 million, with a weighted-average remaining vesting period of 2.8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information related to our stock options is summarized below (in millions, except per share amounts):</w:t>
      </w:r>
    </w:p>
    <w:tbl>
      <w:tblPr>
        <w:tblW w:w="8655" w:type="dxa"/>
        <w:jc w:val="center"/>
        <w:tblInd w:w="0" w:type="dxa"/>
        <w:tblLayout w:type="fixed"/>
        <w:tblCellMar>
          <w:top w:w="28" w:type="dxa"/>
          <w:left w:w="28" w:type="dxa"/>
          <w:bottom w:w="28" w:type="dxa"/>
          <w:right w:w="28" w:type="dxa"/>
        </w:tblCellMar>
      </w:tblPr>
      <w:tblGrid>
        <w:gridCol w:w="1408"/>
        <w:gridCol w:w="1236"/>
        <w:gridCol w:w="124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fair value per share granted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Intrinsic value of options exercised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options vested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including stock-based compensation expense related to awards classified as liabilities, is included in costs and expenses (in millions):</w:t>
      </w:r>
    </w:p>
    <w:tbl>
      <w:tblPr>
        <w:tblW w:w="8010" w:type="dxa"/>
        <w:jc w:val="left"/>
        <w:tblInd w:w="0" w:type="dxa"/>
        <w:tblLayout w:type="fixed"/>
        <w:tblCellMar>
          <w:top w:w="28" w:type="dxa"/>
          <w:left w:w="28" w:type="dxa"/>
          <w:bottom w:w="28" w:type="dxa"/>
          <w:right w:w="28" w:type="dxa"/>
        </w:tblCellMar>
      </w:tblPr>
      <w:tblGrid>
        <w:gridCol w:w="1247"/>
        <w:gridCol w:w="1099"/>
        <w:gridCol w:w="1104"/>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including stock-based compensation expense related to awards classified as liabilities, by award type (in millions):</w:t>
      </w:r>
    </w:p>
    <w:tbl>
      <w:tblPr>
        <w:tblW w:w="8009" w:type="dxa"/>
        <w:jc w:val="center"/>
        <w:tblInd w:w="0" w:type="dxa"/>
        <w:tblLayout w:type="fixed"/>
        <w:tblCellMar>
          <w:top w:w="28" w:type="dxa"/>
          <w:left w:w="28" w:type="dxa"/>
          <w:bottom w:w="28" w:type="dxa"/>
          <w:right w:w="28" w:type="dxa"/>
        </w:tblCellMar>
      </w:tblPr>
      <w:tblGrid>
        <w:gridCol w:w="1245"/>
        <w:gridCol w:w="1091"/>
        <w:gridCol w:w="1113"/>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income tax benefit associated with stock-based compensation that is recognized in the condensed consolidated statements of income is (in millions):</w:t>
      </w:r>
    </w:p>
    <w:tbl>
      <w:tblPr>
        <w:tblW w:w="9510" w:type="dxa"/>
        <w:jc w:val="center"/>
        <w:tblInd w:w="0" w:type="dxa"/>
        <w:tblLayout w:type="fixed"/>
        <w:tblCellMar>
          <w:top w:w="28" w:type="dxa"/>
          <w:left w:w="28" w:type="dxa"/>
          <w:bottom w:w="28" w:type="dxa"/>
          <w:right w:w="28" w:type="dxa"/>
        </w:tblCellMar>
      </w:tblPr>
      <w:tblGrid>
        <w:gridCol w:w="1870"/>
        <w:gridCol w:w="1641"/>
        <w:gridCol w:w="164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associated with stock-based compensation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Share Repurchase Program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our board of directors approved a $1.0 billion increase in the authorized stock repurchase amount under the Repurchase Program, bringing the aggregate amount authorized for repurchases to $10.25 billion of our outstanding common stock through February 28, 2027.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repurchased 12.5 million shares of our common stock under the Repurchase Program in open-market transactions, at a weighted-average price of $77.73 per share, for an aggregate purchase price of $972.8 million, which excludes a $6.7 million accrual related to the 1% excise tax imposed by the Inflation Reduction Act of 2022. As of June 30, 2026, approximately $765.8 million remained available for future share repurchases under the Repurchase Program.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12.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16% for the three months ended June 30, 2026, compared to an effective tax rate of 15% for the same period last year. Our effective tax rate was 17% for the six months ended June 30, 2026, compared to an effective tax rate of 17% for the same period last year. The tax rates for the three months ended June 30, 2026 and 2025 were comprised of U.S. federal and state taxes, withholding taxes and foreign taxes that amounted to $166.6 million and $114.6 million, respectively. The tax rate for the three months ended June 30, 2026 included a tax benefit of $33.9 million from the Foreign-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Derived Deduction Eligible Income (“FDDEI”) deduction and excess tax benefits from stock-based compensation expense of $17.7 million. The tax rate for the three months ended June 30, 2025 included a tax benefit of $25.1 million from the FDDEI deduction and excess tax benefits from stock-based compensation expense of $12.4 million.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rates for the six months ended June 30, 2026 and 2025 were comprised of U.S. federal and state taxes, withholding taxes and foreign taxes that amounted to $332.0 million and $243.2 million, respectively. The tax rate for the six months ended June 30, 2026 included a tax benefit of $68.0 million from the FDDEI deduction and excess tax benefits from stock-based compensation expense of $27.1 million. The tax rate for the six months ended June 30, 2025 included a tax provision of $30.6 million related to the derecognition of deferred tax assets from the business combination with Linksys, a tax benefit of $50.9 million from the FDDEI deduction, and excess tax benefits from stock-based compensation expense of $49.3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H.R. 1, an Act to Provide for Reconciliation Pursuant to Title II of House Concurrent Resolution 14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The income tax effects of the Act have been recognized in our provision for income taxes as of June 30, 2026.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unrecognized tax benefits were $92.4 million and $90.4 million, respectively. If recognized, $75.2 million of the unrecognized tax benefits as of June 30, 2026 would favorably affect our effective tax rate. It is our policy to include accrued interest and penalties related to unrecognized tax benefits in income tax expense. As of June 30, 2026 and December 31, 2025, accrued interest and penalties were $12.6 million and $12.5 million, respectively.</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jurisdictions. The primary focus of these audits is the inter-company profit allocation.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Internal Revenue Service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Organisation for Economic Co-operation and Development (the “OECD”) enacted model rules for a new global minimum tax framework (“BEPS Pillar Two”), and various governments around the world have enacted, or are in the process of enacting, legislation on this. In January 2026, the OECD released additional guidance related to the global minimum tax framework, including new safe harbors and potential exemptions for certain U.S.-based multinational companies, and continues to release additional guidance on these rules. Based on the enacted laws, BEPS Pillar Two has no impact to our effective tax rate or cash flows for the six months ended June 30, 2026. We will continue to evaluate the impact of these tax law changes on future reporting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determined based on the financial information that is regularly reviewed by the Chief Operating Decision Maker (“CODM”) to allocate resources and assess performance. The Company’s CODM is our Chief Executive Officer, who reviews financial information presented on a consolidated basis, accompanied by information about revenue by geographic region for purposes of allocating resources and evaluating financial performance. We have one operating and reportable segment.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certain financial data for our reportable segment (in millions):</w:t>
      </w:r>
    </w:p>
    <w:tbl>
      <w:tblPr>
        <w:tblW w:w="9140" w:type="dxa"/>
        <w:jc w:val="left"/>
        <w:tblInd w:w="0" w:type="dxa"/>
        <w:tblLayout w:type="fixed"/>
        <w:tblCellMar>
          <w:top w:w="28" w:type="dxa"/>
          <w:left w:w="28" w:type="dxa"/>
          <w:bottom w:w="28" w:type="dxa"/>
          <w:right w:w="28" w:type="dxa"/>
        </w:tblCellMar>
      </w:tblPr>
      <w:tblGrid>
        <w:gridCol w:w="1264"/>
        <w:gridCol w:w="1113"/>
        <w:gridCol w:w="1117"/>
        <w:gridCol w:w="224"/>
        <w:gridCol w:w="815"/>
        <w:gridCol w:w="116"/>
        <w:gridCol w:w="109"/>
        <w:gridCol w:w="109"/>
        <w:gridCol w:w="109"/>
        <w:gridCol w:w="224"/>
        <w:gridCol w:w="815"/>
        <w:gridCol w:w="116"/>
        <w:gridCol w:w="109"/>
        <w:gridCol w:w="109"/>
        <w:gridCol w:w="109"/>
        <w:gridCol w:w="224"/>
        <w:gridCol w:w="815"/>
        <w:gridCol w:w="116"/>
        <w:gridCol w:w="109"/>
        <w:gridCol w:w="109"/>
        <w:gridCol w:w="109"/>
        <w:gridCol w:w="224"/>
        <w:gridCol w:w="813"/>
        <w:gridCol w:w="163"/>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94" w:type="dxa"/>
            <w:gridSpan w:val="3"/>
            <w:vMerge w:val="continue"/>
            <w:tcBorders/>
            <w:tcMar>
              <w:top w:w="0" w:type="dxa"/>
              <w:left w:w="0" w:type="dxa"/>
              <w:bottom w:w="0" w:type="dxa"/>
              <w:right w:w="0" w:type="dxa"/>
            </w:tcMar>
            <w:vAlign w:val="center"/>
          </w:tcPr>
          <w:p>
            <w:pPr>
              <w:pStyle w:val="Normal"/>
              <w:bidi w:val="0"/>
              <w:jc w:val="left"/>
              <w:rPr/>
            </w:pPr>
            <w:r>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sales and marketing expenses </w:t>
            </w:r>
            <w:r>
              <w:rPr>
                <w:rFonts w:ascii="Times New Roman;serif" w:hAnsi="Times New Roman;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segment items </w:t>
            </w:r>
            <w:r>
              <w:rPr>
                <w:rFonts w:ascii="Times New Roman;serif" w:hAnsi="Times New Roman;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Excludes commission expense.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 Includes gain on intellectual property matters, interest income, interest expense, other income—net and gain (loss) from equity method investments.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 is based on the billing address of our customers. The following tables set forth revenue and property and equipment—net by geographic region (in millions):</w:t>
      </w:r>
    </w:p>
    <w:tbl>
      <w:tblPr>
        <w:tblW w:w="8939" w:type="dxa"/>
        <w:jc w:val="left"/>
        <w:tblInd w:w="0" w:type="dxa"/>
        <w:tblLayout w:type="fixed"/>
        <w:tblCellMar>
          <w:top w:w="28" w:type="dxa"/>
          <w:left w:w="28" w:type="dxa"/>
          <w:bottom w:w="28" w:type="dxa"/>
          <w:right w:w="28" w:type="dxa"/>
        </w:tblCellMar>
      </w:tblPr>
      <w:tblGrid>
        <w:gridCol w:w="1290"/>
        <w:gridCol w:w="1130"/>
        <w:gridCol w:w="114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Revenue</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 (“EMEA”)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(“APAC”)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598" w:type="dxa"/>
        <w:jc w:val="center"/>
        <w:tblInd w:w="0" w:type="dxa"/>
        <w:tblLayout w:type="fixed"/>
        <w:tblCellMar>
          <w:top w:w="28" w:type="dxa"/>
          <w:left w:w="28" w:type="dxa"/>
          <w:bottom w:w="28" w:type="dxa"/>
          <w:right w:w="28" w:type="dxa"/>
        </w:tblCellMar>
      </w:tblPr>
      <w:tblGrid>
        <w:gridCol w:w="1087"/>
        <w:gridCol w:w="955"/>
        <w:gridCol w:w="958"/>
        <w:gridCol w:w="211"/>
        <w:gridCol w:w="766"/>
        <w:gridCol w:w="109"/>
        <w:gridCol w:w="109"/>
        <w:gridCol w:w="109"/>
        <w:gridCol w:w="109"/>
        <w:gridCol w:w="221"/>
        <w:gridCol w:w="803"/>
        <w:gridCol w:w="161"/>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Property and Equipment</w:t>
            </w:r>
            <w:r>
              <w:rPr>
                <w:color w:val="000000"/>
                <w:u w:val="single"/>
              </w:rPr>
              <w:t>—</w:t>
            </w:r>
            <w:r>
              <w:rPr>
                <w:rFonts w:ascii="Times New Roman;serif" w:hAnsi="Times New Roman;serif"/>
                <w:b/>
                <w:color w:val="000000"/>
                <w:sz w:val="18"/>
                <w:u w:val="single"/>
              </w:rPr>
              <w:t>net</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distributor customers accounted for 10% or more of our revenue:</w:t>
      </w:r>
    </w:p>
    <w:tbl>
      <w:tblPr>
        <w:tblW w:w="5497" w:type="dxa"/>
        <w:jc w:val="left"/>
        <w:tblInd w:w="0" w:type="dxa"/>
        <w:tblLayout w:type="fixed"/>
        <w:tblCellMar>
          <w:top w:w="28" w:type="dxa"/>
          <w:left w:w="28" w:type="dxa"/>
          <w:bottom w:w="28" w:type="dxa"/>
          <w:right w:w="28" w:type="dxa"/>
        </w:tblCellMar>
      </w:tblPr>
      <w:tblGrid>
        <w:gridCol w:w="429"/>
        <w:gridCol w:w="377"/>
        <w:gridCol w:w="379"/>
        <w:gridCol w:w="180"/>
        <w:gridCol w:w="181"/>
        <w:gridCol w:w="416"/>
        <w:gridCol w:w="146"/>
        <w:gridCol w:w="146"/>
        <w:gridCol w:w="146"/>
        <w:gridCol w:w="180"/>
        <w:gridCol w:w="181"/>
        <w:gridCol w:w="416"/>
        <w:gridCol w:w="109"/>
        <w:gridCol w:w="109"/>
        <w:gridCol w:w="109"/>
        <w:gridCol w:w="180"/>
        <w:gridCol w:w="181"/>
        <w:gridCol w:w="416"/>
        <w:gridCol w:w="128"/>
        <w:gridCol w:w="128"/>
        <w:gridCol w:w="128"/>
        <w:gridCol w:w="180"/>
        <w:gridCol w:w="181"/>
        <w:gridCol w:w="47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distributor customers accounted for 10% or more of net accounts receivable:</w:t>
      </w:r>
    </w:p>
    <w:tbl>
      <w:tblPr>
        <w:tblW w:w="3879" w:type="dxa"/>
        <w:jc w:val="center"/>
        <w:tblInd w:w="0" w:type="dxa"/>
        <w:tblLayout w:type="fixed"/>
        <w:tblCellMar>
          <w:top w:w="28" w:type="dxa"/>
          <w:left w:w="28" w:type="dxa"/>
          <w:bottom w:w="28" w:type="dxa"/>
          <w:right w:w="28" w:type="dxa"/>
        </w:tblCellMar>
      </w:tblPr>
      <w:tblGrid>
        <w:gridCol w:w="429"/>
        <w:gridCol w:w="377"/>
        <w:gridCol w:w="379"/>
        <w:gridCol w:w="180"/>
        <w:gridCol w:w="181"/>
        <w:gridCol w:w="416"/>
        <w:gridCol w:w="109"/>
        <w:gridCol w:w="109"/>
        <w:gridCol w:w="109"/>
        <w:gridCol w:w="323"/>
        <w:gridCol w:w="323"/>
        <w:gridCol w:w="94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2694"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Represents less than 10%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this Quarterly Report on Form 10-Q contains forward-looking statements within the meaning of Section 27A of the Securities Act of 1933, as amended, and Section 21E of the Securities Exchange Act of 1934, as amended (the “Exchange Act”). These statements include, among other things, statements concerning our expectations regarding: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continued growth and market share gains;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variability in sales in certain product and service categories from year to year and between quarters;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expected impact of sales from certain products and services;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increasing or decreasing inflation or stagflation, and changing interest rates in many geographies and changes in currency exchange rates and currency regulations;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competition in our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macroeconomic, geopolitical factors and other disruptions to our manufacturing or sales, including tariffs or other trade disruptions, public health issues, wars, natural disasters and economic growth;</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government regulation and other policies;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drivers of long-term growth and operating leverage, such as pricing of our products and services, sales productivity, pipeline and capacity, functionality, value and technology improvements in our product and service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successfully anticipate market changes, including those related to cloud-based and Artificial Intelligence (“AI”) solutions and to sell, support and meet service level agreements related to cloud-based solutions;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growth expectations for the secure networking market;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supply chain constraints (including constraints on the availability of memory chips), component availability and other factors affecting our manufacturing capacity, delivery, cost and inventory management;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forecasts of future demand and targeted inventory levels, including changing market drivers and demands;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effect of backlog from current or prior quarters, including its effect on growth of in-quarter billings and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hire properly qualified and effective sales, support and engineering employees;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trends in revenue, cost of revenue and gross margin, including product revenue, service revenue and inventory related charges;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trends in our operating expenses, including sales and marketing expenses, research and development expenses,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expected impact of plans and strategy for the acceleration of our data center footprint and our PoP deployment;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gross margins and operating margins for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expectations that proceeds from the exercise of stock options in future years will be adversely impacted by the increased mix of restricted stock units and performance stock units versus stock options granted or a decline in our stock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uncertain tax benefits and our effective domestic and global tax rates, the impact of interpretations of or changes to tax law, and the timing of tax payments;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spending related to real estate assets, acquisitions and development, including data centers and points of presence, office building and warehouse investments, as well as other capital expenditures and to the impact on free cash flow and expenses;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estimates of a range of 2026 spending on capital expenditures;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expansions, development, improvements, operating, subleasing and other real property holdings activities;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expected outcomes and liabilities in litigation;</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 xml:space="preserve">our intentions regarding share repurchases and the sufficiency of our existing cash, cash equivalents and investments to meet our cash needs, including our debt servicing requirements, for at least the next 12 months;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expectation to have sufficient liquidity to meet our operating requirements for at least the next 12 months and thereafter for the foreseeable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other statements regarding our future operations, financial condition and prospects and business strategies;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adoption and impact of new accounting standards.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Fortinet is a leader in cybersecurity, driving the convergence of networking and security. Our mission is to secure people, devices and data everywhere. Our integrated platform, the Fortinet Security Fabric, spans secure networking, unified Secure Access Service Edge (“SASE”) and AI-driven security operations (“SecOps”). As of June 30, 2026,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June 30, 2026, we held 1,115 U.S. patents and a total of 1,448 global patents.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competitive differentiation lies in our core technologies, which together provide performance, security, flexibility and integration across diverse environments.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FortiOS</w:t>
      </w:r>
      <w:r>
        <w:rPr>
          <w:color w:val="000000"/>
        </w:rPr>
        <w:t>—</w:t>
      </w:r>
      <w:r>
        <w:rPr>
          <w:rFonts w:ascii="Times New Roman;serif" w:hAnsi="Times New Roman;serif"/>
          <w:b w:val="false"/>
          <w:color w:val="000000"/>
          <w:sz w:val="20"/>
        </w:rPr>
        <w:t xml:space="preserve">Our unified operating system enables the convergence of networking and AI-powered security to enforce consistent policies across all form factors and edges. As the foundational engine of the Fortinet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Security Fabric, FortiOS empowers organizations to unify management and analytics, providing network visibility and control at scale. FortiOS includes advanced encryption, quantum safe tools, and other security technologies designed to address evolving cybersecurity threats, including emerging quantum-resistant cryptographic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FortiASIC</w:t>
      </w:r>
      <w:r>
        <w:rPr>
          <w:color w:val="000000"/>
        </w:rPr>
        <w:t>—</w:t>
      </w:r>
      <w:r>
        <w:rPr>
          <w:rFonts w:ascii="Times New Roman;serif" w:hAnsi="Times New Roman;serif"/>
          <w:b w:val="false"/>
          <w:color w:val="000000"/>
          <w:sz w:val="20"/>
        </w:rPr>
        <w:t>Our Application-Specific Integrated Circuit (“ASIC”)-based Security Processing Units (“SPUs”) increase the speed, scale, efficiency and value of our solutions while reducing footprint and power requirements. From branch and campus to data center solutions, SPU-powered Fortinet appliances deliver superior Security Compute Ratings versus industry alternatives.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FortiCloud</w:t>
      </w:r>
      <w:r>
        <w:rPr>
          <w:color w:val="000000"/>
        </w:rPr>
        <w:t>—</w:t>
      </w:r>
      <w:r>
        <w:rPr>
          <w:rFonts w:ascii="Times New Roman;serif" w:hAnsi="Times New Roman;serif"/>
          <w:b w:val="false"/>
          <w:color w:val="000000"/>
          <w:sz w:val="20"/>
        </w:rPr>
        <w:t>Our organically built global cloud infrastructure provides customers with global reach, flexible connectivity and cost savings. FortiCloud is our private cloud software as a service (“SaaS”) platform, powered by FortiStack, which is our secure SaaS platform operating as a private cloud service provider, and leveraging software and hardware to optimize and secure all layers.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FortiAI</w:t>
      </w:r>
      <w:r>
        <w:rPr>
          <w:color w:val="000000"/>
        </w:rPr>
        <w:t>—</w:t>
      </w:r>
      <w:r>
        <w:rPr>
          <w:rFonts w:ascii="Times New Roman;serif" w:hAnsi="Times New Roman;serif"/>
          <w:b w:val="false"/>
          <w:color w:val="000000"/>
          <w:sz w:val="20"/>
        </w:rPr>
        <w:t xml:space="preserve">FortiAI brings AI and agentic capabilities to products within the Fortinet Security Fabric. Generative and agentic AI support Network Operations Center (“NOC”) and Security Operations Center (“SOC”) teams in monitoring, analysis and response activities across enterprise environments, including automating operational workflows and assisting security personnel with analysis and response activities. AI within our firewalls allows for improved defense against evolving, AI-driven and zero-day attacks. AI focused features enable our customers to improve their governance over generative AI (“GenAI”) applications by providing visibility into AI application usage and helping organizations govern and control the flow of data across public and private AI applications. Products such as FortiAIGate focus on protecting an organization’s AI infrastructure, including large language models (“LLMs”) and Application Programming Interface, supporting the secure deployment and operation of enterprise AI and LLM environments while preventing data leakage into and out of LLMs. Fortinet’s AI offerings protect the AI ecosystem, infrastructure, models, workloads, data and supply chains, while leveraging unified AI intelligence across the Fortinet Security Fabric to defend against threats.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FortiEndpoint</w:t>
      </w:r>
      <w:r>
        <w:rPr>
          <w:color w:val="000000"/>
        </w:rPr>
        <w:t>—</w:t>
      </w:r>
      <w:r>
        <w:rPr>
          <w:rFonts w:ascii="Times New Roman;serif" w:hAnsi="Times New Roman;serif"/>
          <w:b w:val="false"/>
          <w:color w:val="000000"/>
          <w:sz w:val="20"/>
        </w:rPr>
        <w:t>FortiEndpoint converges secure connectivity, endpoint protection and advanced capabilities like endpoint detection and response and universal Zero Trust Network Access (“ZTNA”), into a unified agent and management console.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environments.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OT Security</w:t>
      </w:r>
      <w:r>
        <w:rPr>
          <w:color w:val="000000"/>
        </w:rPr>
        <w:t>—</w:t>
      </w:r>
      <w:r>
        <w:rPr>
          <w:rFonts w:ascii="Times New Roman;serif" w:hAnsi="Times New Roman;serif"/>
          <w:b w:val="false"/>
          <w:color w:val="000000"/>
          <w:sz w:val="20"/>
        </w:rPr>
        <w:t>The Fortinet Security Fabric enables security for OT systems and Cyber-Physical Systems (“CPS”), including converged IT/OT architectures. Our OT Security Platform is purpose-built to protect the engineered systems that underpin critical infrastructure and supply chains around the world. This includes securing energy and utilities systems, manufacturing environments, and transportation, utilizing FortiGuard OT Security Services. These offerings include security capabilities for CPS assets and tools that support centralized NOC and SOC functions.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competitive differentiators provide networking and security professionals with a cybersecurity platform comprised of over 50 products across three solution pillars: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212529"/>
          <w:shd w:fill="FFFFFF" w:val="clear"/>
        </w:rPr>
        <w:t>•</w:t>
      </w:r>
      <w:r>
        <w:rPr>
          <w:rFonts w:ascii="Times New Roman;serif" w:hAnsi="Times New Roman;serif"/>
          <w:b/>
          <w:i/>
          <w:color w:val="000000"/>
          <w:sz w:val="20"/>
        </w:rPr>
        <w:t>Secure Networking</w:t>
      </w:r>
      <w:r>
        <w:rPr>
          <w:color w:val="000000"/>
        </w:rPr>
        <w:t>—</w:t>
      </w:r>
      <w:r>
        <w:rPr>
          <w:rFonts w:ascii="Times New Roman;serif" w:hAnsi="Times New Roman;serif"/>
          <w:b w:val="false"/>
          <w:color w:val="000000"/>
          <w:sz w:val="20"/>
        </w:rPr>
        <w:t xml:space="preserve">Our Secure Networking solutions focus on the convergence of networking and security via FortiOS, our networking and security operating system that is the foundation of our Fortinet Security Fabric platform and supports a broad range of functions that can be delivered via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which can be deployed at branch, campus, data center, internal segmentation, private and public cloud to enable hybrid mesh firewall solutions, as well as encrypted applications (secure sockets layer inspection, virtual private network and Internet Protocol Security connectivity). Our ability to converge networking and security also enables ethernet or Wi-Fi to become an extension of our customers’ security infrastructure through FortiLink and FortiSwitch and FortiAP. FortiExtender secures 5G/LTE and remote ethernet extenders to connect and secure any branch environment. Our Secure Connectivity solution includes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FortiSwitch secure ethernet switches, FortiAP wireless local area network access points and FortiExtender 5G connectivity gateways and Network Access Control for securing Internet of Things (“IoT”) devices.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Unified Secure Access Service Edge (SASE)</w:t>
      </w:r>
      <w:r>
        <w:rPr>
          <w:color w:val="000000"/>
        </w:rPr>
        <w:t>—</w:t>
      </w:r>
      <w:r>
        <w:rPr>
          <w:rFonts w:ascii="Times New Roman;serif" w:hAnsi="Times New Roman;serif"/>
          <w:b w:val="false"/>
          <w:color w:val="000000"/>
          <w:sz w:val="20"/>
        </w:rPr>
        <w:t>With applications in the cloud and employees working from anywhere, organizations need to secure access for users everywhere through a Zero Trust model. Fortinet’s Unified SASE offering brings together firewall, SD-WAN, secure web gateway, cloud access security broker, data loss prevention (“DLP”), digital experience monitoring and ZTNA in a single platform for user access across branch, campus, remote, and cloud environments. It provides consistent integration across secure SD-WAN and Security Service Edge, using FortiOS as the common operating system and policy framework. Fortinet’s cloud network includes more than 200 PoPs, supporting global access and inspection. The rise of AI use paired with work from anywhere leaves businesses vulnerable to AI tool abuse with sensitive data leakage. AI visibility and control is built into FortiOS, allowing SASE PoPs to give companies control over AI usage and data exfiltration regardless of where the user is. The platform also supports sovereign SASE deployments, allowing organizations to run SASE capabilities in infrastructure they control, including on-premises environments, private data centers, and trusted colocation facilities. This enables local inspection, data residency, and jurisdiction-specific control where required. Fortinet also provides integrated cloud security capabilities for protecting applications and workloads across the application lifecycle, including web application firewalls, virtual and cloud-native firewalls, cloud-native application protection, and code security. These capabilities help organizations secure applications across hybrid and multi-cloud environments through a common platform rather than multiple disconnected tools. Flexible consumption and licensing models support different cloud deployment and procurement models. Fortinet continues to build out core SASE capabilities—including next-generation firewall, Secure SD-WAN, Universal ZTNA, secure web gateway, cloud access security broker, and DLP—within FortiOS. This provides a common operating model across networking and security functions and forms the basis for convergence between firewall, SD-WAN, and SASE services.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AI-Driven Security Operations (SecOps)</w:t>
      </w:r>
      <w:r>
        <w:rPr>
          <w:color w:val="000000"/>
        </w:rPr>
        <w:t>—</w:t>
      </w:r>
      <w:r>
        <w:rPr>
          <w:rFonts w:ascii="Times New Roman;serif" w:hAnsi="Times New Roman;serif"/>
          <w:b w:val="false"/>
          <w:color w:val="000000"/>
          <w:sz w:val="20"/>
        </w:rPr>
        <w:t>Our AI-Driven Security Operations solutions provide software and services that support the identification, protection, detection, investigation, response, and recovery from cybersecurity threats across the incident lifecycle. These solutions integrate with Fortinet and third-party environments and support deployment across physical, virtual, cloud, and SaaS delivery models. FortiAnalyzer provides integrated security operations capabilities through the unified security data lake for the Fortinet Security Fabric, centralized log management, reporting, and threat intelligence. FortiSIEM provides security information and event management, while FortiSOAR provides security orchestration, automation, and response. FortiSOC brings these core capabilities together in a unified cloud-delivered SaaS offering. The portfolio also includes unified endpoint security with FortiEndpoint; identity security, including workforce and non-human identity management, with FortiAuthenticator and FortiPAM; and email and workspace security with FortiMail. AI-assisted capabilities are embedded across these solutions to support investigations, operational workflows, and analyst productivity. Organizations may also utilize FortiGuard managed security services, including SOC-as-a-Service and Managed Detection and Response, to augment or co-manage security operations based on operational requirements, available resources, and security maturity.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FortiGuard Labs </w:t>
      </w:r>
      <w:r>
        <w:rPr>
          <w:rFonts w:ascii="Times New Roman;serif" w:hAnsi="Times New Roman;serif"/>
          <w:b w:val="false"/>
          <w:color w:val="000000"/>
          <w:sz w:val="20"/>
        </w:rPr>
        <w:t xml:space="preserve">is our cybersecurity threat intelligence and research organization comprised of experienced threat hunters, researchers, analysts, engineers and data scientists who develop and utilize Machine Learning (“ML”) and AI technologies to provide timely protection updates and actionable threat intelligence for the benefit of our customers. Using millions of global network sensors, FortiGuard Labs monitors the worldwide attack surface and employs AI to mine that data for new threats.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FortiGuard and Other Security Services</w:t>
      </w:r>
      <w:r>
        <w:rPr>
          <w:color w:val="000000"/>
        </w:rPr>
        <w:t xml:space="preserve"> </w:t>
      </w:r>
      <w:r>
        <w:rPr>
          <w:rFonts w:ascii="Times New Roman;serif" w:hAnsi="Times New Roman;serif"/>
          <w:b w:val="false"/>
          <w:color w:val="000000"/>
          <w:sz w:val="20"/>
        </w:rPr>
        <w:t>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color w:val="000000"/>
          <w:sz w:val="20"/>
        </w:rPr>
        <w:t>FortiCare Technical Support Service</w:t>
      </w:r>
      <w:r>
        <w:rPr>
          <w:color w:val="000000"/>
        </w:rPr>
        <w:t xml:space="preserve"> </w:t>
      </w:r>
      <w:r>
        <w:rPr>
          <w:rFonts w:ascii="Times New Roman;serif" w:hAnsi="Times New Roman;serif"/>
          <w:b w:val="false"/>
          <w:color w:val="000000"/>
          <w:sz w:val="20"/>
        </w:rPr>
        <w:t xml:space="preserve">is a technical support service, which provides customers access to experts to ensure efficient and effective operations and maintenance of their Fortinet solution. Global technical support is offered 24x7 with flexible add-ons, including enhanced service-level agreements and priority hardware replacement through in-country and local depots. Organizations have the flexibility to procure different levels of service for different solutions based on their availability needs. We offer three support options tailored to the needs of our enterprise customers: FortiCare Elite, FortiCare Premium and FortiCare Essential. The FortiCare Elite service aims to provide a 15-minute response time for key product families.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FortiCare solution-based services, Advanced Support service options are available per account. These services are available for regional account support in three options: Core, Pro and Pro Plus, and can be available or provided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 global basis at the Pro and Pro Plus levels. Advanced Support brings support directly to each account, helping account holders to make their operations more effective and to plan and manage their solution lifecycle.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are committed to addressing the cybersecurity skills shortage through training and certification programs for customers, partners and employees. The Fortinet Training Institute’s ecosystem of public and private partnerships around the world extends to industry, academia, government and nonprofits to ensure we are reaching and increasing access of our cybersecurity certifications and training to all populations. The Fortinet Training Institute has issued approximately two million certifications to date.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Financial Highlights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Total revenue was $2.05 billion and $3.90 billion during the three and six months ended June 30, 2026, an increase of 26% and 23%, respectively, compared to $1.63 billion and $3.17 billion in the same periods last year. Product revenue was $773.0 million and $1.42 billion during the three and six months ended June 30, 2026, an increase of 52% and 46%, respectively, compared to $508.9 million and $968.0 million in the same periods last year. Service revenue was $1.27 billion and $2.48 billion during the three and six months ended June 30, 2026, an increase of 14% and 13%, respectively, compared to $1.12 billion and $2.20 billion in the same periods last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Total gross profit was $1.64 billion and $3.13 billion during the three and six months ended June 30, 2026, an increase of 25% and 22%, respectively, compared to $1.32 billion and $2.56 billion in the same periods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gross margin was 80.2% and 80.3% during the three and six months ended June 30, 2026, a decrease of 0.5 in each period, compared to 80.7% and 80.8% in the same periods last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Operating income was $689.3 million and $1.27 billion during the three and six months ended June 30, 2026, an increase of 51% and 39%, respectively, compared to $458.0 million and $911.8 million in the same periods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Operating margin was 33.7% and 32.6% during the three and six months ended June 30, 2026, an increase of 5.6 and 3.8 percentage points, respectively, compared to 28.1% and 28.8% in the same periods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cash equivalents, short-term and long-term investments were $4.47 billion as of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Deferred revenue was $7.68 billion, including short-term deferred revenue of $3.84 billion, as of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flows from operating activities were $2.12 billion during the six months ended June 30, 2026, an increase of $805.5 million, or 61%, compared to the same period last year.</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continues to be diversified globally, which remains a key strength of our business. During the three months ended June 30, 2026, the EMEA region, the Americas region and the APAC region contributed 43%, 39% and 18% of our total revenue, respectively, and revenue grew 31%, 23% and 21% in these regions compared to the same period last year, respectively. During the six months ended June 30, 2026, EMEA, the Americas and APAC regions contributed 42%, 40% and 18% of our total revenue, respectively, and revenue grew by 28%, 20% and 18% in these regions compared to the same period last year,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increased 52% and 46% during the three and six months ended June 30, 2026, respectively, compared to the same periods last year, primarily driven by hardware revenue growth resulting from higher unit shipments year over year and recent pricing actions. We experienced product revenue growth across our hardware products and software licensing, which mainly benefited from growth in secure networking hardware products and term licenses, including increased demand for higher performance products, deployments related to AI infrastructure, technology upgrades, upsell activity, and expansion into new use cases. We expect our product revenue to continue to grow year over year for the remainder of 2026 compared to the same periods of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 revenue increased $153.8 million, or 14% and $277.7 million, or 13%, during the three and six months ended June 30, 2026, respectively, as compared to the same periods last year, primarily driven by the strength of our security subscription revenue, which increased $85.3 million, or 13% and $156.2 million, or 12%, respectively, and our technical support and other services revenue, which increased $68.5 million, or 14% and $121.5 million, or 13%, respectively. The increase was primarily due to the recognition of revenue from our growing deferred revenue balance related to FortiGuard and other security subscriptions delivered to on-premise and cloud-based environments and strength in unified SASE and SecOps, as well as FortiCare technical support service. We expect our service revenue to continue to grow year over year for the remainder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billings were diversified on a geographic basis. During the three months ended June 30, 2026, seven countries represented approximately 50% of our billings and the remaining approximately 50% in the aggregate were from over 100 countries that each individually contributed less than 3% of our billings.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gross margin decreased 0.5 percentage points during each of the three and six months ended June 30, 2026, compared to the same periods last year, primarily due to a shift in the revenue mix from service revenue to lower margin product revenue. Our overall gross margin for the full year of 2026 will be impacted by service and product revenue mix and their respective gross margins. Our product gross margin may decline for the full year 2026 as compared to 2025 primarily due to continued higher hardware component costs. We also expect service gross margin to decline slightly for the full year 2026 as compared to 2025, primarily due to continued expansion of our data center footprint and colocation and cloud hosting capacity to support the growth in our unified SASE and SecOps offerings. We currently do not expect the U.S. tariffs to have a meaningful impact on our gross margin. However, changes in trade policy, including increases in tariff rates, changes in customs or tariffs classifications, or modifications to tariff exemptions, could adversely affect our gross margin in the future, and we expect any resulting impact would primarily relate to our hardware sales to the U.S. customers.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as a percentage of revenue decreased by 6.0 and 4.4 percentage points during the three and six months ended June 30, 2026, respectively, compared to the same periods last year, mainly because our revenue growth outpaced the growth in our personnel costs. Headcount increased to 15,472 employees as of June 30, 2026, a 4% increase compared to 14,898 as of June 30,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Operating margin increased 5.6 and 3.8 percentage points during the three and six months ended June 30, 2026, respectively, driven by revenue growth exceeding expense growth, resulting in improved operating leverage, partially offset by lower total gross margin. </w:t>
      </w:r>
      <w:r>
        <w:rPr>
          <w:rFonts w:ascii="Times New Roman;serif" w:hAnsi="Times New Roman;serif"/>
          <w:b w:val="false"/>
          <w:color w:val="212529"/>
          <w:sz w:val="20"/>
        </w:rPr>
        <w:t>For the full year 2026, we expect our operating margin to increase slightly compared to 2025, benefiting from operating leverage and measured investments. Both total revenue and operating expense are expected to increase in 2026 compared to the prior year. The increase in expense is expected to primarily reflect investments in sales and marketing headcount, product development, and continued investments in data centers and real estate. We expect these and other investments to support long-term revenue growth and market expansion.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Impact of Macroeconomic and Geopolitical and Supply Chain Developments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12529"/>
          <w:sz w:val="20"/>
        </w:rPr>
        <w:t xml:space="preserve">Our overall performance depends in part on worldwide economic and geopolitical conditions, such as trade policies and tariffs, GDP growth or contraction (both domestically and internationally), geopolitical instability and uncertainty, the war in Ukraine, tensions between China and Taiwan or conflicts in the Middle East, and their impact on customer behavior. Worsening economic conditions, including tariffs, inflation, changing interest rates and other trade disruptions, slower growth, any recession, fluctuations in foreign exchange rates and other changes in economic conditions, may result in decreased sales productivity, lower growth and adversely affect our results of operations and financial performance. We have seen, and could continue to see,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 Tariffs imposed by the United States, as well as any new or additional retaliatory tariffs that could be imposed by other countries in response, could have a material adverse impact on global trade, supply chains and other worldwide economic and geopolitical conditions, which could increase our product costs and also affect customer sentiment in deciding whether to purchase our products. We continue to monitor the impact of tariffs on our business. </w:t>
      </w:r>
      <w:r>
        <w:rPr>
          <w:rFonts w:ascii="Times New Roman;serif" w:hAnsi="Times New Roman;serif"/>
          <w:b w:val="false"/>
          <w:color w:val="000000"/>
          <w:sz w:val="20"/>
        </w:rPr>
        <w:t>In addition, as a result of the rapid global build-out of AI infrastructure, there is currently a global shortage of memory chips, which are a component in certain of our products. As a result, we are currently experiencing, and may continue to experience, constraints on the availability of memory chips, which may lead to delays in the production and delivery of our products and increased costs to source available memory chips, any of which could harm our business, financial condition and results of operations. To mitigate increased hardware costs resulting from these shortages, we are implementing price increases, which may negatively impact demand for our products and may not be sufficient or timely to offset rising input costs, potentially resulting in margin compression and adversely affecting our business, financial condition and results of operations.</w:t>
      </w:r>
    </w:p>
    <w:p>
      <w:pPr>
        <w:pStyle w:val="TextBody"/>
        <w:bidi w:val="0"/>
        <w:spacing w:before="0" w:after="0"/>
        <w:ind w:left="0" w:right="0" w:firstLine="450"/>
        <w:jc w:val="left"/>
        <w:rPr/>
      </w:pPr>
      <w:r>
        <w:rPr/>
      </w:r>
    </w:p>
    <w:p>
      <w:pPr>
        <w:pStyle w:val="TextBody"/>
        <w:bidi w:val="0"/>
        <w:spacing w:lineRule="auto" w:line="268" w:before="0" w:after="0"/>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Worsening economic, geopolitical and supply chain developments may have a material negative impact on our results in future periods and may negatively impact our billings, revenue and costs, and may decrease growth and profitability. The extent of the impact of such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geopolitical and supply chain developments on our business and operations, results of operations, financial condition, cash flows, liquidity and capital and financial resources cannot be reasonably estimated at this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Model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third-party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customers purchase our hardware products, software licenses, SaaS subscriptions and cloud-delivered solutions, including our FortiGuard security subscriptions and FortiCare technical support services. Depending on the solution, these may be sold in a bundle or standalone as part of a solution sale. We generally invoice at the time of our sale for the total price of the products and services. Standard payment terms are generally no more than 60 days, though we may offer extended payment terms to certain distributors or large enterprises.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our products hosted in our own data centers, PoPs, and through colocations and major cloud service providers, including Amazon Web Services, Microsoft Azure and Google Cloud.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Key Metrics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tbl>
      <w:tblPr>
        <w:tblW w:w="6146" w:type="dxa"/>
        <w:jc w:val="center"/>
        <w:tblInd w:w="0" w:type="dxa"/>
        <w:tblLayout w:type="fixed"/>
        <w:tblCellMar>
          <w:top w:w="28" w:type="dxa"/>
          <w:left w:w="28" w:type="dxa"/>
          <w:bottom w:w="28" w:type="dxa"/>
          <w:right w:w="28" w:type="dxa"/>
        </w:tblCellMar>
      </w:tblPr>
      <w:tblGrid>
        <w:gridCol w:w="1252"/>
        <w:gridCol w:w="1104"/>
        <w:gridCol w:w="1108"/>
        <w:gridCol w:w="224"/>
        <w:gridCol w:w="816"/>
        <w:gridCol w:w="115"/>
        <w:gridCol w:w="109"/>
        <w:gridCol w:w="109"/>
        <w:gridCol w:w="109"/>
        <w:gridCol w:w="223"/>
        <w:gridCol w:w="814"/>
        <w:gridCol w:w="163"/>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Or As Of</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(non-GAAP)</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Deferred revenue.</w:t>
      </w:r>
      <w:r>
        <w:rPr>
          <w:color w:val="000000"/>
        </w:rPr>
        <w:t xml:space="preserve"> </w:t>
      </w:r>
      <w:r>
        <w:rPr>
          <w:rFonts w:ascii="Times New Roman;serif" w:hAnsi="Times New Roman;serif"/>
          <w:b w:val="false"/>
          <w:color w:val="000000"/>
          <w:sz w:val="20"/>
        </w:rPr>
        <w:t>Our deferred revenue consists of amounts that have been invoiced but that have not yet been recognized as revenue. The 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$7.68 billion as of June 30, 2026, an increase of $559.9 million, or 8%, from December 31, 2025. Short-term deferred revenue was $3.84 billion as of June 30, 2026, an increase of $205.8 million, or 6%, from December 31,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Billings (non-GAAP). </w:t>
      </w:r>
      <w:r>
        <w:rPr>
          <w:rFonts w:ascii="Times New Roman;serif" w:hAnsi="Times New Roman;serif"/>
          <w:b w:val="false"/>
          <w:color w:val="000000"/>
          <w:sz w:val="20"/>
        </w:rPr>
        <w:t xml:space="preserve">We define billings as revenue recognized in accordance with GAAP plus the change in deferred revenue from the beginning to the end of the period less any deferred revenue balances acquired from business combinations during the period. We consider billings to be a useful metric for management and investors because billings drive current and future revenue as well as cash flows. There are a number of limitations related to the use of billings instead of GAAP revenue. First, billings are impacted by the term of security subscription and support agreements and do not provide an indication as to the timing of revenue being recognized from these service contracts.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$2.37 billion for the three months ended June 30, 2026, an increase of 33% compared to $1.78 billion in the same period last year.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revenue, the most directly comparable financial measure calculated and presented in accordance with GAAP, to billings is provided below:</w:t>
      </w:r>
    </w:p>
    <w:tbl>
      <w:tblPr>
        <w:tblW w:w="8171" w:type="dxa"/>
        <w:jc w:val="center"/>
        <w:tblInd w:w="0" w:type="dxa"/>
        <w:tblLayout w:type="fixed"/>
        <w:tblCellMar>
          <w:top w:w="28" w:type="dxa"/>
          <w:left w:w="28" w:type="dxa"/>
          <w:bottom w:w="28" w:type="dxa"/>
          <w:right w:w="28" w:type="dxa"/>
        </w:tblCellMar>
      </w:tblPr>
      <w:tblGrid>
        <w:gridCol w:w="1985"/>
        <w:gridCol w:w="1742"/>
        <w:gridCol w:w="1762"/>
        <w:gridCol w:w="224"/>
        <w:gridCol w:w="815"/>
        <w:gridCol w:w="116"/>
        <w:gridCol w:w="109"/>
        <w:gridCol w:w="109"/>
        <w:gridCol w:w="109"/>
        <w:gridCol w:w="224"/>
        <w:gridCol w:w="813"/>
        <w:gridCol w:w="163"/>
      </w:tblGrid>
      <w:tr>
        <w:trPr/>
        <w:tc>
          <w:tcPr>
            <w:tcW w:w="198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Billings: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Change in deferred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Deferred revenue balance acquired in business combinations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billings (non-GAAP)</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Free cash flow (non-GAAP).</w:t>
      </w:r>
      <w:r>
        <w:rPr>
          <w:color w:val="000000"/>
        </w:rPr>
        <w:t xml:space="preserve"> </w:t>
      </w:r>
      <w:r>
        <w:rPr>
          <w:rFonts w:ascii="Times New Roman;serif" w:hAnsi="Times New Roman;serif"/>
          <w:b w:val="false"/>
          <w:color w:val="000000"/>
          <w:sz w:val="20"/>
        </w:rPr>
        <w:t>We define free cash flow as net cash provided by operating activities minus purchases of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investing activities other than capital expenditures and cash flows from financing activities. Management accounts for this limitation by providing information about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tbl>
      <w:tblPr>
        <w:tblW w:w="6265" w:type="dxa"/>
        <w:jc w:val="center"/>
        <w:tblInd w:w="0" w:type="dxa"/>
        <w:tblLayout w:type="fixed"/>
        <w:tblCellMar>
          <w:top w:w="28" w:type="dxa"/>
          <w:left w:w="28" w:type="dxa"/>
          <w:bottom w:w="28" w:type="dxa"/>
          <w:right w:w="28" w:type="dxa"/>
        </w:tblCellMar>
      </w:tblPr>
      <w:tblGrid>
        <w:gridCol w:w="1299"/>
        <w:gridCol w:w="1140"/>
        <w:gridCol w:w="1145"/>
        <w:gridCol w:w="224"/>
        <w:gridCol w:w="815"/>
        <w:gridCol w:w="116"/>
        <w:gridCol w:w="109"/>
        <w:gridCol w:w="109"/>
        <w:gridCol w:w="109"/>
        <w:gridCol w:w="239"/>
        <w:gridCol w:w="785"/>
        <w:gridCol w:w="175"/>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7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2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w:t>
            </w:r>
          </w:p>
        </w:tc>
        <w:tc>
          <w:tcPr>
            <w:tcW w:w="17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our critical accounting policies and estimates as of and for the six months ended June 30, 2026, as compared to the critical accounting policies and estimates described in our Annual Report on Form 10-K filed with the SEC on February 25, 2026 (the “Form 10-K”).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of the notes to condensed consolidated financial statements included in Part I, Item 1 of this Quarterly Report on Form 10-Q for information regarding recent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tbl>
      <w:tblPr>
        <w:tblW w:w="9572" w:type="dxa"/>
        <w:jc w:val="left"/>
        <w:tblInd w:w="0" w:type="dxa"/>
        <w:tblLayout w:type="fixed"/>
        <w:tblCellMar>
          <w:top w:w="28" w:type="dxa"/>
          <w:left w:w="28" w:type="dxa"/>
          <w:bottom w:w="28" w:type="dxa"/>
          <w:right w:w="28" w:type="dxa"/>
        </w:tblCellMar>
      </w:tblPr>
      <w:tblGrid>
        <w:gridCol w:w="747"/>
        <w:gridCol w:w="660"/>
        <w:gridCol w:w="662"/>
        <w:gridCol w:w="211"/>
        <w:gridCol w:w="766"/>
        <w:gridCol w:w="109"/>
        <w:gridCol w:w="109"/>
        <w:gridCol w:w="109"/>
        <w:gridCol w:w="109"/>
        <w:gridCol w:w="232"/>
        <w:gridCol w:w="234"/>
        <w:gridCol w:w="426"/>
        <w:gridCol w:w="109"/>
        <w:gridCol w:w="109"/>
        <w:gridCol w:w="109"/>
        <w:gridCol w:w="211"/>
        <w:gridCol w:w="766"/>
        <w:gridCol w:w="109"/>
        <w:gridCol w:w="109"/>
        <w:gridCol w:w="109"/>
        <w:gridCol w:w="109"/>
        <w:gridCol w:w="232"/>
        <w:gridCol w:w="234"/>
        <w:gridCol w:w="426"/>
        <w:gridCol w:w="109"/>
        <w:gridCol w:w="109"/>
        <w:gridCol w:w="109"/>
        <w:gridCol w:w="211"/>
        <w:gridCol w:w="616"/>
        <w:gridCol w:w="109"/>
        <w:gridCol w:w="109"/>
        <w:gridCol w:w="109"/>
        <w:gridCol w:w="109"/>
        <w:gridCol w:w="199"/>
        <w:gridCol w:w="199"/>
        <w:gridCol w:w="578"/>
      </w:tblGrid>
      <w:tr>
        <w:trPr/>
        <w:tc>
          <w:tcPr>
            <w:tcW w:w="7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23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75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7503"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 increased $417.9 million, or 26%, during the three months ended June 30, 2026 compared to the same period last year. We continued to experience geographically diversified revenue, as well as diversification across customer and industry verticals. Revenue from all regions grew, with EMEA contributing the largest portion of the increase on an absolute dollar basis and on a percentage basis.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increased $264.1 million, or 52%, during the three months ended June 30, 2026 compared to the same period last year, primarily driven by hardware revenue growth resulting from higher unit shipments year over year, higher average selling prices resulting from customer demand for higher-performing models and recent pricing actions. We experienced product revenue growth across our hardware products and software licensing, mainly driven by growth in secure networking hardware products and term licenses, including increased demand for higher performance products, deployments related to AI infrastructure, technology upgrades, upsell activity, and expansion into new use cases.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Service revenue increased $153.8 million, or 14%, during the three months ended June 30, 2026 compared to the same period last year. Security subscription revenue increased $85.3 million, or 13%, and technical support and other services revenue increased $68.5 million, or 14%, during the three months ended June 30, 2026 compared to the same period last year. The increase was primarily due t</w:t>
      </w:r>
      <w:r>
        <w:rPr>
          <w:rFonts w:ascii="Times New Roman;serif" w:hAnsi="Times New Roman;serif"/>
          <w:b w:val="false"/>
          <w:color w:val="000000"/>
          <w:sz w:val="20"/>
          <w:shd w:fill="FFFFFF" w:val="clear"/>
        </w:rPr>
        <w:t>o th</w:t>
      </w:r>
      <w:r>
        <w:rPr>
          <w:rFonts w:ascii="Times New Roman;serif" w:hAnsi="Times New Roman;serif"/>
          <w:b w:val="false"/>
          <w:color w:val="000000"/>
          <w:sz w:val="20"/>
        </w:rPr>
        <w:t>e reco</w:t>
      </w:r>
      <w:r>
        <w:rPr>
          <w:rFonts w:ascii="Times New Roman;serif" w:hAnsi="Times New Roman;serif"/>
          <w:b w:val="false"/>
          <w:color w:val="000000"/>
          <w:sz w:val="20"/>
          <w:shd w:fill="FFFFFF" w:val="clear"/>
        </w:rPr>
        <w:t>gnition of revenue from our growing deferred revenue balance related to FortiGuard and other security subscriptions delivered to on-premise and cloud-based environments and growth in SaaS solutions, including unified SASE and SecOps, as well as</w:t>
      </w:r>
      <w:r>
        <w:rPr>
          <w:color w:val="000000"/>
        </w:rPr>
        <w:t xml:space="preserve"> </w:t>
      </w:r>
      <w:r>
        <w:rPr>
          <w:rFonts w:ascii="Times New Roman;serif" w:hAnsi="Times New Roman;serif"/>
          <w:b w:val="false"/>
          <w:color w:val="000000"/>
          <w:sz w:val="20"/>
        </w:rPr>
        <w:t>FortiCare technical support service</w:t>
      </w:r>
      <w:r>
        <w:rPr>
          <w:rFonts w:ascii="Times New Roman;serif" w:hAnsi="Times New Roman;serif"/>
          <w:b w:val="false"/>
          <w:color w:val="000000"/>
          <w:sz w:val="20"/>
          <w:shd w:fill="FFFFFF" w:val="clear"/>
        </w:rPr>
        <w: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Of the service revenue recognized during the three months ended June 30, 2026 and 2025, 90%</w:t>
      </w:r>
      <w:r>
        <w:rPr>
          <w:color w:val="000000"/>
          <w:shd w:fill="FFFFFF" w:val="clear"/>
        </w:rPr>
        <w:t xml:space="preserve"> </w:t>
      </w:r>
      <w:r>
        <w:rPr>
          <w:rFonts w:ascii="Times New Roman;serif" w:hAnsi="Times New Roman;serif"/>
          <w:b w:val="false"/>
          <w:color w:val="000000"/>
          <w:sz w:val="20"/>
        </w:rPr>
        <w:t>was included in the deferred revenue balance as of</w:t>
      </w:r>
      <w:r>
        <w:rPr>
          <w:color w:val="000000"/>
          <w:shd w:fill="FFFFFF" w:val="clear"/>
        </w:rPr>
        <w:t xml:space="preserve"> </w:t>
      </w:r>
      <w:r>
        <w:rPr>
          <w:rFonts w:ascii="Times New Roman;serif" w:hAnsi="Times New Roman;serif"/>
          <w:b w:val="false"/>
          <w:color w:val="000000"/>
          <w:sz w:val="20"/>
          <w:shd w:fill="FFFFFF" w:val="clear"/>
        </w:rPr>
        <w:t>March 31, 2026 and 2025, respectively.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tbl>
      <w:tblPr>
        <w:tblW w:w="6814" w:type="dxa"/>
        <w:jc w:val="center"/>
        <w:tblInd w:w="0" w:type="dxa"/>
        <w:tblLayout w:type="fixed"/>
        <w:tblCellMar>
          <w:top w:w="28" w:type="dxa"/>
          <w:left w:w="28" w:type="dxa"/>
          <w:bottom w:w="28" w:type="dxa"/>
          <w:right w:w="28" w:type="dxa"/>
        </w:tblCellMar>
      </w:tblPr>
      <w:tblGrid>
        <w:gridCol w:w="662"/>
        <w:gridCol w:w="583"/>
        <w:gridCol w:w="585"/>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199"/>
        <w:gridCol w:w="199"/>
        <w:gridCol w:w="578"/>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49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margin decreased 0.5 percentage points during the three months ended June 30, 2026 compared to the same period last year, primarily driven by a shift in the revenue mix to lower margin product revenue. Revenue mix shifted by 6.5 percentage points from service revenue to product revenue, as a percentage of total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gross margin increased 2.4 percentage points during the three months ended June 30, 2026 compared to the same period last year, primarily driven by recent pricing actions, partially offset by a shift in revenue mix to hardware and increased costs of memory chips. Cost of product revenue was comprised primarily of third-party contract manufacturers’ costs and costs of materials used in production.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Service gross margin decreased 0.1 percentage points during the three months ended June 30, 2026 compared to the same period last year, primarily driven by increased costs related to the continued expansion of our data center and cloud services, partially offset by service revenue growth outpacing increases in labor costs. Cost of service revenue was comprised primarily of personnel-related costs, replacement and repair costs, cloud services costs from owned data centers, colocation providers and cloud service providers, infrastructure depreciation and related operating costs, software and delivery costs, and facility-related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0090" w:type="dxa"/>
        <w:jc w:val="left"/>
        <w:tblInd w:w="0" w:type="dxa"/>
        <w:tblLayout w:type="fixed"/>
        <w:tblCellMar>
          <w:top w:w="28" w:type="dxa"/>
          <w:left w:w="28" w:type="dxa"/>
          <w:bottom w:w="28" w:type="dxa"/>
          <w:right w:w="28" w:type="dxa"/>
        </w:tblCellMar>
      </w:tblPr>
      <w:tblGrid>
        <w:gridCol w:w="1124"/>
        <w:gridCol w:w="988"/>
        <w:gridCol w:w="992"/>
        <w:gridCol w:w="211"/>
        <w:gridCol w:w="616"/>
        <w:gridCol w:w="109"/>
        <w:gridCol w:w="109"/>
        <w:gridCol w:w="109"/>
        <w:gridCol w:w="109"/>
        <w:gridCol w:w="202"/>
        <w:gridCol w:w="204"/>
        <w:gridCol w:w="426"/>
        <w:gridCol w:w="109"/>
        <w:gridCol w:w="109"/>
        <w:gridCol w:w="109"/>
        <w:gridCol w:w="211"/>
        <w:gridCol w:w="616"/>
        <w:gridCol w:w="109"/>
        <w:gridCol w:w="109"/>
        <w:gridCol w:w="109"/>
        <w:gridCol w:w="109"/>
        <w:gridCol w:w="202"/>
        <w:gridCol w:w="204"/>
        <w:gridCol w:w="426"/>
        <w:gridCol w:w="109"/>
        <w:gridCol w:w="109"/>
        <w:gridCol w:w="109"/>
        <w:gridCol w:w="211"/>
        <w:gridCol w:w="511"/>
        <w:gridCol w:w="109"/>
        <w:gridCol w:w="109"/>
        <w:gridCol w:w="109"/>
        <w:gridCol w:w="109"/>
        <w:gridCol w:w="203"/>
        <w:gridCol w:w="203"/>
        <w:gridCol w:w="578"/>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04" w:type="dxa"/>
            <w:gridSpan w:val="3"/>
            <w:vMerge w:val="continue"/>
            <w:tcBorders/>
            <w:tcMar>
              <w:top w:w="0" w:type="dxa"/>
              <w:left w:w="0" w:type="dxa"/>
              <w:bottom w:w="0" w:type="dxa"/>
              <w:right w:w="0" w:type="dxa"/>
            </w:tcMar>
            <w:vAlign w:val="center"/>
          </w:tcPr>
          <w:p>
            <w:pPr>
              <w:pStyle w:val="Normal"/>
              <w:bidi w:val="0"/>
              <w:jc w:val="left"/>
              <w:rPr/>
            </w:pPr>
            <w:r>
              <w:rPr/>
            </w:r>
          </w:p>
        </w:tc>
        <w:tc>
          <w:tcPr>
            <w:tcW w:w="20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0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04" w:type="dxa"/>
            <w:gridSpan w:val="3"/>
            <w:vMerge w:val="continue"/>
            <w:tcBorders/>
            <w:tcMar>
              <w:top w:w="0" w:type="dxa"/>
              <w:left w:w="0" w:type="dxa"/>
              <w:bottom w:w="0" w:type="dxa"/>
              <w:right w:w="0" w:type="dxa"/>
            </w:tcMar>
            <w:vAlign w:val="center"/>
          </w:tcPr>
          <w:p>
            <w:pPr>
              <w:pStyle w:val="Normal"/>
              <w:bidi w:val="0"/>
              <w:jc w:val="left"/>
              <w:rPr/>
            </w:pPr>
            <w:r>
              <w:rPr/>
            </w:r>
          </w:p>
        </w:tc>
        <w:tc>
          <w:tcPr>
            <w:tcW w:w="69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6986" w:type="dxa"/>
            <w:gridSpan w:val="3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$15.5 million, or 7%, during the three months ended June 30, 2026 compared to the same period last year, primarily due to an increase of $13.5 million in personnel-related costs as a result of increased headcount and compensation rates to support the development of new products and continued enhancements to our existing products and the impact of the recent acquisitions. We expect research and development expenses to increase in absolute dollars year over year during the remainder of 2026 as we invest to drive continued innovation in our products and services.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$77.1 million, or 13%, during the three months ended June 30, 2026 compared to the same period last year, primarily due to an increase of $73.4 million in personnel-related costs. We expect our sales and marketing expenses to increase in absolute dollars year over year during the remainder of 2026 as we continue to invest in our global sales and marketing organization to capture additional market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$4.2 million, or 7%, during the three months ended June 30, 2026 compared to the same period last year, primarily due to an increase of $2.1 million in legal related fees and other professional services fees and an increase of $1.5 million in personnel-related costs. We expect our general and administrative expenses to increase in absolute dollars year over year during the remainder of 2026, primarily to support our growing operations while continuing to leverage scale and efficiencies.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income and margin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generated operating income of $689.3 million during the three months ended June 30, 2026, an increase of $231.3 million, or 51%, compared to $458.0 million in the same period last year. Operating margin was 33.7% during the three months ended June 30, 2026, compared to 28.1% in the same period last year. The improvement in operating margin was primarily driven by operating leverage, as revenue growth outpaced the increase in operating expenses, partially offset by lower total gross margin. The 5.6 percentage point increase in operating margin was primarily due to 3.6, 1.9 and 0.6 percentage points decreases in sales and marketing expenses, research and development expenses and general and administrative expenses, as a percentage of revenue, respectively, partially offset by a 0.5 percentage point decrease in gross margin as a percentage of revenue.</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Interest income, interest expense and other income</w:t>
      </w:r>
      <w:r>
        <w:rPr>
          <w:color w:val="000000"/>
        </w:rPr>
        <w:t>—</w:t>
      </w:r>
      <w:r>
        <w:rPr>
          <w:rFonts w:ascii="Times New Roman;serif" w:hAnsi="Times New Roman;serif"/>
          <w:b/>
          <w:i/>
          <w:color w:val="000000"/>
          <w:sz w:val="20"/>
        </w:rPr>
        <w:t xml:space="preserve">net </w:t>
      </w:r>
    </w:p>
    <w:tbl>
      <w:tblPr>
        <w:tblW w:w="6227" w:type="dxa"/>
        <w:jc w:val="center"/>
        <w:tblInd w:w="0" w:type="dxa"/>
        <w:tblLayout w:type="fixed"/>
        <w:tblCellMar>
          <w:top w:w="28" w:type="dxa"/>
          <w:left w:w="28" w:type="dxa"/>
          <w:bottom w:w="28" w:type="dxa"/>
          <w:right w:w="28" w:type="dxa"/>
        </w:tblCellMar>
      </w:tblPr>
      <w:tblGrid>
        <w:gridCol w:w="603"/>
        <w:gridCol w:w="528"/>
        <w:gridCol w:w="533"/>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18"/>
        <w:gridCol w:w="218"/>
        <w:gridCol w:w="578"/>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64"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64" w:type="dxa"/>
            <w:gridSpan w:val="3"/>
            <w:vMerge w:val="continue"/>
            <w:tcBorders/>
            <w:tcMar>
              <w:top w:w="0" w:type="dxa"/>
              <w:left w:w="0" w:type="dxa"/>
              <w:bottom w:w="0" w:type="dxa"/>
              <w:right w:w="0" w:type="dxa"/>
            </w:tcMar>
            <w:vAlign w:val="center"/>
          </w:tcPr>
          <w:p>
            <w:pPr>
              <w:pStyle w:val="Normal"/>
              <w:bidi w:val="0"/>
              <w:jc w:val="left"/>
              <w:rPr/>
            </w:pPr>
            <w:r>
              <w:rPr/>
            </w:r>
          </w:p>
        </w:tc>
        <w:tc>
          <w:tcPr>
            <w:tcW w:w="4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Interest income decreased $11.8 million during the three months ended June 30, 2026 compared to the same period last year, primarily due to lower average interest rates and lower average cash and cash equivalents balances as a result of share repurchases and debt repayment. Interest income varies depending on our average cash, cash equivalents and short-term and long-term investments balances during the period, types and mix of deposits and investments, and interest rates. Interest expense decreased $1.4 million during the three months ended June 30, 2026 compared to the same period last year, primarily due to the repayment of our 2026 Senior Notes at maturity in March 2026. Other income—net decreased $18.0 million during the three months ended June 30, 2026 compared to the same period last year, primarily due to a </w:t>
      </w:r>
      <w:r>
        <w:rPr>
          <w:rFonts w:ascii="Times New Roman;serif" w:hAnsi="Times New Roman;serif"/>
          <w:b w:val="false"/>
          <w:color w:val="000000"/>
          <w:sz w:val="20"/>
          <w:shd w:fill="FFFFFF" w:val="clear"/>
        </w:rPr>
        <w:t xml:space="preserve">$10.1 million </w:t>
      </w:r>
      <w:r>
        <w:rPr>
          <w:rFonts w:ascii="Times New Roman;serif" w:hAnsi="Times New Roman;serif"/>
          <w:b w:val="false"/>
          <w:color w:val="000000"/>
          <w:sz w:val="20"/>
        </w:rPr>
        <w:t xml:space="preserve">increase in foreign currency exchange losses and a $6.3 million decrease in net </w:t>
      </w:r>
      <w:r>
        <w:rPr>
          <w:rFonts w:ascii="Times New Roman;serif" w:hAnsi="Times New Roman;serif"/>
          <w:b w:val="false"/>
          <w:color w:val="000000"/>
          <w:sz w:val="20"/>
          <w:shd w:fill="FFFFFF" w:val="clear"/>
        </w:rPr>
        <w:t>gains on marketable equity securities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159" w:type="dxa"/>
        <w:jc w:val="center"/>
        <w:tblInd w:w="0" w:type="dxa"/>
        <w:tblLayout w:type="fixed"/>
        <w:tblCellMar>
          <w:top w:w="28" w:type="dxa"/>
          <w:left w:w="28" w:type="dxa"/>
          <w:bottom w:w="28" w:type="dxa"/>
          <w:right w:w="28" w:type="dxa"/>
        </w:tblCellMar>
      </w:tblPr>
      <w:tblGrid>
        <w:gridCol w:w="825"/>
        <w:gridCol w:w="726"/>
        <w:gridCol w:w="729"/>
        <w:gridCol w:w="211"/>
        <w:gridCol w:w="616"/>
        <w:gridCol w:w="271"/>
        <w:gridCol w:w="109"/>
        <w:gridCol w:w="109"/>
        <w:gridCol w:w="109"/>
        <w:gridCol w:w="211"/>
        <w:gridCol w:w="511"/>
        <w:gridCol w:w="271"/>
        <w:gridCol w:w="109"/>
        <w:gridCol w:w="109"/>
        <w:gridCol w:w="109"/>
        <w:gridCol w:w="211"/>
        <w:gridCol w:w="511"/>
        <w:gridCol w:w="109"/>
        <w:gridCol w:w="109"/>
        <w:gridCol w:w="109"/>
        <w:gridCol w:w="109"/>
        <w:gridCol w:w="199"/>
        <w:gridCol w:w="199"/>
        <w:gridCol w:w="578"/>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80"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80" w:type="dxa"/>
            <w:gridSpan w:val="3"/>
            <w:vMerge w:val="continue"/>
            <w:tcBorders/>
            <w:tcMar>
              <w:top w:w="0" w:type="dxa"/>
              <w:left w:w="0" w:type="dxa"/>
              <w:bottom w:w="0" w:type="dxa"/>
              <w:right w:w="0" w:type="dxa"/>
            </w:tcMar>
            <w:vAlign w:val="center"/>
          </w:tcPr>
          <w:p>
            <w:pPr>
              <w:pStyle w:val="Normal"/>
              <w:bidi w:val="0"/>
              <w:jc w:val="left"/>
              <w:rPr/>
            </w:pPr>
            <w:r>
              <w:rPr/>
            </w:r>
          </w:p>
        </w:tc>
        <w:tc>
          <w:tcPr>
            <w:tcW w:w="48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16% for the three months ended June 30, 2026, compared to an effective tax rate of 15% for the same period last year. The provision for income taxes for the three months ended June 30, 2026 was primarily comprised of U.S. federal and state taxes, withholding taxes and foreign taxes totaling $166.6 million, which was favorably affected by a tax benefit of $33.9 million from the FDDEI deduction and excess tax benefits from stock-based compensation expense of $17.7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months ended June 30, 2025 was primarily comprised of U.S. federal and state taxes, withholding taxes, and foreign taxes totaling $114.6 million, which was favorably affected by a tax benefit of $25.1 million from the FDDEI deduction and excess tax benefits from stock-based compensation expense of $12.4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tbl>
      <w:tblPr>
        <w:tblW w:w="9572" w:type="dxa"/>
        <w:jc w:val="left"/>
        <w:tblInd w:w="0" w:type="dxa"/>
        <w:tblLayout w:type="fixed"/>
        <w:tblCellMar>
          <w:top w:w="28" w:type="dxa"/>
          <w:left w:w="28" w:type="dxa"/>
          <w:bottom w:w="28" w:type="dxa"/>
          <w:right w:w="28" w:type="dxa"/>
        </w:tblCellMar>
      </w:tblPr>
      <w:tblGrid>
        <w:gridCol w:w="747"/>
        <w:gridCol w:w="660"/>
        <w:gridCol w:w="662"/>
        <w:gridCol w:w="211"/>
        <w:gridCol w:w="766"/>
        <w:gridCol w:w="109"/>
        <w:gridCol w:w="109"/>
        <w:gridCol w:w="109"/>
        <w:gridCol w:w="109"/>
        <w:gridCol w:w="232"/>
        <w:gridCol w:w="234"/>
        <w:gridCol w:w="426"/>
        <w:gridCol w:w="109"/>
        <w:gridCol w:w="109"/>
        <w:gridCol w:w="109"/>
        <w:gridCol w:w="211"/>
        <w:gridCol w:w="766"/>
        <w:gridCol w:w="109"/>
        <w:gridCol w:w="109"/>
        <w:gridCol w:w="109"/>
        <w:gridCol w:w="109"/>
        <w:gridCol w:w="232"/>
        <w:gridCol w:w="234"/>
        <w:gridCol w:w="426"/>
        <w:gridCol w:w="109"/>
        <w:gridCol w:w="109"/>
        <w:gridCol w:w="109"/>
        <w:gridCol w:w="211"/>
        <w:gridCol w:w="616"/>
        <w:gridCol w:w="109"/>
        <w:gridCol w:w="109"/>
        <w:gridCol w:w="109"/>
        <w:gridCol w:w="109"/>
        <w:gridCol w:w="199"/>
        <w:gridCol w:w="199"/>
        <w:gridCol w:w="578"/>
      </w:tblGrid>
      <w:tr>
        <w:trPr/>
        <w:tc>
          <w:tcPr>
            <w:tcW w:w="7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23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75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7503"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 increased $727.8 million, or 23%, during the six months ended June 30, 2026 compared to the same period last year. We continued to experience geographically diversified revenue, as well as diversification across customer and industry verticals. Revenue from all regions grew, with EMEA contributing the largest portion of the increase on an absolute dollar basis and on a percentage basis.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increased $450.1 million, or 46%, during the six months ended June 30, 2026 compared to the same period last year, primarily driven by hardware revenue growth resulting from higher unit shipments year over year and recent pricing actions. We experienced product revenue growth across our hardware products and software licensing, mainly driven by growth in secure networking hardware products and term licenses, including increased demand for higher performance products, deployments related to AI infrastructure, technology upgrades, upsell activity, and expansion into new use cases.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Service revenue increased $277.7 million, or 13%, during the six months ended June 30, 2026 compared to the same period last year. Security subscription revenue increased $156.2 million, or 12%, and technical support and other services revenue increased $121.5 million, or 13%, during the six months ended June 30, 2026 compared to the same period last year. The increase was primarily due to the recognition of revenue from our growing deferred revenue balance related to FortiGuard and other security subscriptions delivered</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on-premise and cloud</w:t>
      </w:r>
      <w:r>
        <w:rPr>
          <w:rFonts w:ascii="Times New Roman;serif" w:hAnsi="Times New Roman;serif"/>
          <w:b w:val="false"/>
          <w:color w:val="000000"/>
          <w:sz w:val="20"/>
          <w:shd w:fill="FFFFFF" w:val="clear"/>
        </w:rPr>
        <w:t xml:space="preserve">-based </w:t>
      </w:r>
      <w:r>
        <w:rPr>
          <w:rFonts w:ascii="Times New Roman;serif" w:hAnsi="Times New Roman;serif"/>
          <w:b w:val="false"/>
          <w:color w:val="000000"/>
          <w:sz w:val="20"/>
        </w:rPr>
        <w:t xml:space="preserve">environments and growth in SaaS solutions, including unified SASE and SecOps, </w:t>
      </w:r>
      <w:r>
        <w:rPr>
          <w:rFonts w:ascii="Times New Roman;serif" w:hAnsi="Times New Roman;serif"/>
          <w:b w:val="false"/>
          <w:color w:val="000000"/>
          <w:sz w:val="20"/>
          <w:shd w:fill="FFFFFF" w:val="clear"/>
        </w:rPr>
        <w:t>as well as</w:t>
      </w:r>
      <w:r>
        <w:rPr>
          <w:color w:val="000000"/>
        </w:rPr>
        <w:t xml:space="preserve"> </w:t>
      </w:r>
      <w:r>
        <w:rPr>
          <w:rFonts w:ascii="Times New Roman;serif" w:hAnsi="Times New Roman;serif"/>
          <w:b w:val="false"/>
          <w:color w:val="000000"/>
          <w:sz w:val="20"/>
        </w:rPr>
        <w:t>FortiCare technical support service.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Of the service revenue recognized during the six months ended June 30, 2026 and 2025, 84%</w:t>
      </w:r>
      <w:r>
        <w:rPr>
          <w:color w:val="000000"/>
          <w:shd w:fill="FFFFFF" w:val="clear"/>
        </w:rPr>
        <w:t xml:space="preserve"> </w:t>
      </w:r>
      <w:r>
        <w:rPr>
          <w:rFonts w:ascii="Times New Roman;serif" w:hAnsi="Times New Roman;serif"/>
          <w:b w:val="false"/>
          <w:color w:val="000000"/>
          <w:sz w:val="20"/>
        </w:rPr>
        <w:t>was included in the deferred revenue balance as of December 31, 2025 and 2024</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tbl>
      <w:tblPr>
        <w:tblW w:w="6919" w:type="dxa"/>
        <w:jc w:val="center"/>
        <w:tblInd w:w="0" w:type="dxa"/>
        <w:tblLayout w:type="fixed"/>
        <w:tblCellMar>
          <w:top w:w="28" w:type="dxa"/>
          <w:left w:w="28" w:type="dxa"/>
          <w:bottom w:w="28" w:type="dxa"/>
          <w:right w:w="28" w:type="dxa"/>
        </w:tblCellMar>
      </w:tblPr>
      <w:tblGrid>
        <w:gridCol w:w="662"/>
        <w:gridCol w:w="583"/>
        <w:gridCol w:w="585"/>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99"/>
        <w:gridCol w:w="199"/>
        <w:gridCol w:w="578"/>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5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margin decreased 0.5 percentage points during the six months ended June 30, 2026 compared to the same period last year, primarily driven by a shift in the revenue mix to lower margin product revenue. Revenue mix shifted by 5.9 percentage points from service revenue to product revenue, as a percentage of total revenue.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gross margin increased 1.4 percentage points during the six months ended June 30, 2026 compared to the same period last year, primarily driven by recent pricing actions, partially offset by a shift in revenue mix to hardware and increased costs of memory chips. Cost of product revenue was comprised primarily of third-party contract manufacturers’ costs and costs of materials used in production.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 gross margin remained flat during the six months ended June 30, 2026 compared to the same period last year. Cost of service revenue was comprised primarily of personnel-related costs, replacement and repair costs, cloud services costs from owned data centers, colocation providers and cloud service providers, infrastructure depreciation and related operating costs, software and delivery costs, and facility-related costs.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050"/>
        <w:gridCol w:w="868"/>
        <w:gridCol w:w="872"/>
        <w:gridCol w:w="211"/>
        <w:gridCol w:w="766"/>
        <w:gridCol w:w="109"/>
        <w:gridCol w:w="109"/>
        <w:gridCol w:w="109"/>
        <w:gridCol w:w="109"/>
        <w:gridCol w:w="202"/>
        <w:gridCol w:w="204"/>
        <w:gridCol w:w="426"/>
        <w:gridCol w:w="109"/>
        <w:gridCol w:w="109"/>
        <w:gridCol w:w="109"/>
        <w:gridCol w:w="211"/>
        <w:gridCol w:w="766"/>
        <w:gridCol w:w="109"/>
        <w:gridCol w:w="109"/>
        <w:gridCol w:w="109"/>
        <w:gridCol w:w="109"/>
        <w:gridCol w:w="202"/>
        <w:gridCol w:w="204"/>
        <w:gridCol w:w="426"/>
        <w:gridCol w:w="109"/>
        <w:gridCol w:w="109"/>
        <w:gridCol w:w="109"/>
        <w:gridCol w:w="211"/>
        <w:gridCol w:w="616"/>
        <w:gridCol w:w="109"/>
        <w:gridCol w:w="109"/>
        <w:gridCol w:w="109"/>
        <w:gridCol w:w="109"/>
        <w:gridCol w:w="214"/>
        <w:gridCol w:w="214"/>
        <w:gridCol w:w="580"/>
      </w:tblGrid>
      <w:tr>
        <w:trPr/>
        <w:tc>
          <w:tcPr>
            <w:tcW w:w="105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7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74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Percentages have been rounded for presentation purposes and may differ from unrounded results.</w:t>
            </w:r>
          </w:p>
        </w:tc>
      </w:tr>
    </w:tbl>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$30.9 million, or 8%, during the six months ended June 30, 2026 compared to the same period last year, primarily due to an increase of $29.7 million in personnel-related costs as a result of increased headcount and compensation rates to support the development of new products and continued enhancements to our existing products and the impact of the recent acquisitions.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$170.7 million, or 15%, during the six months ended June 30, 2026 compared to the same period last year, primarily due to an increase of $146.5 million in personnel-related costs and an increase of $11.6 million in marketing program and related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$2.6 million, or 2%, during the six months ended June 30, 2026 compared to the same period last year, primarily due to an increase of $1.3 million in provision for expected credit losses and $0.9 million in legal related fees and other professional services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income and margin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generated operating income of $1.27 billion during the six months ended June 30, 2026, an increase of $357.5 million, or 39%, compared to $911.8 million in the same period last year. Operating margin was 32.6% during the six months ended June 30, 2026, compared to 28.8% in the same period last year. The improvement in operating margin was primarily driven by operating leverage, as revenue growth outpaced the increase in operating expenses, partially offset by lower total gross margin. The 3.8 percentage point increase in operating margin was primarily due to 2.3, 1.6 and 0.6 percentage points decrease in sales and marketing expenses, research and development expenses and general and administrative expenses as a percentage of revenue, respectively, partially offset by a 0.5 percentage point decrease in gross margin and 0.2 percentage point decrease in gain on intellectual property matters as a percentage of revenue.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Interest income, interest expense and other income</w:t>
      </w:r>
      <w:r>
        <w:rPr>
          <w:color w:val="000000"/>
        </w:rPr>
        <w:t>—</w:t>
      </w:r>
      <w:r>
        <w:rPr>
          <w:rFonts w:ascii="Times New Roman;serif" w:hAnsi="Times New Roman;serif"/>
          <w:b/>
          <w:i/>
          <w:color w:val="000000"/>
          <w:sz w:val="20"/>
        </w:rPr>
        <w:t xml:space="preserve">net </w:t>
      </w:r>
    </w:p>
    <w:tbl>
      <w:tblPr>
        <w:tblW w:w="6227" w:type="dxa"/>
        <w:jc w:val="center"/>
        <w:tblInd w:w="0" w:type="dxa"/>
        <w:tblLayout w:type="fixed"/>
        <w:tblCellMar>
          <w:top w:w="28" w:type="dxa"/>
          <w:left w:w="28" w:type="dxa"/>
          <w:bottom w:w="28" w:type="dxa"/>
          <w:right w:w="28" w:type="dxa"/>
        </w:tblCellMar>
      </w:tblPr>
      <w:tblGrid>
        <w:gridCol w:w="603"/>
        <w:gridCol w:w="528"/>
        <w:gridCol w:w="533"/>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18"/>
        <w:gridCol w:w="218"/>
        <w:gridCol w:w="578"/>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64" w:type="dxa"/>
            <w:gridSpan w:val="3"/>
            <w:vMerge w:val="continue"/>
            <w:tcBorders/>
            <w:tcMar>
              <w:top w:w="0" w:type="dxa"/>
              <w:left w:w="0" w:type="dxa"/>
              <w:bottom w:w="0" w:type="dxa"/>
              <w:right w:w="0" w:type="dxa"/>
            </w:tcMar>
            <w:vAlign w:val="center"/>
          </w:tcPr>
          <w:p>
            <w:pPr>
              <w:pStyle w:val="Normal"/>
              <w:bidi w:val="0"/>
              <w:jc w:val="left"/>
              <w:rPr/>
            </w:pPr>
            <w:r>
              <w:rPr/>
            </w:r>
          </w:p>
        </w:tc>
        <w:tc>
          <w:tcPr>
            <w:tcW w:w="4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Interest income decreased $23.2 million during the six months ended June 30, 2026 compared to the same period last year, primarily due to lower average interest rates and lower average cash and cash equivalents balances as a result of share repurchases and debt repayment. Interest income varies depending on our average cash, cash equivalents and short-term and long-term investments balances during the period, types and mix of deposits and investments, and interest rates. Interest expense decreased $2.1 million during the six months ended June 30, 2026 compared to the same period last year, primarily due to the repayment of our 2026 Senior Notes at maturity in March 2026. Other income—net increased $3.8 million during the six months ended June 30, 2026 compared to the same period last year, primarily due to a net change of $55.6 million from net losses to net gains on marketable equity securities, partially offset by </w:t>
      </w:r>
      <w:r>
        <w:rPr>
          <w:rFonts w:ascii="Times New Roman;serif" w:hAnsi="Times New Roman;serif"/>
          <w:b w:val="false"/>
          <w:color w:val="000000"/>
          <w:sz w:val="20"/>
          <w:shd w:fill="FFFFFF" w:val="clear"/>
        </w:rPr>
        <w:t xml:space="preserve">a change of $39.9 million in </w:t>
      </w:r>
      <w:r>
        <w:rPr>
          <w:rFonts w:ascii="Times New Roman;serif" w:hAnsi="Times New Roman;serif"/>
          <w:b w:val="false"/>
          <w:color w:val="000000"/>
          <w:sz w:val="20"/>
        </w:rPr>
        <w:t>gain on bargain purchase related to our acquisition of Linksys recognized only in the three months ended March 31, 2025 and an $11.0 million increase in foreign currency exchange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264" w:type="dxa"/>
        <w:jc w:val="center"/>
        <w:tblInd w:w="0" w:type="dxa"/>
        <w:tblLayout w:type="fixed"/>
        <w:tblCellMar>
          <w:top w:w="28" w:type="dxa"/>
          <w:left w:w="28" w:type="dxa"/>
          <w:bottom w:w="28" w:type="dxa"/>
          <w:right w:w="28" w:type="dxa"/>
        </w:tblCellMar>
      </w:tblPr>
      <w:tblGrid>
        <w:gridCol w:w="825"/>
        <w:gridCol w:w="726"/>
        <w:gridCol w:w="72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199"/>
        <w:gridCol w:w="199"/>
        <w:gridCol w:w="578"/>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80"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80" w:type="dxa"/>
            <w:gridSpan w:val="3"/>
            <w:vMerge w:val="continue"/>
            <w:tcBorders/>
            <w:tcMar>
              <w:top w:w="0" w:type="dxa"/>
              <w:left w:w="0" w:type="dxa"/>
              <w:bottom w:w="0" w:type="dxa"/>
              <w:right w:w="0" w:type="dxa"/>
            </w:tcMar>
            <w:vAlign w:val="center"/>
          </w:tcPr>
          <w:p>
            <w:pPr>
              <w:pStyle w:val="Normal"/>
              <w:bidi w:val="0"/>
              <w:jc w:val="left"/>
              <w:rPr/>
            </w:pPr>
            <w:r>
              <w:rPr/>
            </w:r>
          </w:p>
        </w:tc>
        <w:tc>
          <w:tcPr>
            <w:tcW w:w="49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17% for each of the six months ended June 30, 2026 and 2025. The provision for income taxes for the six months ended June 30, 2026 was primarily comprised of U.S. federal and state taxes, withholding taxes and foreign taxes totaling $332.0 million, which was favorably affected by a tax benefit of $68.0 million from the FDDEI deduction and excess tax benefits from stock-based compensation expense of $27.1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six months ended June 30, 2025 was primarily comprised of U.S. federal and state taxes, withholding taxes and foreign taxes totaling $243.2 million as well as a tax provision of $30.6 million related to the derecognition of deferred tax assets from the business combination with Linksys. This provision for income taxes was favorably affected by a tax benefit of $50.9 million from the FDDEI deduction and excess tax benefits from stock-based compensation expense of $49.3 million.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tbl>
      <w:tblPr>
        <w:tblW w:w="7682" w:type="dxa"/>
        <w:jc w:val="left"/>
        <w:tblInd w:w="0" w:type="dxa"/>
        <w:tblLayout w:type="fixed"/>
        <w:tblCellMar>
          <w:top w:w="28" w:type="dxa"/>
          <w:left w:w="28" w:type="dxa"/>
          <w:bottom w:w="28" w:type="dxa"/>
          <w:right w:w="28" w:type="dxa"/>
        </w:tblCellMar>
      </w:tblPr>
      <w:tblGrid>
        <w:gridCol w:w="1842"/>
        <w:gridCol w:w="1616"/>
        <w:gridCol w:w="1626"/>
        <w:gridCol w:w="211"/>
        <w:gridCol w:w="766"/>
        <w:gridCol w:w="109"/>
        <w:gridCol w:w="109"/>
        <w:gridCol w:w="109"/>
        <w:gridCol w:w="109"/>
        <w:gridCol w:w="221"/>
        <w:gridCol w:w="803"/>
        <w:gridCol w:w="161"/>
      </w:tblGrid>
      <w:tr>
        <w:trPr/>
        <w:tc>
          <w:tcPr>
            <w:tcW w:w="18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Liquidity and capital resources are primarily impacted by our operating activities, as well as repurchases of our common stock, repayment of senior notes, real estate purchases and other capital expenditures, investment grade debt balance, payments of taxes in connection with the net settlement of equity awards, proceeds from the issuance of common stock and business combinations.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tensions between China and Taiwan or conflicts in the Middle East, an increase in installment billings, and our ability to execute. In July 2026, Moody’s upgraded certain of our credit ratings to A3 from Baa1 and changed the outlook to Stable from Positive. Our S&amp;P ratings remain BBB+ with a Stable outlook. We believe our investment grade credit ratings support our continued financial flexibility and access to the capital markets. We expect proceeds from the exercise of stock options in future years to continue to be impacted by the increased mix of restricted stock units and performance stock units versus stock options granted to our employees and to vary based on our stock price.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our board of directors approved a $1.0 billion increase in the authorized stock repurchase amount under the Repurchase Program, bringing the aggregate amount authorized for repurchases to $10.25 billion of our outstanding common stock through February 28, 2027. During the six months ended June 30, 2026, we repurchased 12.5 million shares of common stock under the Repurchase Program for an aggregate purchase price of $972.8 million. As of June 30, 2026, approximately $765.8 million remained available for future share repurchases. Refer to Note 11. Equity Plans and Share Repurchase Program.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We expect to continue to increase our data center, PoP, office and warehouse capacity to support growth and the expansion of existing services or introduction of new services. As we purchase new properties, we will work to incorpo</w:t>
      </w:r>
      <w:r>
        <w:rPr>
          <w:rFonts w:ascii="Times New Roman;serif" w:hAnsi="Times New Roman;serif"/>
          <w:b w:val="false"/>
          <w:color w:val="000000"/>
          <w:sz w:val="20"/>
        </w:rPr>
        <w:t>rate these</w:t>
      </w:r>
      <w:r>
        <w:rPr>
          <w:color w:val="000000"/>
          <w:shd w:fill="FFFFFF" w:val="clear"/>
        </w:rPr>
        <w:t xml:space="preserve"> </w:t>
      </w:r>
      <w:r>
        <w:rPr>
          <w:rFonts w:ascii="Times New Roman;serif" w:hAnsi="Times New Roman;serif"/>
          <w:b w:val="false"/>
          <w:color w:val="000000"/>
          <w:sz w:val="20"/>
          <w:shd w:fill="FFFFFF" w:val="clear"/>
        </w:rPr>
        <w:t>properties into the environmental goals we have established. We estimate the full year capital expenditures to be between approximatel</w:t>
      </w:r>
      <w:r>
        <w:rPr>
          <w:rFonts w:ascii="Times New Roman;serif" w:hAnsi="Times New Roman;serif"/>
          <w:b w:val="false"/>
          <w:color w:val="000000"/>
          <w:sz w:val="20"/>
        </w:rPr>
        <w:t xml:space="preserve">y $350 million and $550 million in 2026.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In the first quarter of 2026, we repaid the full $500.0 million aggregate principal amount of the 2026 Senior Notes upon their maturity on March 15, 2026. As of June 30, 2026, the long-term debt totaled $496.9 million and consisted of the 2031 Senior Notes, net of unamortized discount and debt issuance costs.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that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inventory purchase commitments as of June 30, 2026 totaled $1.67 billion, an increase of $856.5 million compared to $810.6 million as of December 31, 2025, as we continued to work with contract manufacturers and suppliers to optimize our inventory and purchase commitments position based on growth trends in customer demand, product lead times and increasing components cost. We record a liability for inventory purchase commitments in excess of our future demand forecasts consistent with the valuation of our excess and obsolete inventory. As of June 30, 2026 and December 31, 2025, the liability for these inventory purchase commitments was $24.0 million and $26.7 million, respectively, and was recorded in accrued liabilities on our condensed consolidated balance sheets.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and supply chain management remain areas of focus as we balance the need to maintain supply chain flexibility to help ensure 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have open purchase orders and contractual obligations in the ordinary course of business for which we have not received goods or services. As of June 30, 2026, we had $110.9 million in other contractual commitments having a remaining term in excess of one year that are non-cancelable.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to our leases as disclosed in our Annual Report on Form 10-K for the year ended December 31, 2025.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cash, cash equivalents and short-term and long-term investments of $4.47 billion were invested primarily in deposit accounts, commercial paper, corporate debt securities, U.S. government and agency securities, certificates of deposit and term deposits, money market funds and marketable equity securities. It is our investment policy to invest excess cash in a manner that preserves capital, provides liquidity, and generates return without significantly increasing risk. Based on current projections, we expect to have sufficient liquidity to meet our operating requirements for at least the next 12 months and thereafter for the foreseeable future, including our foreseeable future supply obligations, capital expenditures and share repurchases.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cash, cash equivalents and investments held by our international subsidiaries was $278.7 million as of June 30, 2026 and $266.9 million as of December 31,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changes in tariffs and other trade restrictions, impacts of international conflicts, including the war in Ukraine, tensions between China and Taiwan or conflicts in the Middle East.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various working capital components, as well as deferred contract costs, other assets, non-current portion of deferred revenue and other liabilities.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activities during the six months ended June 30, 2026 provided cash flows of $2.12 billion as a result of the continued growth of our business, improved profitability and our ability to successfully manage our working capital. Changes in operating assets and liabilities were primarily driven by working capital movements, as well as an increase of $354.1 million in the non-current portion of deferred revenue, and an increase of $240.5 million in deferred contract costs which primarily consisted of sales commissions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investing activities primarily relate to timing of purchases, maturities and sales of investments, purchases of property and equipment, investments in equity securities and business combinations. Historically,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in investing activities was $190.3 million, primarily driven by $148.6 million used for the purchases of property and equipment and $50.1 million spent for purchases of investments, net of maturities and sales of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financing activities primarily relate to repurchase and retirement of common stock, repayment of senior notes, and taxes paid related to net share settlement of equity awards, net of proceeds from the issuance of common stock under the Amended Plan.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six months ended June 30, 2026, cash used in financing activities was $1.49 billion, primarily driven by $972.8 million </w:t>
      </w:r>
      <w:r>
        <w:rPr>
          <w:rFonts w:ascii="Times New Roman;serif" w:hAnsi="Times New Roman;serif"/>
          <w:b w:val="false"/>
          <w:color w:val="000000"/>
          <w:sz w:val="20"/>
          <w:shd w:fill="FFFFFF" w:val="clear"/>
        </w:rPr>
        <w:t xml:space="preserve">used to repurchase shares of our common stock, </w:t>
      </w:r>
      <w:r>
        <w:rPr>
          <w:rFonts w:ascii="Times New Roman;serif" w:hAnsi="Times New Roman;serif"/>
          <w:b w:val="false"/>
          <w:color w:val="000000"/>
          <w:sz w:val="20"/>
        </w:rPr>
        <w:t>$500.0 million used to repay our 2026 Senior Notes, partially offset by $3.2 million proceeds from the issuance of common stock, net of tax withholding related to net share settlement of equity awards.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our market risk during the six months ended June 30, 2026 compared to the disclosures in Part II, Item 7A of the Form 10-K filed with the SEC on February 25, 2026.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or 15d-15(e) under the Exchange Act) as of June 30,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our disclosure controls and procedures were effective as of June 30, 2026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(as defined in Rules 13a-15(f) or 15d-15(f) under the Exchange Act) during the quarter ended June 30, 2026, that have materially affected, or are reasonably likely to materially affect, our internal controls over financial reporting.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1A.     Risk Factors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Business and Financial Position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operating results are likely to vary significantly and be unpredictable.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have historically varied from period to period, and we expect that they will continue to do so as a result of a number of factors, many of which are outside of our control or may be difficult to predict, including: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economic conditions, including macroeconomic and regional economic challenges resulting, for example, from a recession, tariffs, disruptions of global supply chains or other economic downturn, increased inflation or possible stagflation in certain geographies, changing interest rates, the war in Ukraine, tensions between China and Taiwan, conflicts in the Middle East or other factors;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policy changes and uncertainty with respect to immigration laws, trade policy and tariffs, including increased tariffs applicable to countries where we manufacture our products, foreign imports and tax laws related to international commerce;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strategy, productivity, hiring and retention, and execution, and our ability to attract and retain new end-customers or sell additional products and services to our existing end-customers, including customer demand for platform solutions like ours versus point solutions;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anticipate market changes related to cloud-based solutions and to sell, support and meet service level agreements related to cloud-based solutions;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component shortages, including chips and other components, and product inventory shortages, including those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inventory management, including future inventory purchase commitments;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demand for our products and services, which may render forecasts inaccurate, increase backlog or future inventory purchase commitments and lead to price decreases;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supplier or regulatory cost increases and any lack of market acceptance of our price increases designed to help offset any supplier or regulatory cost increases;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channel partner and end-customer orders and our reliance on a concentration of shipments at the end of each quarter or changes in shipping terms;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to our business, the global economy, disruption of global supply chains and creation of significant volatility and disruption of the financial markets due to factors such as tariffs and policy disputes, increased inflation or possible stagflation in certain geographies, changing interest rates, the war in Ukraine, tensions between China and Taiwan, conflicts in the Middle East and other factors;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expenses, unforeseen liabilities or write-downs and any negative impact on results of operations from any acquisition or equity investment, as well as integration risks related to product plans and products and risks of negative impact by such acquisitions and equity investments on our financial results;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investors’ expectations of our operational performance relating to our sustainability commitments;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customer agreements which contain service-level agreements, under which we guarantee specified availability of our platform and solutions;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inconsistent and evolving data and other security requirements and enforcement across certain jurisdictions;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impairments as a result of certain events or changes in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mix of products sold and the mix of revenue between products and services, as well as the degree to which products and services are bundled and sold together for a package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purchasing practices and budgeting cycles of our channel partners and end-customers, including the effect of the end of product lifecycles, refresh cycles or price decreases;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decreases in demand by channel partners or end-customers, including any such decreases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unpredictability of timing to close larger enterprise and large organization deals, and the risk that our sales representatives do not effectively sell products and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risk associated with our efforts to capture the opportunities related to our identified growth drivers, such as risk associated with our ability to capitalize on the convergence of networking and security, vendor consolidation of various cybersecurity solutions, SD-WAN, infrastructure security, security operations, SASE and other cloud security solutions, endpoint protection, IoT and OT security opportunities and product refresh cycles;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seasonal buying patterns of our end-customers, and the impact of other buying patterns such as dynamic and changing buying patterns based on refresh cycles;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level of our investments in sales and marketing, and the impact of such investments on our operating expenses, operating margin and the productivity, capacity, tenure and effectiveness of execution of our sales and marketing teams;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perceived threats to network security, which may fluctuate from period to period;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requirements, market needs or buying practices and patterns of our distributors, resellers or end-customers;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success of new product and service introductions or enhancements by us or our competitors, or any other change in the competitive landscape of our industry, including consolidation among our competitors, partners or end-customers;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 including those related to tariffs;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increases in our expenses caused by fluctuations in foreign currency exchange rates or a weakening of the U.S. dollar, as a significant portion of our expenses are incurred and paid in currencies other than the U.S. dollar, and such fluctuations may negatively affect our financial condition and results of operations;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existing laws and regulations;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obtain and maintain permits, clearances and certifications that are applicable to our ability to conduct business with the U.S. federal government, other foreign and local governments and other industries and sectors;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litigation fees and costs, settlements, judgments and other equitable and legal relief granted related to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cloud-based and hosted security solutions, including increased demand for such services and uncertainty associated with transition to providing such services, on our billings, revenue, operating margins and free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decisions by potential end-customers to purchase network security solutions from newer technology providers, from larger, more established security vendors or from their primary network equipment vendors;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competition and increased competitiveness in our market, including the competitive pressure caused by product refresh cycles and inventory levels;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both increase revenue and manage and control operating expenses in order to maintain or improve our operating margins;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customer renewal rates or attach rates for our services;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timing of our billings, collection for our contracts or the contractual term of service sold;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our estimated annual effective tax rates and the tax treatment of research and development expenses and the related impact of cash from operations;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circumstances and challenges in business conditions, including decreased demand, which may negatively impact our channel partners’ ability to sell the current inventory they hold and negatively impact their future purchases of products from us;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shift or migration from physical appliances that deliver on-premises network security to cloud and SaaS-based security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channel partners having insufficient financial resources to withstand changes and challenges in business conditions;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in our channel or termination of our relationship with important channel partners, including as a result of consolidation among distributors and resellers of security solutions;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insolvency, credit or other difficulties confronting our key suppliers and channel partners, which could affect their ability to purchase or pay for products and services and which could disrupt our supply or distribution chain;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economic and social instability, including geo-political instability and uncertainty, such as that caused by the war in Ukraine, tensions between China and Taiwan, conflicts in the Middle East, and any disruption or negative impact on our ability to sell to, ship product to and support customers in certain regions based on trade restrictions, embargoes and export control law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general economic conditions, both in domestic and foreign markets;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future accounting pronouncements or changes in our accounting policies as well as the significant costs that may be incurred to adopt and comply with these new pronouncements;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possible impairments or acceleration of depreciation of our existing real estate due to our current real estate investments and future acquisition and development plans; and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legislative or regulatory changes, such as with respect to privacy, information and cybersecurity, exports, the environment, regional component bans, and requirements for local manufacturing. </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Adverse economic conditions, such as a possible recession and possible impacts of inflation or stagflation, tariffs or other trade disruptions, geopolitical instability and conflicts, changing interest rates, reduced information technology spending, including firewall and other security spending, or any economic downturn or recession, may adversely impact our business.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tensions between China and Taiwan or conflicts in the Middle East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international nature of our operations,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efforts to implement changes related to export or import regulations (including the imposition of new or increases in border taxes or tariff rates, changes in customs or tariffs classifications or modifications to tariff exemptions on foreign imports), trade barriers, economic sanctions and other related policies could harm our results of operations. While we do not currently expect tariffs to have a significant effect on our raw material and product import costs, if the United States expands increased tariffs, changes in customs or tariffs classifications or modifications to tariff exemptions or if retaliatory trade measures are taken by other countries in response to the U.S. tariffs, the cost of our products could increase, our operations could be disrupted or we could be required to raise our prices, which may result in the loss of customers and harm to our reputation and operating performance. U.S. tariffs, and any new or additional retaliatory tariffs that may be imposed by foreign countries, may also adversely affect our customers and, consequently, demand for our products. We are monitoring this evolving situation and there can be no assurance that we will be able to mitigate the impacts of any trade measures on our business, which could adversely impact our business, operating results, financial condition, and our stock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modification in these areas, any shift in the enforcement or scope of existing regulations or any change in the countries, administrations,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billings, revenue and free cash flow growth, including our product and service billings and revenue, may slow, and our operating margins may decline, particularly if our billings and revenue do not improve or grow as anticipated, or if customer demand, renewal rates, pricing, competitive dynamics, implementation timing, cost structure, or macroeconomic conditions adversely affect our business, which could negatively impact our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sales execution challenges and lack of optimal sales productivity, worldwide or regional economic challenges based on inflation or possible stagflation, a regional recession or a recession in the global economy, changing interest rates, as a result of regional conflicts, a decrease in the growth of our overall market or softness in demand in certain geographies or industry verticals, such as the service provider industry, changes in our strategic opportunities, execution risks, decreased hardware unit sales growth likely due to a reduced refresh opportunity,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real estate investments, including construction, acquisition, development or leasing of new data centers, data center expansions or office buildings, could involve significant risks to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delays;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availability and delays for data center equipment, including items such as generators and switchgear;</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unexpected budget changes;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prices for and delays in obtaining building supplies, raw materials and data center equipment;</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labor availability, labor disputes and work stoppages with contractors, subcontractors and other third parties;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environmental or regulatory issues and geological problems;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related to permitting and approvals to open from public agencies and utility companies;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unexpected lack of power access or unexpected increases in power needs or connectivity;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or inability for any reason to meet customer requirements and service level agreements, and any resulting penalties or liabilities related thereto;</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investor expectations regarding sustainability;</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in site readiness leading to our failure to meet commitments made to customers;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customer requirements that would necessitate alternative data center design, making our sites less desirable or leading to increased costs in order to make necessary modifications or retrofits.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dependent on the continued services and performance of our senior management, the loss of any of whom could adversely affect our business, operating results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w:t>
      </w:r>
      <w:r>
        <w:rPr>
          <w:rFonts w:ascii="Times New Roman;serif" w:hAnsi="Times New Roman;serif"/>
          <w:b/>
          <w:i/>
          <w:color w:val="000000"/>
          <w:sz w:val="20"/>
          <w:shd w:fill="FFFFFF" w:val="clear"/>
        </w:rPr>
        <w:t>r 26% of our total net accounts receivable as of June 30,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sales are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distributor customers who purchase directly from us accounted for 64% of our total net accounts receivable in the aggregate as of June 30, 2026. See Note 13. Segment Information in Part I, Item 1 of this Quarterly Report on Form 10-Q for distributor customers accounted for 10% or more of our revenue or net accounts receivable. Our largest distributors may experience financial difficulties, face liquidity risk or other financial challenges, which may harm our ability to collect on our accounts receivable.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Additionally, if our channel partners experience issues such as cyberattacks or other operational disruptions, it could negatively impact our ability to receive orders from them and, among other things, may adversely affect our billings and revenue.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Reliance on a concentration of shipments at the end of the quarter or changes in shipping terms could cause our billings and revenue to fall below expected levels</w:t>
      </w:r>
      <w:r>
        <w:rPr>
          <w:rFonts w:ascii="Times New Roman;serif" w:hAnsi="Times New Roman;serif"/>
          <w:b w:val="false"/>
          <w:i/>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failure of anticipated purchase orders to materialize;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logistics partners’ failure or inability to ship products prior to quarter-end to fulfill purchase orders received near the end of the quarter;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in manufacturing or shipping based on power outages, system failures, labor disputes or constraints, excessive demand, natural disasters, geopolitical matters or widespread public health problems including pandemics and epidemics;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accurately forecast our inventory requirements and to appropriately manage inventory to meet demand;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release new products on schedule;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failure of our systems related to order review and processing;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delays in shipments due to trade compliance requirements, labor disputes or logistics changes at shipping ports, airline strikes, severe weather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 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intense competition in our market and we may not maintain or improve our competitive position.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for network security products is intensely competitive and dynamic, and we expect competition to continue to intensify. We face many competitors across the different cybersecurity markets. Our competitors include companies such as Check Point Software Technologies Ltd., Cisco Systems, Inc. (“Cisco”), CrowdStrike Holdings, Inc. (“CrowdStrike”), F5 Networks, Inc., Hewlett-Packard Enterprise, Huawei Technologies Co., Ltd., Microsoft Corporation, Netskope Inc., Palo Alto Networks, Inc., SonicWALL, Inc., Sophos Group Plc, and Zscaler, Inc. (“Zscaler”).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existing and potential competitors’ competitive advantages include: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name recognition and/or longer operating histories;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larger sales and marketing budgets and resources;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broader distribution and established relationships with distribution partners and end-customers;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 to larger customer bases;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customer support resources;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expertise in certain single point solutions;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resources to make acquisitions;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stronger U.S. government relationships;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lower labor and development costs;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substantially greater financial, technical and other resources.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certain of our larger competitors may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and AI companies may compete more with us. Also, many of our smaller competitors that specialize in providing protection from a single type of security threat are often able to deliver these specialized security products to the market more quickly than we can.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hire, retain and motivate qualified personnel, our business will suffer.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have an employment agreement for a specific term, and any of our employees may terminate their employment at any time. Our ability to continue to attract and retain highly skilled personnel will be critical to our future success.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incurred indebtedness and may incur other debt in the future, which may adversely affect our financial condition and future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an aggregate of $496.9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our vulnerability to downturns in our business, to competitive pressures and to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the dedication of a portion of our expected cash from operations to service our indebtedness, thereby reducing the amount of expected cash flow available for other purposes, including capital expenditures, share repurchases and acquisitions;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flexibility in planning for, or reacting to, changes in our businesses and our industries.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Sales and End-Customers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generate a majority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in the supply chain or in manufacturing or shipping, or decreases in demand by channel partners or end-customers, including any such disruption or decreases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changes in trade agreements, tariffs and conflicts such as the war in Ukraine, tensions between China and Taiwan, conflicts in the Middle East and any expansions thereof, could adversely affect our business and financial performance;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instability in foreign markets, such as any economic instability caused by economic downturns or recessions, could adversely affect our business and financial performance;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difficulty in enforcing contracts and accounts receivable collection, including longer collection periods;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longer sales processes for larger deals;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regulatory requirements;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and costs of staffing and managing foreign operations;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uncertainty of protection for IP rights in some countries;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of compliance with foreign policies, laws and regulations and the risks and costs of non-compliance with such policies,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protectionist policies and penalties, and local laws, requirements, policies and perceptions that may adversely impact a U.S.-headquartered business’s sales in certain countries outside of the United States;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the EU Data Act, import and export control laws, trade laws and regulations, tariffs and retaliatory measures, trade barriers and economic sanctions;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regulatory or contractual limitations on our ability to sell our products in certain foreign markets, and the risks and costs of non-compliance;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implement and maintain adequate internal controls to properly manage our international sales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unrest, changes and uncertainty associated with terrorism, hostilities, war or natural disasters;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communication and integration problems resulting from cultural differences and geographic dispersion;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tax, tariff, employment and other laws.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not successful in continuing to execute our strategy to increase our sales to large- and medium-sized end-customers, our results of operations may suffer.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competition from competitors that traditionally target large- and medium-sized businesses, service providers and government organizations and that may already have purchase commitments from those end-customers;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purchasing power and leverage held by large end-customers in negotiating contractual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more stringent support requirements in our support service contracts, including stricter support response times, more complex requirements and increased penalties for any failure to meet support requirements;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longer sales cycles and the associated risk that deals are delayed and that substantial time and resources may be spent on a potential end-customer that elects not to purchase our products and services;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requirements from these customers that we have certain third-party security or other certifications, which we may not have, the lack of which may adversely affect our ability to successfully sell to such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uncertainty as to timing to close large deals and any delays in closing those deals;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longer ramp-up periods for enterprise sales personnel as compared to other sales personnel.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and expect greater payment flexibility from vendors. In addition, large- and medium-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do not increase the effectiveness of our sales organization, we may have difficulty adding new end-customers or increasing sales to our existing end-customers and our business may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We have been growing our salesforce.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Unless we continue to develop better market awareness of our company and our products, and to improve lead generation and sales enablement, our revenue may not continue to grow.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Some of our sales are to government organizations, which subjects us to a number of regulatory requirements, their own supply chain constraints and contractual requirements, challenges and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Government demand, sales and payment for our products and services may be negatively impacted by numerous factors and requirements unique to selling to government agencies, such as: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funding authorizations and requirements unique to government agencies, with funding or purchasing reductions or delays adversely affecting public sector demand for our products. Our business operations, contract awards, and revenue streams are subject to governmental actions, which may introduce risks to our financial performance and strategic growth. In addition, these actions could eliminate or reduce the operations of an agency that we work with, terminate employees with whom we have business relations or cancel or modify a contract with us. Any failure to comply with these actions, shifts in federal procurement strategies, or budgetary reductions imposed by the agency could adversely impact our financial results, competitive positioning, and overall business operations;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geopolitical matters, including tariff and trade disputes, government shutdowns, impact of the war in Ukraine, tensions between China and Taiwan, conflicts in the Middle East, trade protectionism and other geopolitical dynamics that may adversely affect our ability to sell in certain locations or obtain the requisite permits and clearances required for certain purchases by government organizations of our products and services.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do not have certain certifications, this may restrict our ability to sell to certain customers until we have obtained the required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Products and Services, Industry and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Actual, possible or perceived defects, errors or vulnerabilities, including critical vulnerabilities, in our products or services, the failure of our products or services to detect or prevent a security incident or the misuse of our products could harm our and our customers</w:t>
      </w:r>
      <w:r>
        <w:rPr>
          <w:color w:val="000000"/>
        </w:rPr>
        <w:t xml:space="preserve">’ </w:t>
      </w:r>
      <w:r>
        <w:rPr>
          <w:rFonts w:ascii="Times New Roman;serif" w:hAnsi="Times New Roman;serif"/>
          <w:b/>
          <w:i/>
          <w:color w:val="000000"/>
          <w:sz w:val="20"/>
        </w:rPr>
        <w:t>operational results and reputation.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Our product</w:t>
      </w:r>
      <w:r>
        <w:rPr>
          <w:rFonts w:ascii="Times New Roman;serif" w:hAnsi="Times New Roman;serif"/>
          <w:b w:val="false"/>
          <w:color w:val="000000"/>
          <w:sz w:val="20"/>
          <w:shd w:fill="FFFFFF" w:val="clear"/>
        </w:rPr>
        <w: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w:t>
      </w:r>
      <w:r>
        <w:rPr>
          <w:rFonts w:ascii="Times New Roman;serif" w:hAnsi="Times New Roman;serif"/>
          <w:b w:val="false"/>
          <w:color w:val="000000"/>
          <w:sz w:val="20"/>
        </w:rPr>
        <w:t>vent, and detect, and threat actors may leverage AI tools to exploit product errors, defects, logic flaws, and vulnerabilities. If we are unable to maintain an effective supply chain security risk management and products security program or we inadvertently release a product or an update to a product with a defect in it, then the security and integrity of our products and the updates to those pr</w:t>
      </w:r>
      <w:r>
        <w:rPr>
          <w:rFonts w:ascii="Times New Roman;serif" w:hAnsi="Times New Roman;serif"/>
          <w:b w:val="false"/>
          <w:color w:val="000000"/>
          <w:sz w:val="20"/>
          <w:shd w:fill="FFFFFF" w:val="clear"/>
        </w:rPr>
        <w:t>oducts that our customers receive could be exploited by third parties or insiders, or our solutions or updates thereto could cause an unintended disruption to our customers</w:t>
      </w:r>
      <w:r>
        <w:rPr>
          <w:color w:val="000000"/>
        </w:rPr>
        <w:t xml:space="preserve">’ </w:t>
      </w:r>
      <w:r>
        <w:rPr>
          <w:rFonts w:ascii="Times New Roman;serif" w:hAnsi="Times New Roman;serif"/>
          <w:b w:val="false"/>
          <w:color w:val="000000"/>
          <w:sz w:val="20"/>
          <w:shd w:fill="FFFFFF" w:val="clear"/>
        </w:rPr>
        <w:t xml:space="preserve">operations. Different customers deploy and use our products in different ways, and certain deployments and usages may subject our products to adverse conditions that may negatively impact the effectiveness and useful lifetime of our products. </w:t>
      </w:r>
      <w:r>
        <w:rPr>
          <w:rFonts w:ascii="Times New Roman;serif" w:hAnsi="Times New Roman;serif"/>
          <w:b w:val="false"/>
          <w:color w:val="000000"/>
          <w:sz w:val="20"/>
        </w:rPr>
        <w:t xml:space="preserve">Further, customers may choose not to apply patches in a timely manner for business or operational reasons, or may neglect to upgrade at all and may run unpatched or unsupported devices against our guidance and industry best practice. Such lack of action to remediate known product vulnerabilities in the customer environment could negatively impact their own security posture, increasing the likelihood of exploitation and negatively impacting our reputation. Our networks and products, including </w:t>
      </w:r>
      <w:r>
        <w:rPr>
          <w:rFonts w:ascii="Times New Roman;serif" w:hAnsi="Times New Roman;serif"/>
          <w:b w:val="false"/>
          <w:color w:val="000000"/>
          <w:sz w:val="20"/>
          <w:shd w:fill="FFFFFF" w:val="clear"/>
        </w:rPr>
        <w:t>cloud-based</w:t>
      </w:r>
      <w:r>
        <w:rPr>
          <w:color w:val="000000"/>
        </w:rPr>
        <w:t xml:space="preserve"> </w:t>
      </w:r>
      <w:r>
        <w:rPr>
          <w:rFonts w:ascii="Times New Roman;serif" w:hAnsi="Times New Roman;serif"/>
          <w:b w:val="false"/>
          <w:color w:val="000000"/>
          <w:sz w:val="20"/>
        </w:rPr>
        <w:t xml:space="preserve">technology, could be targeted by attacks specifically designed to disrupt our business and harm our operational results and reputation.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products or if our products are provided by an unauthorized third party. Any actual, possible or perceived defects, errors or vulnerabilities, including critical vulnerabilities, in our products, or misuse of our products, could result in: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expenditure of significant financial and product development resources in efforts to analyze, correct, eliminate or work around errors or defects or to address and eliminate vulnerabilities;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existing or potential end-customers or channel partners;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delayed or lost revenue;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 or failure to attain market acceptance;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negative publicity and harm to our reputation;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disclosure requirements, litigation, regulatory inquiries or investigations that may be costly and harm our reputation and, in some instances, subject us to potential liability that is not contractually limited.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AI tool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Although we take numerous measures and implement multiple layers of security to protect our networks, we cannot guarantee that our security products, processes and services will secure against all threats. F</w:t>
      </w:r>
      <w:r>
        <w:rPr>
          <w:rFonts w:ascii="Times New Roman;serif" w:hAnsi="Times New Roman;serif"/>
          <w:b w:val="false"/>
          <w:color w:val="000000"/>
          <w:sz w:val="20"/>
        </w:rPr>
        <w:t xml:space="preserve">urther, we cannot be sure that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strikes or other labor disruptions, tariffs, cyber events, international trade disputes, international conflicts, terrorism, wars or other foreign conflicts, such as the war in Ukraine, tensions between China and Taiwan or conflicts in the Middle East, and critical infrastructure attacks, our business and financial results could be materially and adversely impacted. Conflicts in the Middle East highlight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 For example, as a result of the rapid global build-out of AI infrastructure, there is currently a global shortage of memory chips, which are a component in certain of our products. As a result, we are currently experiencing, and may continue to experience, constraints on the availability of memory chips. If we are unable to obtain sufficient quantities of memory chips on commercially reasonable terms, we have experienced, and may continue to experience, delays in the production and delivery of our products and increased costs to source available memory chips, any of which could harm our business, financial condition and results of operations. To mitigate increased hardware costs resulting from these shortages, we are implementing price increases, which may negatively impact demand for our products and may not be sufficient or timely to offset rising input costs, potentially resulting in margin compression and adversely affecting our business, financial condition and results of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response to ongoing supply chain constraints and elevated lead times for certain components, including memory chips, we have increased our inventory purchase commitments. As during prior periods of supply chain disruption, including the COVID-19 pandemic, these expanded commitments may require us to accept or pay for components and finished goods regardless of our level of sales in a particular period, and may not align with actual end-customer demand at the time of delivery. If demand for our products softens, customer requirements shift, technology transitions occur more rapidly than anticipated, our product roadmap changes, or our forecasts otherwise prove inaccurate, we could be left with excess or obsolete inventory or non-cancelable purchase obligations in excess of our needs. Any of the foregoing could result in inventory write-downs or write-offs, charges for excess inventory, losses on purchase commitments, increased storage and logistics costs, the need to sell products at discounted prices, and compression of our gross margins, any of which could negatively or unpredictably impact our operating results, financial condition, and cash flows. For additional information and a further discussion of impacts and risks related to our purchase commitments with our suppliers, refer to Note 10. Commitments and Contingencies in Part I, Item 1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new products, services and enhancements do not achieve sufficient market acceptance, our results of operations and competitive position will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new products, services or enhancements could fail to attain sufficient market acceptance for many reasons, including: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perceived defects, vulnerabilities, errors or failures;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in releasing our new products, services or enhancements to the market;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predict market demand in terms of product and service functionality and to supply products and services that meet this demand in a timely fashion;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have the appropriate research and development expertise and focus to make our top strategic products and services successful;</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our sales force and partners to focus on selling new products and services;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interoperate effectively with the networks or applications of our prospective end-customers;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protect against new types of attacks or techniques used by hackers;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negative publicity about their performance or effectiveness;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or anticipated introduction of competing products and services by our competitors;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poor business conditions for our end-customers, causing them to delay IT purchases;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the regulatory requirements around security;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reluctance of customers to purchase products or services incorporating open source software.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Demand for our products may be limited by market perception that individual products from one vendor that provide multiple layers of security protection in one product are inferior to point products from multiple vendors.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functionality similar to that offered by our products is incorporated into existing network infrastructure products, organizations may decide against adding our appliances to their network, which would have an adverse effect on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outsource the manufacturing of our security appliance products to contract manufacturing partners and original design manufacturing partners, including manufacturers with facilities located in Taiwan, Vietnam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strikes or other labor disruptions, cyber events, international trade disputes, tariffs, international conflicts, terrorism, wars or other foreign conflicts, such as the war in Ukraine, tensions between China and Taiwan or conflicts in the Middle East,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82% of our hardware was manufactured in Taiwan during the three months ended June 30, 2026. Any increase in tensions between China and Taiwan, including threats of military actions or escalation of military activities, could adversely affect our manufacturing operations in Taiwan, which, given the large percentage of our hardware that is manufactured in Taiwan, could have significant impacts on our business and operations. Any new restrictions that negatively impact our ability to receive supply of hardware components from Taiwan would negatively impact our business and financial results.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strikes or other labor disruptions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proprietary ASICs,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Central Processing Units from Intel Corporation (“Intel”) and Advanced Micro Devices, Inc., network and wireless chips from Broadcom Inc., Marvell Technology Group Ltd., Qualcomm Incorporated and Intel, and memory devices from Intel, Micron Technology, ADATA Technology Co., Ltd., Toshiba Corporation, Samsung Electronics Co., Ltd. and Western Digital Technologies, Inc.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potential inability to obtain an adequate supply of required parts or components when required;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financial or other difficulties faced by our suppliers;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infringement or misappropriation of our IP;</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increases;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a component to meet environmental or other regulatory requirements;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meet delivery obligations in a timely fashion;</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in component quality;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ship products on a timely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sales prices of our products and services may decrease, which may reduce our gross profits and operating margin and may adversely impact our financial results and the trading price of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i/>
          <w:color w:val="000000"/>
          <w:sz w:val="20"/>
        </w:rPr>
        <w:t>Our uniform resource locator (“URL”) database for our web filtering service may fail to keep pace with the rapid growth of URLs and may not categorize websites in accordance with our end-customers</w:t>
      </w:r>
      <w:r>
        <w:rPr>
          <w:color w:val="000000"/>
        </w:rPr>
        <w:t xml:space="preserve">’ </w:t>
      </w:r>
      <w:r>
        <w:rPr>
          <w:rFonts w:ascii="Times New Roman;serif" w:hAnsi="Times New Roman;serif"/>
          <w:b/>
          <w:i/>
          <w:color w:val="000000"/>
          <w:sz w:val="20"/>
        </w:rPr>
        <w:t>expectations.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False positive detection of legitimate non-malicious files as viruses or malware or false identification of legitimate emails as spam,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the risks of warranty claims, product returns, product liability and product defects.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 Changes to our warranty reserve estimates could materially impact our gross margins and operating results.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the availability of our cloud-based subscription services does not meet our service-level commitments to our customers, our current and future revenue may be negatively impacted.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Systems and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do not appropriately manage any future growth, including through the expansion of our real estate facilities, or are unable to improve our systems, processes and controls, our operating results will be negatively affected.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Due to the use of manual processes and the fact that we may receive a large volume of our orders in the last few weeks of any given quarter, an interruption in our email service or other systems could result in delayed order fulfillment and decreased billings and revenue for that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experience difficulties maintaining and expanding our internal business management systems.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not be successful in our artificial intelligence initiatives, and market perceptions regarding AI-related disruption could adversely affect our business, reputation, financial results, or stock price.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AI presents new risks and challenges that may affect our business. We have made, and expect to continue to make investments to integrate AI and ML technology into our solutions. AI presents risks, challenges, and potentially unintended consequences that could impact our ability to effectively use AI successfully in our business. Given the nature of AI technology, we face an evolving regulatory landscape and significant competition from other companies. Our AI efforts may not be successful and our competitors may incorporate AI into their solutions more quickly or more successfully than we do, which could impair our ability to compete effectively, reduce demand for our products and services and adversely affect our financial results. Increased competition from other companies implementing AI more effectively or rapidly could impact customer preferences and reduce demand for our products or services. Data practices by us or others, AI governance, AI development and validation practices that result in controversy could also impair the acceptance of AI solutions. This in turn could undermine confidence in the decisions, predictions, analysis, and effectiveness of our AI-related initiatives. In addition, vulnerabilities within our AI systems or solutions may be identified by competitors, researchers, or malicious actors before we detect or remediate them, which could result in security incidents, reputational damage, or loss of customer confidence. Advances in AI may also increase the speed, scale, and sophistication of vulnerability discovery and related cyber threat activity more broadly. Although the identification of a vulnerability does not by itself enable successful exploitation, AI-native capabilities may reduce the time between vulnerability discovery and attempted exploitation, increase the number of potential attack paths that malicious actors can evaluate, and potentially make certain attack techniques more accessible, scalable, and difficult to detect. To the extent customers, investors, or other market participants perceive that AI-native tools can automate or commoditize aspects of vulnerability identification, automated patching and other cybersecurity functions, the perceived value of certain traditional cybersecurity solutions could diminish, and customer buying patterns, competitive dynamics, pricing expectations, and demand for our offerings could be adversely affected.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GenAI, may create content that appears correct but is factually inaccurate (hallucinations) or flawed, or contains copyrighted or other protected material, and if our customers or others use this flawed content to their detriment, or use our AI solutions outside of their intended use cases with an adverse impact to their operations,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Separately from the actual operational, competitive, and regulatory risks described above, investor and market perceptions regarding AI-related disruption to the cybersecurity industry, including speculation, or doubt about whether AI will displace, commoditize, or diminish demand for traditional cybersecurity solutions, or about the relative positioning of incumbents versus AI-native entrants, could adversely affect the trading price and volatility of our common stock, even if such perceptions do not reflect actual changes in our business, customer demand, competitive position, or financial performance. Perceived disruptive impact of AI on our markets could result in stock price declines, increased volatility, or heightened scrutiny, regardless of our actual operating results. Any of the foregoing could adversely affect our business, reputation, or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use of AI technology in our IT infrastructure could improve internal process but poses security and privacy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including potentially identifying weaknesses in our systems before we become aware of or can remediate them.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AI models by us or our vendors could result in legal risk, especially if it involves customer data. Other risks that have been observed in AI models and documentation include risks related to bias, discrimination, job displacements and violating human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proprietary rights may be difficult to enforce and we may be subject to claims by others that we infringe their proprietary technology.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products contain third-party open-source software components, and failure to comply with the terms of the underlying open-source software licenses could restrict our ability to sell our products or result in loss of IP.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litigation matters could harm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the availability of third-party licenses.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Risks Related to Our Business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In order to remain competitive, we may seek to acquire additional businesses, products, technologies or IP, such as patents, and to make equity investments in businesses coupled with strate</w:t>
      </w:r>
      <w:r>
        <w:rPr>
          <w:rFonts w:ascii="Times New Roman;serif" w:hAnsi="Times New Roman;serif"/>
          <w:b w:val="false"/>
          <w:color w:val="000000"/>
          <w:sz w:val="20"/>
        </w:rPr>
        <w:t>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certain businesses that we invest in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 and could also cause us to lose end-customers or negatively impact our ability to contract.</w:t>
      </w:r>
    </w:p>
    <w:p>
      <w:pPr>
        <w:pStyle w:val="TextBody"/>
        <w:bidi w:val="0"/>
        <w:spacing w:before="0" w:after="0"/>
        <w:ind w:left="0" w:right="0" w:firstLine="58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UK Extension to the EU-U.S. Data Privacy Framework and the Swiss-U.S. Data Privacy Framework (collectively, the “Framework”) following certain changes to U.S. law intended to address the concerns underlying that court decision with respect to transfers of personal data to the United States.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Framework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GDPR, the EU has also enacted legislation that would regulate non-personal data and establish new cybersecurity standards, and other countries, including the U.K., may similarly do so in the future. In particular, the EU Data Act went into effect in 2024 and imposes certain data and cloud service interoperability and switching obligations to enable users to switch between cloud service providers (as well as certain requirements concerning cross-border international transfers of non-personal data outside the EEA).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DORA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may be subject to other legal regimes throughout the world governing data handling, protection and privacy. For example, in June 2018, California passed the CCPA, which provides new data privacy rights for consumers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w:t>
      </w:r>
      <w:r>
        <w:rPr>
          <w:color w:val="000000"/>
        </w:rPr>
        <w:t xml:space="preserve"> </w:t>
      </w:r>
      <w:r>
        <w:rPr>
          <w:rFonts w:ascii="Times New Roman;serif" w:hAnsi="Times New Roman;serif"/>
          <w:b w:val="false"/>
          <w:color w:val="000000"/>
          <w:sz w:val="20"/>
        </w:rPr>
        <w:t>future government contracting. Any of these outcomes could have an adverse effect on our revenue, operating results, financial condition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These laws, regulations and other requirements</w:t>
      </w:r>
      <w:r>
        <w:rPr>
          <w:color w:val="008080"/>
        </w:rPr>
        <w:t xml:space="preserve"> </w:t>
      </w:r>
      <w:r>
        <w:rPr>
          <w:rFonts w:ascii="Times New Roman;serif" w:hAnsi="Times New Roman;serif"/>
          <w:b w:val="false"/>
          <w:color w:val="000000"/>
          <w:sz w:val="20"/>
        </w:rPr>
        <w:t>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We are currently, and may in the future become, involved in litigation that may adversely affect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regularly subject to claims, suits and government investigations and other proceedings including patent, product liability, class action, personal injury, property damage, labor and employment, commercial disputes, securities litigation, compliance with laws and regulatory requirements and other matters, and we may become subject to additional types of claims, suits, investigations and proceedings as our business expands.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be sure that the results of any of these actions will not have a material adverse effect on our business, financial condition, results of operations, and prospects. Any of these consequences could adversely affect our business and results of operations. For additional information regarding our litigation, claims and related contingencies, see Note 10. Commitments and Contingencies, in Part I, Item 1 of this Quarterly Report on Form 10-Q.</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subject us to liability or restrictions on sales, and that could impair our ability to compete in international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comply with environmental requirements, our business, financial condition, operating results and reputation could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environmental laws and regulations, including laws governing the hazardous material content of our products, laws relating to our real property and future expansion plans and laws concerning the recycling and packaging of Electrical and Electronic Equipment. The laws and regulations to which we are subject include the EU RoHS Directive, the EU Packaging and Packaging Waste Regulation 2025/40 (the “REACH” Regulation), the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required to re-engineer our products to use components compatible with these regulations. This re-engineering and component substitution could result in additional costs to us and/or disrupt our operations or logistics.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regulations involving single-use plastics in packaging resulting in import taxes in certain countries in the EU have resulted in additional costs to source appropriate packaging for hardware. Alternatively, for our cloud based systems, new EU energy efficiency laws relating to the power usage effectiveness and emerging water usage regulations of data centers will require us to source specific data centers or retrofit existing ones to meet the stringent energy efficiency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Investors’ expectations of our performance relating to corporate responsibility and sustainability factors may impose additional costs and expose us to new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investors, employees, customers and other stakeholders have a focus on corporate responsibility. Some investors may use these non-financial performance factors to guide their investment strategies and, in some cases, may choose not to invest in us if they believe our policies and actions relating to corporate responsibility are inadequate.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standards set by various constituencies.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in the event that we communicate certain initiatives and goals regarding corporate responsibility and sustainability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Finance, Accounting and Tax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the condensed consolidated financial statements and accompanying notes.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which could negatively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We are not currently engaged in material hedging activities, and as a result,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could be subject to changes in our tax rates, the adoption of new U.S. or international tax legislation, exposure to additional tax liabilities or impacts from the timing of tax payments.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mix of earnings in countries with differing statutory tax rates or withholding taxes;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valuation of our deferred tax assets and liabilities;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transfer pricing adjustments;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to corporate tax rates;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non-deductible expenses for tax purposes, including certain stock-based compensation expense;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availability of tax credits and/or tax deductions;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tax payments;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 costs related to intercompany realignments;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 assessments resulting from income tax audits or any related tax interest or penalties that could significantly affect our provision for income taxes for the period in which the settlement takes place;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principles, court decisions, tax rulings, and interpretations of or changes to tax laws, and regulations by international, federal or local governmental authorities.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open tax years that could be subject to the examination by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Forecasting our estimated annual effective tax rate is complex and subject to uncertainty, and there may be material differences between our forecasted and actual tax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 a public company, we are subject to compliance initiatives that will require substantial time from our management and result in significantly increased costs that may adversely affect our operating results and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2025, our internal controls over financial reporting were effective, we cannot predict the outcome of our testing in 2026 or future periods and there can be no assurance that, in the future, our internal controls over financial reporting will be effective or deemed effective. We may incur additional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commitment of management’s time in connection with further evaluations, both of which could materially increase our operating expenses and accordingly reduce our operating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equity research or industry analysts stop publishing research or reports about our business, issue unfavorable commentary, downgrade our shares of common stock or publish inaccurate information, our stock price and trading volume could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stock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 of our common stock may be volatile, which may be exacerbated by share repurchases under our 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market price of our common stock may be subject to wide fluctuations in response to, among other things, the risk factors described in this pe</w:t>
      </w:r>
      <w:r>
        <w:rPr>
          <w:rFonts w:ascii="Times New Roman;serif" w:hAnsi="Times New Roman;serif"/>
          <w:b w:val="false"/>
          <w:color w:val="000000"/>
          <w:sz w:val="20"/>
          <w:shd w:fill="FFFFFF" w:val="clear"/>
        </w:rPr>
        <w:t xml:space="preserve">riodic report, news about us and our financial results, news about our competitors and their results, and other factors such as rumors or fluctuations in the valuation of companies perceived by investors to be comparable to us. For example,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the closing price of our common stock ranged from $75.23 to $155.42 per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geopolitical and market conditions, such as recessions, interest rate changes or international currency fluctuations, may negatively affect the market price of our common stock.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many companies that have experienced volatility in the market price of their stock have been subject to securities class action litigation. We currently are, and may be in the future, the target of this type of litigation. Securities litigation against us could result in substantial costs and divert our management’s attention from other business concerns, which could seriously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repurchases under the Repurchase Program could increase the volatility of the trading price of our common stock, could diminish our cash reserves, could occur at non-optimal prices and may not result in the most effective use of our capital.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January 2026, our board of directors approved a $1.0 billion increase in the authorized stock repurchase amount under the Repurchase Program, bringing the aggregate amount authorized to be repurchased to $10.25 billion of our outstanding common stock through February 28, 2027.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approximately $765.8 million remained available for future share repurchases. </w:t>
      </w:r>
      <w:r>
        <w:rPr>
          <w:rFonts w:ascii="Times New Roman;serif" w:hAnsi="Times New Roman;serif"/>
          <w:b w:val="false"/>
          <w:color w:val="000000"/>
          <w:sz w:val="20"/>
          <w:shd w:fill="FFFFFF" w:val="clear"/>
        </w:rPr>
        <w:t xml:space="preserve">Share repurchases under the Repurchase Program could affect the price of our common stock, increase stock price volatility and diminish our </w:t>
      </w:r>
      <w:r>
        <w:rPr>
          <w:rFonts w:ascii="Times New Roman;serif" w:hAnsi="Times New Roman;serif"/>
          <w:b w:val="false"/>
          <w:color w:val="000000"/>
          <w:sz w:val="20"/>
        </w:rPr>
        <w:t>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authorizing “blank check” preferred stock, which could be issued by the board without stockholder approval and may contain voting, liquidation, dividend and other rights superior to our common stock;</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that certain litigation matters may only be brought against us in state or federal courts in the State of Delaware;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controlling the procedures for the conduct and scheduling of board and stockholder meetings;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the board of directors with the express power to postpone previously scheduled annual meetings and to cancel previously scheduled special meetings.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economic uncertainty, an economic downturn, the possibility of a recession, inflation, changing interest rates, changes to government spending and regulations, and weakening product demand could adversely affect our business and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Economic challenges caused by economic downturn, any resulting recession, inflation, GDP impact (both domestically and internationally) or change in interest rates can weaken and harm our financial position. The U.S. capital markets have experienced and continue to experience extreme volatility and disruption. Further deterioration of the macroeconomic environment and regulatory action may adversely affect our business, operating results and financial condition.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Political instability, changes in trade policies and agreements and conflicts could adversely affect our business and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Economic uncertainty in various global markets caused by political instability and conflict, such as the war in Ukraine, tensions between China and Taiwan or conflicts in the Middle East has resulted, and may continue to result in weakened demand for our products and services and difficulty in forecasting our financial results and managing inventory levels. Geopolitical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the transition in administrations, changes in the U.S. government’s trade policy and the United States’ ongoing trade disputes with Russia, China and other countries, including the United States’ tariffs, and any new or additional retaliatory tariffs from foreign countries. For example, global press reports have indicated that the Chinese government may have instructed domestic companies in certain industries not to use cybersecurity products manufactured by the companies based in the United States or Israel, including us and certain of our competitors. The continuing effect of any or all of these events could adversely impact demand for our products, harm our operations and weaken our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the risks of earthquakes, drought, fire, power outages, typhoon, floods, virus outbreaks and other broad health-related challenges, cyber events and other catastrophic events, and to interruption by manmade problems such as civil unrest, war, strikes or other labor disruptions, critical infrastructure attack and terrorism.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drought, fire, power outage, typhoon,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tensions between China and Taiwan or conflicts in the Middle East and any expansion thereof, and other acts of aggression, civil and political unrest, strikes or other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channel partners or end-customers that impacts sales at the end of our quarter could have a significant adverse impact on our quarterly results. For example, if one of our channel partners experiences issues such as cyberattacks or other operational disruptions at the end of a quarter, it could negatively impact our ability to receive orders from them and, among other things, may adversely affect our billings and revenue.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Changes in financial accounting standards may cause adverse unexpected fluctuations and affect our reported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the shares of common stock we repurchased under the Repurchase Program during the three months ended June 30, 2026 (in millions, except average price paid per share amounts):</w:t>
      </w:r>
    </w:p>
    <w:tbl>
      <w:tblPr>
        <w:tblW w:w="10205" w:type="dxa"/>
        <w:jc w:val="left"/>
        <w:tblInd w:w="0" w:type="dxa"/>
        <w:tblLayout w:type="fixed"/>
        <w:tblCellMar>
          <w:top w:w="28" w:type="dxa"/>
          <w:left w:w="28" w:type="dxa"/>
          <w:bottom w:w="28" w:type="dxa"/>
          <w:right w:w="28" w:type="dxa"/>
        </w:tblCellMar>
      </w:tblPr>
      <w:tblGrid>
        <w:gridCol w:w="373"/>
        <w:gridCol w:w="328"/>
        <w:gridCol w:w="333"/>
        <w:gridCol w:w="109"/>
        <w:gridCol w:w="109"/>
        <w:gridCol w:w="109"/>
        <w:gridCol w:w="453"/>
        <w:gridCol w:w="453"/>
        <w:gridCol w:w="454"/>
        <w:gridCol w:w="109"/>
        <w:gridCol w:w="109"/>
        <w:gridCol w:w="109"/>
        <w:gridCol w:w="295"/>
        <w:gridCol w:w="863"/>
        <w:gridCol w:w="152"/>
        <w:gridCol w:w="109"/>
        <w:gridCol w:w="109"/>
        <w:gridCol w:w="109"/>
        <w:gridCol w:w="801"/>
        <w:gridCol w:w="801"/>
        <w:gridCol w:w="803"/>
        <w:gridCol w:w="109"/>
        <w:gridCol w:w="109"/>
        <w:gridCol w:w="109"/>
        <w:gridCol w:w="596"/>
        <w:gridCol w:w="1745"/>
        <w:gridCol w:w="447"/>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5, 2026, John Whittle, our Chief Operating Officer, entered into a pre-arranged written stock sale plan in accordance with Rule 10b5-1 under the Exchange Act for the sale of shares of our common stock (the “Whittle Plan”) during an open trading window in accordance with our insider trading policy. The Whittle Plan is intended to satisfy the affirmative defense of Rule 10b5-1(c) under the Exchange Act. The Whittle Plan provides for the potential sale by Mr. Whittle of up to 56,700 shares of our common stock, issued upon the exercise of vested stock options for shares of our common stock, at prices at or above a minimum price specified in the Whittle Plan, all between September 4, 2026 and September 30, 2027.</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10, 2026, Christiane Ohlgart, our Chief Financial Officer, entered into a pre-arranged written stock sale plan in accordance with Rule 10b5-1 under the Exchange Act for the sale of shares of our common stock (the “Ohlgart Plan”) during an open trading window in accordance with our insider trading policy. The Ohlgart Plan is intended to satisfy the affirmative defense of Rule 10b5-1(c) under the Exchange Act. The Ohlgart Plan provides for the potential sale by Mrs. Ohlgart of up to 115 shares of our common stock, plus a number of additional net shares (which is not yet determinable) remaining after shares are withheld to satisfy tax obligations upon vesting and settlement of RSUs and PSUs, in each case, at prices determined in accordance with the terms of the Ohlgart Plan, all between September 9, 2026 and September 15, 2027.</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Whittle Plan and the Ohlgart Plan (each, a “10b5-1 Plan,” and together, the “10b5-1 Plans”) includes a representation from each of Mr. Whittle and Mrs. Ohlgart, respectively, to the broker administering the plan that they were not in possession of any material nonpublic information regarding us or the securities subject to their respective 10b5-1 Plan at the time their respective 10b5-1 Plan was entered into. A similar representation was made to us in connection with the adoption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10b5-1 Plan under our insider trading policy. Those representations for each 10b5-1 Plan were made as of the respective date of adoption of the applicable 10b5-1 Plan, and speak only as of that date. In making those representations, there is no assurance with respect to any material nonpublic information of which Mr. Whittle and Mrs. Ohlgart, as applicable, were unaware, or with respect to any material nonpublic information acquired by Mr. Whittle and Mrs. Ohlgart or us, as applicable, after the date of each such representation.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executed, transactions under the 10b5-1 Plans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Mr. Whittle and Mrs. Ohlgart or our other officers or directors, or their affiliated entities.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exhibits listed in the accompanying Exhibit Index are filed or incorporated by reference as part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33"/>
        <w:gridCol w:w="197"/>
        <w:gridCol w:w="199"/>
        <w:gridCol w:w="109"/>
        <w:gridCol w:w="109"/>
        <w:gridCol w:w="109"/>
        <w:gridCol w:w="2047"/>
        <w:gridCol w:w="2047"/>
        <w:gridCol w:w="2052"/>
        <w:gridCol w:w="109"/>
        <w:gridCol w:w="109"/>
        <w:gridCol w:w="109"/>
        <w:gridCol w:w="170"/>
        <w:gridCol w:w="170"/>
        <w:gridCol w:w="171"/>
        <w:gridCol w:w="133"/>
        <w:gridCol w:w="133"/>
        <w:gridCol w:w="133"/>
        <w:gridCol w:w="165"/>
        <w:gridCol w:w="165"/>
        <w:gridCol w:w="140"/>
        <w:gridCol w:w="133"/>
        <w:gridCol w:w="133"/>
        <w:gridCol w:w="133"/>
        <w:gridCol w:w="288"/>
        <w:gridCol w:w="288"/>
        <w:gridCol w:w="421"/>
      </w:tblGrid>
      <w:tr>
        <w:trPr/>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Incorporated by reference herein</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311_20260630x10q.htm">
              <w:r>
                <w:rPr>
                  <w:rStyle w:val="InternetLink"/>
                  <w:rFonts w:ascii="Times New Roman;serif" w:hAnsi="Times New Roman;serif"/>
                  <w:b w:val="false"/>
                  <w:color w:val="0000FF"/>
                  <w:sz w:val="16"/>
                  <w:u w:val="single"/>
                </w:rPr>
                <w:t>31.1</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Executive Officer pursuant to Exchange Act Rules 13a-14(a) and 15d-14(a),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312_20260630x10q.htm">
              <w:r>
                <w:rPr>
                  <w:rStyle w:val="InternetLink"/>
                  <w:rFonts w:ascii="Times New Roman;serif" w:hAnsi="Times New Roman;serif"/>
                  <w:b w:val="false"/>
                  <w:color w:val="0000FF"/>
                  <w:sz w:val="16"/>
                  <w:u w:val="single"/>
                </w:rPr>
                <w:t>31.2</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Financial Officer pursuant to Exchange Act Rules 13a-14(a) and 15d-14(a),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321_20260630x10q.htm">
              <w:r>
                <w:rPr>
                  <w:rStyle w:val="InternetLink"/>
                  <w:rFonts w:ascii="Times New Roman;serif" w:hAnsi="Times New Roman;serif"/>
                  <w:b w:val="false"/>
                  <w:color w:val="0000FF"/>
                  <w:sz w:val="16"/>
                  <w:u w:val="single"/>
                </w:rPr>
                <w:t>32.1</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Certifications of Chief Executive Officer and Chief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 the cover page from the Company’s Quarterly Report on Form 10-Q for the quarter ended June 30, 2026 is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left"/>
        <w:rPr/>
      </w:pPr>
      <w:r>
        <w:rPr>
          <w:rFonts w:ascii="Times New Roman;serif" w:hAnsi="Times New Roman;serif"/>
          <w:b w:val="false"/>
          <w:color w:val="000000"/>
          <w:sz w:val="10"/>
        </w:rPr>
        <w:t xml:space="preserve"># </w:t>
      </w:r>
      <w:r>
        <w:rPr>
          <w:rFonts w:ascii="Times New Roman;serif" w:hAnsi="Times New Roman;serif"/>
          <w:b w:val="false"/>
          <w:color w:val="000000"/>
          <w:sz w:val="16"/>
        </w:rPr>
        <w:t>Furnished herewith.</w:t>
      </w:r>
    </w:p>
    <w:p>
      <w:pPr>
        <w:pStyle w:val="TextBody"/>
        <w:bidi w:val="0"/>
        <w:spacing w:lineRule="auto" w:line="268" w:before="0" w:after="0"/>
        <w:jc w:val="left"/>
        <w:rPr/>
      </w:pPr>
      <w:r>
        <w:rPr>
          <w:color w:val="000000"/>
        </w:rPr>
        <w:t xml:space="preserve">† </w:t>
      </w:r>
      <w:r>
        <w:rPr>
          <w:rFonts w:ascii="Times New Roman;serif" w:hAnsi="Times New Roman;serif"/>
          <w:b w:val="false"/>
          <w:color w:val="000000"/>
          <w:sz w:val="16"/>
        </w:rPr>
        <w:t>Indicates a management contract or any compensatory plan, contract or arrangement.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80" w:after="283"/>
        <w:jc w:val="left"/>
        <w:rPr/>
      </w:pPr>
      <w:hyperlink w:anchor="i8a8f763f6703496ea27c601844a01e7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715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471"/>
        <w:gridCol w:w="1471"/>
        <w:gridCol w:w="209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FORTINET,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 Xie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Ken Xie, Chief Executive Officer and Chairman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0"/>
              </w:rPr>
            </w:pPr>
            <w:r>
              <w:rPr>
                <w:rFonts w:ascii="Times New Roman;serif" w:hAnsi="Times New Roman;serif"/>
                <w:b/>
                <w:color w:val="000000"/>
                <w:sz w:val="20"/>
              </w:rPr>
              <w:t>(Duly Authorized Officer and 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7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2301"/>
        <w:gridCol w:w="2301"/>
        <w:gridCol w:w="325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FORTINET,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Christiane Ohlgart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Christiane Ohlgart,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(Duly Authorized Officer and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Ken Xie,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Fortinet,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left"/>
        <w:rPr>
          <w:color w:val="000000"/>
        </w:rPr>
      </w:pPr>
      <w:r>
        <w:rPr>
          <w:color w:val="000000"/>
        </w:rPr>
        <w:t> </w:t>
      </w:r>
    </w:p>
    <w:tbl>
      <w:tblPr>
        <w:tblW w:w="3596" w:type="dxa"/>
        <w:jc w:val="center"/>
        <w:tblInd w:w="0" w:type="dxa"/>
        <w:tblLayout w:type="fixed"/>
        <w:tblCellMar>
          <w:top w:w="28" w:type="dxa"/>
          <w:left w:w="28" w:type="dxa"/>
          <w:bottom w:w="28" w:type="dxa"/>
          <w:right w:w="28" w:type="dxa"/>
        </w:tblCellMar>
      </w:tblPr>
      <w:tblGrid>
        <w:gridCol w:w="124"/>
        <w:gridCol w:w="109"/>
        <w:gridCol w:w="109"/>
        <w:gridCol w:w="1164"/>
        <w:gridCol w:w="858"/>
        <w:gridCol w:w="1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 Xie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 Xie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Christiane Ohlgart,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Fortinet,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5486" w:type="dxa"/>
        <w:jc w:val="left"/>
        <w:tblInd w:w="0" w:type="dxa"/>
        <w:tblLayout w:type="fixed"/>
        <w:tblCellMar>
          <w:top w:w="28" w:type="dxa"/>
          <w:left w:w="28" w:type="dxa"/>
          <w:bottom w:w="28" w:type="dxa"/>
          <w:right w:w="28" w:type="dxa"/>
        </w:tblCellMar>
      </w:tblPr>
      <w:tblGrid>
        <w:gridCol w:w="124"/>
        <w:gridCol w:w="109"/>
        <w:gridCol w:w="109"/>
        <w:gridCol w:w="1503"/>
        <w:gridCol w:w="1503"/>
        <w:gridCol w:w="21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Christiane Ohlgart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Christiane Ohlgart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CERTIFICATIONS OF CHIEF EXECUTIVE OFFICER AND CHIEF FINANCIAL OFFICER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 Ken Xie, certify, pursuant to 18 U.S.C. Section 1350, as adopted pursuant to Section 906 of the Sarbanes-Oxley Act of 2002, that the Quarterly Report on Form 10-Q of Fortinet, Inc. for the quarter ended June 30, 2026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 </w:t>
      </w:r>
    </w:p>
    <w:p>
      <w:pPr>
        <w:pStyle w:val="TextBody"/>
        <w:bidi w:val="0"/>
        <w:spacing w:lineRule="auto" w:line="288" w:before="0" w:after="0"/>
        <w:jc w:val="left"/>
        <w:rPr>
          <w:color w:val="000000"/>
        </w:rPr>
      </w:pPr>
      <w:r>
        <w:rPr>
          <w:color w:val="000000"/>
        </w:rPr>
        <w:t> </w:t>
      </w:r>
    </w:p>
    <w:tbl>
      <w:tblPr>
        <w:tblW w:w="5654"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08"/>
        <w:gridCol w:w="208"/>
        <w:gridCol w:w="213"/>
        <w:gridCol w:w="1163"/>
        <w:gridCol w:w="858"/>
        <w:gridCol w:w="12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 Xie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 Xie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br/>
              <w:t>(Principal Executive Officer)</w:t>
            </w:r>
          </w:p>
        </w:tc>
      </w:tr>
    </w:tbl>
    <w:p>
      <w:pPr>
        <w:pStyle w:val="TextBody"/>
        <w:bidi w:val="0"/>
        <w:spacing w:before="0" w:after="0"/>
        <w:jc w:val="center"/>
        <w:rPr/>
      </w:pPr>
      <w:r>
        <w:rPr/>
      </w:r>
    </w:p>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 Christiane Ohlgart, certify, pursuant to 18 U.S.C. Section 1350, as adopted pursuant to Section 906 of the Sarbanes-Oxley Act of 2002, that the Quarterly Report on Form 10-Q of Fortinet, Inc. for the quarter ended June 30, 2026 fully complies with the requirements of Section 13(a) or 15(d) of the Exchange Act and that information contained in this Quarterly Report on Form 10-Q fairly presents, in all material respects, the financial condition and results of operations of Fortinet, Inc. </w:t>
      </w:r>
    </w:p>
    <w:p>
      <w:pPr>
        <w:pStyle w:val="TextBody"/>
        <w:bidi w:val="0"/>
        <w:spacing w:lineRule="auto" w:line="288" w:before="0" w:after="0"/>
        <w:jc w:val="left"/>
        <w:rPr>
          <w:color w:val="000000"/>
        </w:rPr>
      </w:pPr>
      <w:r>
        <w:rPr>
          <w:color w:val="000000"/>
        </w:rPr>
        <w:t> </w:t>
      </w:r>
    </w:p>
    <w:tbl>
      <w:tblPr>
        <w:tblW w:w="754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08"/>
        <w:gridCol w:w="208"/>
        <w:gridCol w:w="213"/>
        <w:gridCol w:w="1503"/>
        <w:gridCol w:w="1503"/>
        <w:gridCol w:w="21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Christiane Ohlgart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Christiane Ohlgart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r>
    </w:tbl>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55105</Words>
  <Characters>310198</Characters>
  <CharactersWithSpaces>363366</CharactersWithSpaces>
  <Paragraphs>3930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