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415925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329565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3900" w:right="1840" w:hanging="3865"/>
        <w:spacing w:after="0" w:line="461" w:lineRule="auto"/>
        <w:tabs>
          <w:tab w:leader="none" w:pos="3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00" w:hanging="358"/>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88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-7620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51"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89"/>
              </w:rPr>
              <w:t>Commission file number: 001-34511</w:t>
            </w:r>
          </w:p>
        </w:tc>
        <w:tc>
          <w:tcPr>
            <w:tcW w:w="1460" w:type="dxa"/>
            <w:vAlign w:val="bottom"/>
          </w:tcPr>
          <w:p>
            <w:pPr>
              <w:spacing w:after="0"/>
              <w:rPr>
                <w:sz w:val="19"/>
                <w:szCs w:val="19"/>
                <w:color w:val="auto"/>
              </w:rPr>
            </w:pPr>
          </w:p>
        </w:tc>
      </w:tr>
      <w:tr>
        <w:trPr>
          <w:trHeight w:val="207"/>
        </w:trPr>
        <w:tc>
          <w:tcPr>
            <w:tcW w:w="6220" w:type="dxa"/>
            <w:vAlign w:val="bottom"/>
          </w:tcPr>
          <w:p>
            <w:pPr>
              <w:jc w:val="center"/>
              <w:ind w:left="2071"/>
              <w:spacing w:after="0"/>
              <w:rPr>
                <w:sz w:val="20"/>
                <w:szCs w:val="20"/>
                <w:color w:val="auto"/>
              </w:rPr>
            </w:pPr>
            <w:r>
              <w:rPr>
                <w:rFonts w:ascii="Arial" w:cs="Arial" w:eastAsia="Arial" w:hAnsi="Arial"/>
                <w:sz w:val="18"/>
                <w:szCs w:val="18"/>
                <w:color w:val="auto"/>
                <w:w w:val="89"/>
              </w:rPr>
              <w:t>______________________________________</w:t>
            </w:r>
          </w:p>
        </w:tc>
        <w:tc>
          <w:tcPr>
            <w:tcW w:w="1460" w:type="dxa"/>
            <w:vAlign w:val="bottom"/>
          </w:tcPr>
          <w:p>
            <w:pPr>
              <w:spacing w:after="0"/>
              <w:rPr>
                <w:sz w:val="18"/>
                <w:szCs w:val="18"/>
                <w:color w:val="auto"/>
              </w:rPr>
            </w:pPr>
          </w:p>
        </w:tc>
      </w:tr>
      <w:tr>
        <w:trPr>
          <w:trHeight w:val="329"/>
        </w:trPr>
        <w:tc>
          <w:tcPr>
            <w:tcW w:w="6220" w:type="dxa"/>
            <w:vAlign w:val="bottom"/>
          </w:tcPr>
          <w:p>
            <w:pPr>
              <w:jc w:val="center"/>
              <w:ind w:left="2111"/>
              <w:spacing w:after="0"/>
              <w:rPr>
                <w:sz w:val="20"/>
                <w:szCs w:val="20"/>
                <w:color w:val="auto"/>
              </w:rPr>
            </w:pPr>
            <w:r>
              <w:rPr>
                <w:rFonts w:ascii="Arial" w:cs="Arial" w:eastAsia="Arial" w:hAnsi="Arial"/>
                <w:sz w:val="25"/>
                <w:szCs w:val="25"/>
                <w:b w:val="1"/>
                <w:bCs w:val="1"/>
                <w:color w:val="auto"/>
              </w:rPr>
              <w:t>FORTINET, INC.</w:t>
            </w:r>
          </w:p>
        </w:tc>
        <w:tc>
          <w:tcPr>
            <w:tcW w:w="1460" w:type="dxa"/>
            <w:vAlign w:val="bottom"/>
          </w:tcPr>
          <w:p>
            <w:pPr>
              <w:spacing w:after="0"/>
              <w:rPr>
                <w:sz w:val="24"/>
                <w:szCs w:val="24"/>
                <w:color w:val="auto"/>
              </w:rPr>
            </w:pPr>
          </w:p>
        </w:tc>
      </w:tr>
      <w:tr>
        <w:trPr>
          <w:trHeight w:val="198"/>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60" w:type="dxa"/>
            <w:vAlign w:val="bottom"/>
          </w:tcPr>
          <w:p>
            <w:pPr>
              <w:spacing w:after="0"/>
              <w:rPr>
                <w:sz w:val="17"/>
                <w:szCs w:val="17"/>
                <w:color w:val="auto"/>
              </w:rPr>
            </w:pPr>
          </w:p>
        </w:tc>
      </w:tr>
      <w:tr>
        <w:trPr>
          <w:trHeight w:val="206"/>
        </w:trPr>
        <w:tc>
          <w:tcPr>
            <w:tcW w:w="6220" w:type="dxa"/>
            <w:vAlign w:val="bottom"/>
          </w:tcPr>
          <w:p>
            <w:pPr>
              <w:jc w:val="center"/>
              <w:ind w:left="2091"/>
              <w:spacing w:after="0"/>
              <w:rPr>
                <w:sz w:val="20"/>
                <w:szCs w:val="20"/>
                <w:color w:val="auto"/>
              </w:rPr>
            </w:pPr>
            <w:r>
              <w:rPr>
                <w:rFonts w:ascii="Arial" w:cs="Arial" w:eastAsia="Arial" w:hAnsi="Arial"/>
                <w:sz w:val="16"/>
                <w:szCs w:val="16"/>
                <w:color w:val="auto"/>
                <w:w w:val="91"/>
              </w:rPr>
              <w:t>______________________________________</w:t>
            </w:r>
          </w:p>
        </w:tc>
        <w:tc>
          <w:tcPr>
            <w:tcW w:w="1460" w:type="dxa"/>
            <w:vAlign w:val="bottom"/>
          </w:tcPr>
          <w:p>
            <w:pPr>
              <w:spacing w:after="0"/>
              <w:rPr>
                <w:sz w:val="17"/>
                <w:szCs w:val="17"/>
                <w:color w:val="auto"/>
              </w:rPr>
            </w:pPr>
          </w:p>
        </w:tc>
      </w:tr>
      <w:tr>
        <w:trPr>
          <w:trHeight w:val="587"/>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center"/>
              <w:ind w:left="95"/>
              <w:spacing w:after="0"/>
              <w:rPr>
                <w:sz w:val="20"/>
                <w:szCs w:val="20"/>
                <w:color w:val="auto"/>
              </w:rPr>
            </w:pPr>
            <w:r>
              <w:rPr>
                <w:rFonts w:ascii="Arial" w:cs="Arial" w:eastAsia="Arial" w:hAnsi="Arial"/>
                <w:sz w:val="18"/>
                <w:szCs w:val="18"/>
                <w:b w:val="1"/>
                <w:bCs w:val="1"/>
                <w:color w:val="auto"/>
                <w:w w:val="91"/>
              </w:rPr>
              <w:t>77-0560389</w:t>
            </w:r>
          </w:p>
        </w:tc>
      </w:tr>
      <w:tr>
        <w:trPr>
          <w:trHeight w:val="243"/>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92"/>
              </w:rPr>
              <w:t>(State or other jurisdiction of</w:t>
            </w:r>
          </w:p>
        </w:tc>
        <w:tc>
          <w:tcPr>
            <w:tcW w:w="1460" w:type="dxa"/>
            <w:vAlign w:val="bottom"/>
          </w:tcPr>
          <w:p>
            <w:pPr>
              <w:jc w:val="center"/>
              <w:ind w:left="95"/>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92"/>
              </w:rPr>
              <w:t>incorporation or organization)</w:t>
            </w:r>
          </w:p>
        </w:tc>
        <w:tc>
          <w:tcPr>
            <w:tcW w:w="1460" w:type="dxa"/>
            <w:vAlign w:val="bottom"/>
          </w:tcPr>
          <w:p>
            <w:pPr>
              <w:jc w:val="center"/>
              <w:ind w:left="95"/>
              <w:spacing w:after="0"/>
              <w:rPr>
                <w:sz w:val="20"/>
                <w:szCs w:val="20"/>
                <w:color w:val="auto"/>
              </w:rPr>
            </w:pPr>
            <w:r>
              <w:rPr>
                <w:rFonts w:ascii="Arial" w:cs="Arial" w:eastAsia="Arial" w:hAnsi="Arial"/>
                <w:sz w:val="16"/>
                <w:szCs w:val="16"/>
                <w:b w:val="1"/>
                <w:bCs w:val="1"/>
                <w:color w:val="auto"/>
                <w:w w:val="94"/>
              </w:rPr>
              <w:t>Identification No.)</w:t>
            </w:r>
          </w:p>
        </w:tc>
      </w:tr>
      <w:tr>
        <w:trPr>
          <w:trHeight w:val="393"/>
        </w:trPr>
        <w:tc>
          <w:tcPr>
            <w:tcW w:w="6220" w:type="dxa"/>
            <w:vAlign w:val="bottom"/>
          </w:tcPr>
          <w:p>
            <w:pPr>
              <w:jc w:val="center"/>
              <w:ind w:right="3431"/>
              <w:spacing w:after="0"/>
              <w:rPr>
                <w:sz w:val="20"/>
                <w:szCs w:val="20"/>
                <w:color w:val="auto"/>
              </w:rPr>
            </w:pPr>
            <w:r>
              <w:rPr>
                <w:rFonts w:ascii="Arial" w:cs="Arial" w:eastAsia="Arial" w:hAnsi="Arial"/>
                <w:sz w:val="18"/>
                <w:szCs w:val="18"/>
                <w:b w:val="1"/>
                <w:bCs w:val="1"/>
                <w:color w:val="auto"/>
                <w:w w:val="93"/>
              </w:rPr>
              <w:t>899 Kifer Road</w:t>
            </w:r>
          </w:p>
        </w:tc>
        <w:tc>
          <w:tcPr>
            <w:tcW w:w="1460" w:type="dxa"/>
            <w:vAlign w:val="bottom"/>
          </w:tcPr>
          <w:p>
            <w:pPr>
              <w:spacing w:after="0"/>
              <w:rPr>
                <w:sz w:val="24"/>
                <w:szCs w:val="24"/>
                <w:color w:val="auto"/>
              </w:rPr>
            </w:pPr>
          </w:p>
        </w:tc>
      </w:tr>
      <w:tr>
        <w:trPr>
          <w:trHeight w:val="234"/>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Sunnyvale, California</w:t>
            </w:r>
          </w:p>
        </w:tc>
        <w:tc>
          <w:tcPr>
            <w:tcW w:w="1460" w:type="dxa"/>
            <w:vAlign w:val="bottom"/>
          </w:tcPr>
          <w:p>
            <w:pPr>
              <w:jc w:val="center"/>
              <w:ind w:left="95"/>
              <w:spacing w:after="0"/>
              <w:rPr>
                <w:sz w:val="20"/>
                <w:szCs w:val="20"/>
                <w:color w:val="auto"/>
              </w:rPr>
            </w:pPr>
            <w:r>
              <w:rPr>
                <w:rFonts w:ascii="Arial" w:cs="Arial" w:eastAsia="Arial" w:hAnsi="Arial"/>
                <w:sz w:val="18"/>
                <w:szCs w:val="18"/>
                <w:b w:val="1"/>
                <w:bCs w:val="1"/>
                <w:color w:val="auto"/>
                <w:w w:val="87"/>
              </w:rPr>
              <w:t>94086</w:t>
            </w:r>
          </w:p>
        </w:tc>
      </w:tr>
      <w:tr>
        <w:trPr>
          <w:trHeight w:val="251"/>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460" w:type="dxa"/>
            <w:vAlign w:val="bottom"/>
          </w:tcPr>
          <w:p>
            <w:pPr>
              <w:jc w:val="center"/>
              <w:ind w:left="95"/>
              <w:spacing w:after="0"/>
              <w:rPr>
                <w:sz w:val="20"/>
                <w:szCs w:val="20"/>
                <w:color w:val="auto"/>
              </w:rPr>
            </w:pPr>
            <w:r>
              <w:rPr>
                <w:rFonts w:ascii="Arial" w:cs="Arial" w:eastAsia="Arial" w:hAnsi="Arial"/>
                <w:sz w:val="16"/>
                <w:szCs w:val="16"/>
                <w:b w:val="1"/>
                <w:bCs w:val="1"/>
                <w:color w:val="auto"/>
                <w:w w:val="96"/>
              </w:rPr>
              <w:t>(Zip Code)</w:t>
            </w:r>
          </w:p>
        </w:tc>
      </w:tr>
      <w:tr>
        <w:trPr>
          <w:trHeight w:val="235"/>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90"/>
              </w:rPr>
              <w:t>(408) 235-7700</w:t>
            </w:r>
          </w:p>
        </w:tc>
        <w:tc>
          <w:tcPr>
            <w:tcW w:w="1460" w:type="dxa"/>
            <w:vAlign w:val="bottom"/>
          </w:tcPr>
          <w:p>
            <w:pPr>
              <w:spacing w:after="0"/>
              <w:rPr>
                <w:sz w:val="20"/>
                <w:szCs w:val="20"/>
                <w:color w:val="auto"/>
              </w:rPr>
            </w:pPr>
          </w:p>
        </w:tc>
      </w:tr>
      <w:tr>
        <w:trPr>
          <w:trHeight w:val="210"/>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460" w:type="dxa"/>
            <w:vAlign w:val="bottom"/>
          </w:tcPr>
          <w:p>
            <w:pPr>
              <w:spacing w:after="0"/>
              <w:rPr>
                <w:sz w:val="18"/>
                <w:szCs w:val="18"/>
                <w:color w:val="auto"/>
              </w:rPr>
            </w:pPr>
          </w:p>
        </w:tc>
      </w:tr>
    </w:tbl>
    <w:p>
      <w:pPr>
        <w:spacing w:after="0" w:line="167" w:lineRule="exact"/>
        <w:rPr>
          <w:sz w:val="24"/>
          <w:szCs w:val="24"/>
          <w:color w:val="auto"/>
        </w:rPr>
      </w:pPr>
    </w:p>
    <w:p>
      <w:pPr>
        <w:ind w:right="80" w:firstLine="243"/>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29" w:right="279" w:bottom="1440" w:gutter="0" w:footer="0" w:header="0"/>
        </w:sectPr>
      </w:pPr>
    </w:p>
    <w:p>
      <w:pPr>
        <w:spacing w:after="0" w:line="343" w:lineRule="exact"/>
        <w:rPr>
          <w:sz w:val="24"/>
          <w:szCs w:val="24"/>
          <w:color w:val="auto"/>
        </w:rPr>
      </w:pPr>
    </w:p>
    <w:p>
      <w:pPr>
        <w:ind w:left="160"/>
        <w:spacing w:after="0"/>
        <w:tabs>
          <w:tab w:leader="none" w:pos="28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p>
    <w:p>
      <w:pPr>
        <w:spacing w:after="0" w:line="117" w:lineRule="exact"/>
        <w:rPr>
          <w:sz w:val="24"/>
          <w:szCs w:val="24"/>
          <w:color w:val="auto"/>
        </w:rPr>
      </w:pPr>
    </w:p>
    <w:p>
      <w:pPr>
        <w:ind w:left="318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4"/>
          <w:szCs w:val="24"/>
          <w:color w:val="auto"/>
        </w:rPr>
      </w:pPr>
    </w:p>
    <w:p>
      <w:pPr>
        <w:ind w:left="160"/>
        <w:spacing w:after="0"/>
        <w:tabs>
          <w:tab w:leader="none" w:pos="2820" w:val="left"/>
          <w:tab w:leader="none" w:pos="316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company)</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tabs>
          <w:tab w:leader="none" w:pos="2660" w:val="left"/>
        </w:tabs>
        <w:rPr>
          <w:sz w:val="20"/>
          <w:szCs w:val="20"/>
          <w:color w:val="auto"/>
        </w:rPr>
      </w:pPr>
      <w:r>
        <w:rPr>
          <w:rFonts w:ascii="Arial" w:cs="Arial" w:eastAsia="Arial" w:hAnsi="Arial"/>
          <w:sz w:val="18"/>
          <w:szCs w:val="18"/>
          <w:color w:val="auto"/>
        </w:rPr>
        <w:t>Accelerated filer</w:t>
      </w:r>
      <w:r>
        <w:rPr>
          <w:sz w:val="20"/>
          <w:szCs w:val="20"/>
          <w:color w:val="auto"/>
        </w:rPr>
        <w:tab/>
      </w:r>
      <w:r>
        <w:rPr>
          <w:rFonts w:ascii="Arial" w:cs="Arial" w:eastAsia="Arial" w:hAnsi="Arial"/>
          <w:sz w:val="17"/>
          <w:szCs w:val="17"/>
          <w:color w:val="auto"/>
        </w:rPr>
        <w:t>o</w:t>
      </w:r>
    </w:p>
    <w:p>
      <w:pPr>
        <w:spacing w:after="0" w:line="63" w:lineRule="exact"/>
        <w:rPr>
          <w:sz w:val="24"/>
          <w:szCs w:val="24"/>
          <w:color w:val="auto"/>
        </w:rPr>
      </w:pPr>
    </w:p>
    <w:p>
      <w:pPr>
        <w:spacing w:after="0"/>
        <w:tabs>
          <w:tab w:leader="none" w:pos="2660" w:val="left"/>
        </w:tabs>
        <w:rPr>
          <w:sz w:val="20"/>
          <w:szCs w:val="20"/>
          <w:color w:val="auto"/>
        </w:rPr>
      </w:pPr>
      <w:r>
        <w:rPr>
          <w:rFonts w:ascii="Arial" w:cs="Arial" w:eastAsia="Arial" w:hAnsi="Arial"/>
          <w:sz w:val="18"/>
          <w:szCs w:val="18"/>
          <w:color w:val="auto"/>
        </w:rPr>
        <w:t>Smaller reporting company</w:t>
      </w:r>
      <w:r>
        <w:rPr>
          <w:sz w:val="20"/>
          <w:szCs w:val="20"/>
          <w:color w:val="auto"/>
        </w:rPr>
        <w:tab/>
      </w:r>
      <w:r>
        <w:rPr>
          <w:rFonts w:ascii="Arial" w:cs="Arial" w:eastAsia="Arial" w:hAnsi="Arial"/>
          <w:sz w:val="17"/>
          <w:szCs w:val="17"/>
          <w:color w:val="auto"/>
        </w:rPr>
        <w:t>o</w:t>
      </w:r>
    </w:p>
    <w:p>
      <w:pPr>
        <w:spacing w:after="0" w:line="63" w:lineRule="exact"/>
        <w:rPr>
          <w:sz w:val="24"/>
          <w:szCs w:val="24"/>
          <w:color w:val="auto"/>
        </w:rPr>
      </w:pPr>
    </w:p>
    <w:p>
      <w:pPr>
        <w:spacing w:after="0"/>
        <w:tabs>
          <w:tab w:leader="none" w:pos="26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ectPr>
          <w:pgSz w:w="11900" w:h="16838" w:orient="portrait"/>
          <w:cols w:equalWidth="0" w:num="2">
            <w:col w:w="7600" w:space="720"/>
            <w:col w:w="306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0"/>
          <w:szCs w:val="20"/>
          <w:color w:val="auto"/>
        </w:rPr>
      </w:pPr>
    </w:p>
    <w:p>
      <w:pPr>
        <w:ind w:left="280" w:right="2400"/>
        <w:spacing w:after="0" w:line="465" w:lineRule="auto"/>
        <w:rPr>
          <w:sz w:val="20"/>
          <w:szCs w:val="20"/>
          <w:color w:val="auto"/>
        </w:rPr>
      </w:pPr>
      <w:r>
        <w:rPr>
          <w:rFonts w:ascii="Arial" w:cs="Arial" w:eastAsia="Arial" w:hAnsi="Arial"/>
          <w:sz w:val="18"/>
          <w:szCs w:val="18"/>
          <w:color w:val="auto"/>
        </w:rPr>
        <w:t>Indicate by check mark whether the registrant is a shell company (as defined in Rule 12b-2 of the Act). Yes o No x As of April 28, 2017, there were 175,760.937 shares of the registrant’s common stock outstanding.</w:t>
      </w:r>
    </w:p>
    <w:p>
      <w:pPr>
        <w:sectPr>
          <w:pgSz w:w="11900" w:h="16838" w:orient="portrait"/>
          <w:cols w:equalWidth="0" w:num="1">
            <w:col w:w="11340"/>
          </w:cols>
          <w:pgMar w:left="240" w:top="121" w:right="31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March 31, 2017</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40" w:type="dxa"/>
            <w:vAlign w:val="bottom"/>
            <w:gridSpan w:val="6"/>
            <w:vMerge w:val="restart"/>
          </w:tcPr>
          <w:p>
            <w:pPr>
              <w:jc w:val="center"/>
              <w:ind w:right="4480"/>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828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March 31, 2017 and December 31, 2016</w:t>
              </w:r>
            </w:hyperlink>
          </w:p>
        </w:tc>
        <w:tc>
          <w:tcPr>
            <w:tcW w:w="304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Months Ended March 31, 2017 and 2016</w:t>
              </w:r>
            </w:hyperlink>
          </w:p>
        </w:tc>
        <w:tc>
          <w:tcPr>
            <w:tcW w:w="168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320" w:type="dxa"/>
            <w:vAlign w:val="bottom"/>
            <w:gridSpan w:val="15"/>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Comprehensive Income for the Three Months Ended March 31, 2017 and 2016</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7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Months Ended March 31, 2017 and 2016</w:t>
              </w:r>
            </w:hyperlink>
          </w:p>
        </w:tc>
        <w:tc>
          <w:tcPr>
            <w:tcW w:w="860" w:type="dxa"/>
            <w:vAlign w:val="bottom"/>
            <w:tcBorders>
              <w:top w:val="single" w:sz="8" w:color="0000EE"/>
            </w:tcBorders>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32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1"/>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33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5480" w:type="dxa"/>
            <w:vAlign w:val="bottom"/>
            <w:gridSpan w:val="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420" w:type="dxa"/>
            <w:vAlign w:val="bottom"/>
          </w:tcPr>
          <w:p>
            <w:pPr>
              <w:spacing w:after="0"/>
              <w:rPr>
                <w:sz w:val="21"/>
                <w:szCs w:val="21"/>
                <w:color w:val="auto"/>
              </w:rPr>
            </w:pPr>
          </w:p>
        </w:tc>
        <w:tc>
          <w:tcPr>
            <w:tcW w:w="846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80" w:type="dxa"/>
            <w:vAlign w:val="bottom"/>
            <w:gridSpan w:val="6"/>
            <w:shd w:val="clear" w:color="auto" w:fill="0000EE"/>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Exhibits</w:t>
              </w:r>
            </w:hyperlink>
          </w:p>
        </w:tc>
        <w:tc>
          <w:tcPr>
            <w:tcW w:w="3740" w:type="dxa"/>
            <w:vAlign w:val="bottom"/>
            <w:gridSpan w:val="7"/>
          </w:tcPr>
          <w:p>
            <w:pPr>
              <w:spacing w:after="0"/>
              <w:rPr>
                <w:sz w:val="21"/>
                <w:szCs w:val="21"/>
                <w:color w:val="auto"/>
              </w:rPr>
            </w:pPr>
          </w:p>
        </w:tc>
        <w:tc>
          <w:tcPr>
            <w:tcW w:w="544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EE"/>
                <w:w w:val="85"/>
              </w:rPr>
            </w:pPr>
            <w:hyperlink w:anchor="page61">
              <w:r>
                <w:rPr>
                  <w:rFonts w:ascii="Arial" w:cs="Arial" w:eastAsia="Arial" w:hAnsi="Arial"/>
                  <w:sz w:val="18"/>
                  <w:szCs w:val="18"/>
                  <w:color w:val="0000EE"/>
                  <w:w w:val="85"/>
                </w:rPr>
                <w:t>Signatures</w:t>
              </w:r>
            </w:hyperlink>
          </w:p>
        </w:tc>
        <w:tc>
          <w:tcPr>
            <w:tcW w:w="902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Part I</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4"/>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FORTINET, INC.</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9"/>
        </w:trPr>
        <w:tc>
          <w:tcPr>
            <w:tcW w:w="820" w:type="dxa"/>
            <w:vAlign w:val="bottom"/>
          </w:tcPr>
          <w:p>
            <w:pPr>
              <w:spacing w:after="0"/>
              <w:rPr>
                <w:sz w:val="24"/>
                <w:szCs w:val="24"/>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(unaudited, in thousands, except per share amounts)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9"/>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709,003</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375,423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376,522</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Accounts receivable—Net of reserves for sales returns and doubtful accounts of $11,685 and $11,235 at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March 31, 2017 and December 31, 2016,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270,111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312,998</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104,978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106,887</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33,306</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1,616,082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1,538,716</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242,333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224,983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199,186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182,745</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137,249</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ASSETS—NET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22,535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24,828</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16,867</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2,267,383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2,139,941</w:t>
            </w:r>
          </w:p>
        </w:tc>
      </w:tr>
      <w:tr>
        <w:trPr>
          <w:trHeight w:val="20"/>
        </w:trPr>
        <w:tc>
          <w:tcPr>
            <w:tcW w:w="83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56,732</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35,640</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78,138</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13,588</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645,342</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856,585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829,440</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390,007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INCOME TAX LIABILITIES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72,993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68,551</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14,262</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1,369,134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1,302,260</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Common stock, $0.001 par value—300,000 shares authorized; 175,443 and 173,078 shares issued and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outstanding at March 31, 2017 and December 31, 2016,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850,226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800,653</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48,337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37,620</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20" w:type="dxa"/>
            <w:vAlign w:val="bottom"/>
            <w:tcBorders>
              <w:bottom w:val="single" w:sz="8" w:color="CCEEFF"/>
            </w:tcBorders>
            <w:shd w:val="clear" w:color="auto" w:fill="CCEEFF"/>
          </w:tcPr>
          <w:p>
            <w:pPr>
              <w:spacing w:after="0"/>
              <w:rPr>
                <w:sz w:val="22"/>
                <w:szCs w:val="22"/>
                <w:color w:val="auto"/>
              </w:rPr>
            </w:pPr>
          </w:p>
        </w:tc>
        <w:tc>
          <w:tcPr>
            <w:tcW w:w="7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898,249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837,681</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2,267,383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2,139,941</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4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8"/>
                <w:szCs w:val="18"/>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Product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135,253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124,572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160,004</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340,576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284,576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Product</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55,297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49,313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35,267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28,331</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90,564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77,644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Product</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79,956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75,259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131,673</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250,012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206,932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51,195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44,754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146,103</w:t>
            </w: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22,577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19,439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244,602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210,624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8,104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10,717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(Note 7):</w:t>
            </w: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1"/>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174,489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171,745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660" w:type="dxa"/>
            <w:vAlign w:val="bottom"/>
          </w:tcPr>
          <w:p>
            <w:pPr>
              <w:ind w:left="50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178,278</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174,421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w:t>
      </w:r>
    </w:p>
    <w:p>
      <w:pPr>
        <w:spacing w:after="0" w:line="36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8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7"/>
        </w:trPr>
        <w:tc>
          <w:tcPr>
            <w:tcW w:w="8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2,118</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loss on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1,888</w:t>
            </w:r>
          </w:p>
        </w:tc>
      </w:tr>
      <w:tr>
        <w:trPr>
          <w:trHeight w:val="243"/>
        </w:trPr>
        <w:tc>
          <w:tcPr>
            <w:tcW w:w="8420" w:type="dxa"/>
            <w:vAlign w:val="bottom"/>
          </w:tcPr>
          <w:p>
            <w:pPr>
              <w:ind w:left="380"/>
              <w:spacing w:after="0"/>
              <w:rPr>
                <w:sz w:val="20"/>
                <w:szCs w:val="20"/>
                <w:color w:val="auto"/>
              </w:rPr>
            </w:pPr>
            <w:r>
              <w:rPr>
                <w:rFonts w:ascii="Arial" w:cs="Arial" w:eastAsia="Arial" w:hAnsi="Arial"/>
                <w:sz w:val="18"/>
                <w:szCs w:val="18"/>
                <w:color w:val="auto"/>
              </w:rPr>
              <w:t>Tax provision related to change in unrealized loss on investments</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661</w:t>
            </w:r>
          </w:p>
        </w:tc>
      </w:tr>
      <w:tr>
        <w:trPr>
          <w:trHeight w:val="27"/>
        </w:trPr>
        <w:tc>
          <w:tcPr>
            <w:tcW w:w="8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income—net of taxes</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r>
      <w:tr>
        <w:trPr>
          <w:trHeight w:val="257"/>
        </w:trPr>
        <w:tc>
          <w:tcPr>
            <w:tcW w:w="84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10,993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3,345</w:t>
            </w:r>
          </w:p>
        </w:tc>
      </w:tr>
      <w:tr>
        <w:trPr>
          <w:trHeight w:val="20"/>
        </w:trPr>
        <w:tc>
          <w:tcPr>
            <w:tcW w:w="8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121" w:right="3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12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8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10,717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2,118</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13,493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10,550</w:t>
            </w: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1,497</w:t>
            </w: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33,331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28,902</w:t>
            </w: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Other non-cash items—net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Accounts receivable—net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38,920</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Inventory</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(3,545)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(527)</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tax assets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(16,589)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(16,709)</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(8,261)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1,029</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(8,287)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(11,426)</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(5,267)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(2,945)</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61,776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46,106</w:t>
            </w:r>
          </w:p>
        </w:tc>
      </w:tr>
      <w:tr>
        <w:trPr>
          <w:trHeight w:val="270"/>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Income taxes payable</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4,983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5,391</w:t>
            </w:r>
          </w:p>
        </w:tc>
      </w:tr>
      <w:tr>
        <w:trPr>
          <w:trHeight w:val="250"/>
        </w:trPr>
        <w:tc>
          <w:tcPr>
            <w:tcW w:w="85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129,749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100,591</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(133,006)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(115,672)</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Sales of investments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2,867</w:t>
            </w: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Maturities of investments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109,207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108,557</w:t>
            </w:r>
          </w:p>
        </w:tc>
      </w:tr>
      <w:tr>
        <w:trPr>
          <w:trHeight w:val="270"/>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property and equipment</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(13,526)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(29,956)</w:t>
            </w:r>
          </w:p>
        </w:tc>
      </w:tr>
      <w:tr>
        <w:trPr>
          <w:trHeight w:val="250"/>
        </w:trPr>
        <w:tc>
          <w:tcPr>
            <w:tcW w:w="85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(31,325)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(34,204)</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29,515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17,785</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(13,693)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(9,441)</w:t>
            </w: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(50,000)</w:t>
            </w:r>
          </w:p>
        </w:tc>
      </w:tr>
      <w:tr>
        <w:trPr>
          <w:trHeight w:val="250"/>
        </w:trPr>
        <w:tc>
          <w:tcPr>
            <w:tcW w:w="8580" w:type="dxa"/>
            <w:vAlign w:val="bottom"/>
            <w:tcBorders>
              <w:top w:val="single" w:sz="8" w:color="CCEEFF"/>
            </w:tcBorders>
            <w:shd w:val="clear" w:color="auto" w:fill="CCEEFF"/>
          </w:tcPr>
          <w:p>
            <w:pPr>
              <w:ind w:left="190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15,822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(41,656)</w:t>
            </w: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114,246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24,731</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709,003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543,277</w:t>
            </w: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823,249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568,008</w:t>
            </w: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97"/>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Liability for purchase of property and equipment</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18,704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7,843</w:t>
            </w:r>
          </w:p>
        </w:tc>
      </w:tr>
      <w:tr>
        <w:trPr>
          <w:trHeight w:val="21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5,681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6,671</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—The unaudited condensed consolidated financial statements of Fortinet, Inc. and its wholly 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2016, contained in our Annual Report on Form 10-K filed with the SEC on March 1, 2017. In the opinion of management, all adjustments, which includes normal recurring adjustments, considered necessary for a fair presentation have been included. All intercompany balances, transactions and cash flows have been eliminated. The results of operations for the three months ended March 31, 2017 are not necessarily indicative of the results for the full year or for any future periods. The condensed consolidated balance sheet as of December 31, 2016 is derived from the audited consolidated financial statements for the year ended December 31, 2016.</w:t>
      </w:r>
    </w:p>
    <w:p>
      <w:pPr>
        <w:spacing w:after="0" w:line="19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There have been no material changes to our significant accounting policies as of and for the three months ended March 31, 2017, except for changes to our policies related to inventory and business combinations. For more information, refer to the “Recently Adopted Accounting Standards.”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January 2017, the Financial Accounting Standards Board (“FASB”) issued Accounting Standards Update (“ASU”) ASU 2017-01—Business Combinations: Clarifying the Definition of a Business, which clarifies the definition of a business to assist organizations with evaluating whether transactions should be accounted for as acquisitions (or disposals) of assets or businesses. The definition of a business affects many areas of accounting including acquisitions, disposals, goodwill and consolidation. We elected to early adopt ASU 2017-01 on a prospective basis beginning on January 1, 2017. The adoption of ASU 2017-01 did not have a material impact on our consolidated financial statements.</w:t>
      </w:r>
    </w:p>
    <w:p>
      <w:pPr>
        <w:spacing w:after="0" w:line="17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July 2015, the FASB issued ASU 2015-11—Inventory: Simplifying the Measurement of Inventory, which requires entities to measure most inventory at the lower of cost and net realizable value, replacing the former methodology of measuring inventory at the lower of cost or market. We adopted ASU 2015-11 on a prospective basis beginning on January 1, 2017. The adoption of ASU 2015-11 did not have a significant impact on our consolidated financial statements.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January 2017, the FASB issued ASU 2017-04—Intangibles - Goodwill and Other: Simplifying the Test for Goodwill Impairment. ASU 2017-04 eliminates Step 2 from the goodwill impairment test which measures a goodwill impairment loss by comparing the implied fair value of a reporting unit’s goodwill with the carrying amount of that goodwill. Under ASU 2017-04, an entity should perform its annual or interim goodwill impairment test by comparing the fair value of the reporting unit with its carrying amount, and should recognize an impairment loss for the amount by which the carrying amount exceeds the reporting unit’s fair value, with the loss not exceeding the total amount of goodwill allocated to that reporting unit. ASU 2016-06 will be effective for us beginning on January 1, 2020. Early adoption is permitted for interim or annual goodwill impairment tests performed after January 1, 2017. At adoption, this update will require a prospective approach. We intend to adopt ASU 2017-04 in the fourth quarter of 2017. We do not believe that ASU 2017-04 will have a material impact on our consolidated financial statements.</w:t>
      </w:r>
    </w:p>
    <w:p>
      <w:pPr>
        <w:spacing w:after="0" w:line="17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October 2016, the FASB issued ASU 2016-16—Income Taxes: —Intra-Entity Transfer of Assets Other Than Inventory, which requires the recognition of the income tax consequences of an intra-entity transfer of an asset, other than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inventory, when the transfer occurs. ASU 2016-06 will be effective for us beginning on January 1, 2018. We are currently evaluating the impact of adopting ASU 2016-16 on our consolidated financial statements.</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June 2016, the FASB issued ASU 2016-13—Financial Instruments—Credit Losses—Measurement of Credit Losses on Financial Instruments, which requires measurement and recognition of expected credit losses for financial assets held. ASU 2016-13 is effective for us beginning on January 1, 2020, with the option to adopt early on January 1, 2019. We are currently evaluating the impact of adopting ASU 2016-13 on our consolidated financial statements.</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February 2016, the FASB issued ASU 2016-02—Leases, which requires the recognition of right-of-use assets and lease liabilities on the consolidated balance sheet for substantially all leases. The new guidance includes a number of optional practical expedients that entities may elect to apply. The new guidance will also require significant additional disclosures about the amount, timing and uncertainty of cash flows from leases. This new guidance will be effective for us beginning on January 1, 2019, using a modified retrospective approach. We currently anticipate to early adopt ASU 2016-02 on January 1, 2018. Our ability to early adopt is dependent on system readiness, including software procured from third-party providers, if any, and the completion of our analysis of information necessary to quantify the impact on the prior period financial statements. Based on our current lease portfolio, we estimate the value of leased assets and liabilities that may be recognized could be at least $50.0 million. We are continuing to evaluate the impact of ASU 2016-02 and our estimate is subject to change. We do not believe that ASU 2016-02 will have a material impact on our consolidated statements of operations.</w:t>
      </w:r>
    </w:p>
    <w:p>
      <w:pPr>
        <w:spacing w:after="0" w:line="16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May 2014, the FASB issued ASU 2014-09—Revenue from Contracts with Customers, which outlines a single, comprehensive model for entities to use in accounting for revenue arising from contracts with customers. The core principle of ASU 2014-09 is to recognize revenue when promised goods or services are transferred to customers in an amount that reflects the consideration that is expected to be received for those goods or services. ASU 2014-09 defines a five step process to achieve this core principle and, accordingly, it is possible more judgment and estimates may be required within the revenue recognition process than is required under existing U.S. GAAP, including identifying performance obligations in the contract, estimating the amount of variable consideration to include in the transaction price and allocating the transaction price to each separate performance obligation. The FASB has recently issued several amendments to ASU 2014-09, including clarification on accounting for licenses of intellectual property and identifying performance obligations. ASU 2014-09 will be effective for us beginning January 1, 2018.</w:t>
      </w:r>
    </w:p>
    <w:p>
      <w:pPr>
        <w:spacing w:after="0" w:line="17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two permitted transition methods under ASU 2014-09 are the full retrospective method, in which case ASU 2014-09 would be applied to each prior reporting period presented and the cumulative effect of applying ASU 2014-09 would be recognized at the earliest period shown, or the modified retrospective method, in which case the cumulative effect of applying ASU 2014-09 would be recognized at the date of initial application. Currently, we are in the process of reviewing our historical contracts to quantify the impact on our consolidated financial statements. Depending on the results of our review, there could be changes to the timing of revenue recognition and certain sales commission and related costs associated with obtaining and fulfilling our customer contracts. These changes may include the acceleration of revenue and associated costs on sales to certain channel partners that are currently accounted for only once the product is sold through to the end-customer. We will be required to capitalize and amortize incremental costs related to obtaining customer contracts, such as sales commission costs. We are also in the process of assessing the appropriate changes to our business processes and upgrading our systems and controls to support recognition and disclosure under ASU 2014-09. We otherwise expect to complete our assessment process, including selecting a transition method for adoption, in the next two quarters of 2017.</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4"/>
              </w:rPr>
              <w:t>March 31, 2017</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405,681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405,007</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110,434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110,476</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55,764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55,677</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46,227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46,192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404</w:t>
            </w:r>
          </w:p>
        </w:tc>
      </w:tr>
      <w:tr>
        <w:trPr>
          <w:trHeight w:val="264"/>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618,510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617,756</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378,612</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95,110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95,108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64,541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59,257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59,025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4,219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4,219</w:t>
            </w:r>
          </w:p>
        </w:tc>
      </w:tr>
      <w:tr>
        <w:trPr>
          <w:trHeight w:val="264"/>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602,684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601,505</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80" w:hanging="145"/>
        <w:spacing w:after="0"/>
        <w:tabs>
          <w:tab w:leader="none" w:pos="180" w:val="left"/>
        </w:tabs>
        <w:numPr>
          <w:ilvl w:val="0"/>
          <w:numId w:val="4"/>
        </w:numPr>
        <w:rPr>
          <w:rFonts w:ascii="Arial" w:cs="Arial" w:eastAsia="Arial" w:hAnsi="Arial"/>
          <w:sz w:val="17"/>
          <w:szCs w:val="17"/>
          <w:color w:val="auto"/>
          <w:vertAlign w:val="superscript"/>
        </w:rPr>
      </w:pPr>
      <w:r>
        <w:rPr>
          <w:rFonts w:ascii="Arial" w:cs="Arial" w:eastAsia="Arial" w:hAnsi="Arial"/>
          <w:sz w:val="17"/>
          <w:szCs w:val="17"/>
          <w:color w:val="auto"/>
        </w:rPr>
        <w:t>The majority of our certificates of deposit and term deposits are foreign deposits.</w:t>
      </w:r>
    </w:p>
    <w:p>
      <w:pPr>
        <w:spacing w:after="0" w:line="26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tables show the gross unrealized losses and the related fair values of our investments that have been in a continuous unrealized loss position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380"/>
              <w:spacing w:after="0"/>
              <w:rPr>
                <w:sz w:val="20"/>
                <w:szCs w:val="20"/>
                <w:color w:val="auto"/>
              </w:rPr>
            </w:pPr>
            <w:r>
              <w:rPr>
                <w:rFonts w:ascii="Arial" w:cs="Arial" w:eastAsia="Arial" w:hAnsi="Arial"/>
                <w:sz w:val="16"/>
                <w:szCs w:val="16"/>
                <w:b w:val="1"/>
                <w:bCs w:val="1"/>
                <w:color w:val="auto"/>
              </w:rPr>
              <w:t>March 31, 2017</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325,615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337,366</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46,388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31,172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430,008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11,751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441,759</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2016</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311,980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325,521</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52,200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17,394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415,004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13,541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428,545</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71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2016</w:t>
            </w:r>
          </w:p>
        </w:tc>
      </w:tr>
      <w:tr>
        <w:trPr>
          <w:trHeight w:val="33"/>
        </w:trPr>
        <w:tc>
          <w:tcPr>
            <w:tcW w:w="7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375,423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376,522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36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242,333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224,983</w:t>
            </w:r>
          </w:p>
        </w:tc>
      </w:tr>
      <w:tr>
        <w:trPr>
          <w:trHeight w:val="27"/>
        </w:trPr>
        <w:tc>
          <w:tcPr>
            <w:tcW w:w="7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617,756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601,505</w:t>
            </w:r>
          </w:p>
        </w:tc>
      </w:tr>
      <w:tr>
        <w:trPr>
          <w:trHeight w:val="20"/>
        </w:trPr>
        <w:tc>
          <w:tcPr>
            <w:tcW w:w="7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and in comprehensive income. Realized gains and losses on available-for-sale securities are insignificant in the periods presented and are included in Other income (expense)—net in our condensed consolidated statements of operations. We use the specific identification method to determine the cost basis of investments sold.</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March 31, 2017.</w:t>
      </w:r>
    </w:p>
    <w:p>
      <w:pPr>
        <w:spacing w:after="0" w:line="16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5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 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 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tables present the fair value of our financial assets measured at fair value on a recurring basis as of March 31, 2017 and December 31, 2016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5"/>
          </w:tcPr>
          <w:p>
            <w:pPr>
              <w:ind w:left="380"/>
              <w:spacing w:after="0"/>
              <w:rPr>
                <w:sz w:val="20"/>
                <w:szCs w:val="20"/>
                <w:color w:val="auto"/>
              </w:rPr>
            </w:pPr>
            <w:r>
              <w:rPr>
                <w:rFonts w:ascii="Arial" w:cs="Arial" w:eastAsia="Arial" w:hAnsi="Arial"/>
                <w:sz w:val="16"/>
                <w:szCs w:val="16"/>
                <w:b w:val="1"/>
                <w:bCs w:val="1"/>
                <w:color w:val="auto"/>
              </w:rPr>
              <w:t>March 31, 2017</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5"/>
          </w:tcPr>
          <w:p>
            <w:pPr>
              <w:ind w:left="240"/>
              <w:spacing w:after="0"/>
              <w:rPr>
                <w:sz w:val="20"/>
                <w:szCs w:val="20"/>
                <w:color w:val="auto"/>
              </w:rPr>
            </w:pPr>
            <w:r>
              <w:rPr>
                <w:rFonts w:ascii="Arial" w:cs="Arial" w:eastAsia="Arial" w:hAnsi="Arial"/>
                <w:sz w:val="16"/>
                <w:szCs w:val="16"/>
                <w:b w:val="1"/>
                <w:bCs w:val="1"/>
                <w:color w:val="auto"/>
              </w:rPr>
              <w:t>December 31, 2016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7"/>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00" w:type="dxa"/>
            <w:vAlign w:val="bottom"/>
          </w:tcPr>
          <w:p>
            <w:pPr>
              <w:jc w:val="center"/>
              <w:ind w:right="61"/>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3"/>
              </w:rPr>
              <w:t>Aggregate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Observable</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76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0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6"/>
              </w:rPr>
              <w:t>Unobservable</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76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7"/>
              </w:rPr>
              <w:t>Remaining</w:t>
            </w:r>
          </w:p>
        </w:tc>
      </w:tr>
      <w:tr>
        <w:trPr>
          <w:trHeight w:val="174"/>
        </w:trPr>
        <w:tc>
          <w:tcPr>
            <w:tcW w:w="3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87"/>
              </w:rPr>
              <w:t>Inputs</w:t>
            </w:r>
          </w:p>
        </w:tc>
      </w:tr>
      <w:tr>
        <w:trPr>
          <w:trHeight w:val="224"/>
        </w:trPr>
        <w:tc>
          <w:tcPr>
            <w:tcW w:w="3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2)</w:t>
            </w:r>
          </w:p>
        </w:tc>
        <w:tc>
          <w:tcPr>
            <w:tcW w:w="120" w:type="dxa"/>
            <w:vAlign w:val="bottom"/>
          </w:tcPr>
          <w:p>
            <w:pPr>
              <w:spacing w:after="0"/>
              <w:rPr>
                <w:sz w:val="19"/>
                <w:szCs w:val="19"/>
                <w:color w:val="auto"/>
              </w:rPr>
            </w:pPr>
          </w:p>
        </w:tc>
        <w:tc>
          <w:tcPr>
            <w:tcW w:w="900" w:type="dxa"/>
            <w:vAlign w:val="bottom"/>
          </w:tcPr>
          <w:p>
            <w:pPr>
              <w:jc w:val="center"/>
              <w:ind w:right="41"/>
              <w:spacing w:after="0"/>
              <w:rPr>
                <w:sz w:val="20"/>
                <w:szCs w:val="20"/>
                <w:color w:val="auto"/>
              </w:rPr>
            </w:pPr>
            <w:r>
              <w:rPr>
                <w:rFonts w:ascii="Arial" w:cs="Arial" w:eastAsia="Arial" w:hAnsi="Arial"/>
                <w:sz w:val="16"/>
                <w:szCs w:val="16"/>
                <w:b w:val="1"/>
                <w:bCs w:val="1"/>
                <w:color w:val="auto"/>
                <w:w w:val="95"/>
              </w:rPr>
              <w:t>(Level 3)</w:t>
            </w:r>
          </w:p>
        </w:tc>
      </w:tr>
      <w:tr>
        <w:trPr>
          <w:trHeight w:val="33"/>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w w:val="98"/>
              </w:rPr>
              <w:t>405,007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41"/>
              <w:spacing w:after="0"/>
              <w:rPr>
                <w:sz w:val="20"/>
                <w:szCs w:val="20"/>
                <w:color w:val="auto"/>
              </w:rPr>
            </w:pPr>
            <w:r>
              <w:rPr>
                <w:rFonts w:ascii="Arial" w:cs="Arial" w:eastAsia="Arial" w:hAnsi="Arial"/>
                <w:sz w:val="18"/>
                <w:szCs w:val="18"/>
                <w:color w:val="auto"/>
                <w:w w:val="98"/>
              </w:rPr>
              <w:t>405,007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w w:val="98"/>
              </w:rPr>
              <w:t>378,612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1"/>
              <w:spacing w:after="0"/>
              <w:rPr>
                <w:sz w:val="20"/>
                <w:szCs w:val="20"/>
                <w:color w:val="auto"/>
              </w:rPr>
            </w:pPr>
            <w:r>
              <w:rPr>
                <w:rFonts w:ascii="Arial" w:cs="Arial" w:eastAsia="Arial" w:hAnsi="Arial"/>
                <w:sz w:val="18"/>
                <w:szCs w:val="18"/>
                <w:color w:val="auto"/>
                <w:w w:val="98"/>
              </w:rPr>
              <w:t>378,612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8"/>
              </w:rPr>
              <w:t>119,965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w w:val="98"/>
              </w:rPr>
              <w:t>119,965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8"/>
              </w:rPr>
              <w:t>105,097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98"/>
              </w:rPr>
              <w:t>105,097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tcPr>
          <w:p>
            <w:pPr>
              <w:ind w:left="500"/>
              <w:spacing w:after="0"/>
              <w:rPr>
                <w:sz w:val="20"/>
                <w:szCs w:val="20"/>
                <w:color w:val="auto"/>
              </w:rPr>
            </w:pPr>
            <w:r>
              <w:rPr>
                <w:rFonts w:ascii="Arial" w:cs="Arial" w:eastAsia="Arial" w:hAnsi="Arial"/>
                <w:sz w:val="18"/>
                <w:szCs w:val="18"/>
                <w:color w:val="auto"/>
              </w:rPr>
              <w:t>U.S. government and agency</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100" w:type="dxa"/>
            <w:vAlign w:val="bottom"/>
          </w:tcPr>
          <w:p>
            <w:pPr>
              <w:ind w:left="50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55,677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45,222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color w:val="auto"/>
              </w:rPr>
              <w:t>10,455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64,541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color w:val="auto"/>
              </w:rPr>
              <w:t>52,082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8"/>
                <w:szCs w:val="18"/>
                <w:color w:val="auto"/>
              </w:rPr>
              <w:t>12,459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46,192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46,192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59,025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59,025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21,069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21,069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38,649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color w:val="auto"/>
              </w:rPr>
              <w:t>38,649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deposits</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4,219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8"/>
              </w:rPr>
              <w:t>648,314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66,291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w w:val="98"/>
              </w:rPr>
              <w:t>582,023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8"/>
              </w:rPr>
              <w:t>650,143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90,731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98"/>
              </w:rPr>
              <w:t>559,412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30,558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48,638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8"/>
              </w:rPr>
              <w:t>375,423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8"/>
              </w:rPr>
              <w:t>376,522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w w:val="98"/>
              </w:rPr>
              <w:t>242,333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w w:val="98"/>
              </w:rPr>
              <w:t>224,983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8"/>
              </w:rPr>
              <w:t>648,314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8"/>
              </w:rPr>
              <w:t>650,143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and Level 2 of the fair value hierarchy during the three months ended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March 31,</w:t>
            </w:r>
          </w:p>
        </w:tc>
        <w:tc>
          <w:tcPr>
            <w:tcW w:w="300" w:type="dxa"/>
            <w:vAlign w:val="bottom"/>
          </w:tcPr>
          <w:p>
            <w:pPr>
              <w:spacing w:after="0"/>
              <w:rPr>
                <w:sz w:val="17"/>
                <w:szCs w:val="17"/>
                <w:color w:val="auto"/>
              </w:rPr>
            </w:pPr>
          </w:p>
        </w:tc>
        <w:tc>
          <w:tcPr>
            <w:tcW w:w="1640" w:type="dxa"/>
            <w:vAlign w:val="bottom"/>
          </w:tcPr>
          <w:p>
            <w:pPr>
              <w:jc w:val="center"/>
              <w:ind w:right="25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center"/>
              <w:ind w:right="272"/>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18,924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88,438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87,963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104,978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106,887</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4. PROPERTY AND EQUIPMENT—NET</w:t>
            </w: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ind w:left="660"/>
              <w:spacing w:after="0"/>
              <w:rPr>
                <w:sz w:val="20"/>
                <w:szCs w:val="20"/>
                <w:color w:val="auto"/>
              </w:rPr>
            </w:pPr>
            <w:r>
              <w:rPr>
                <w:rFonts w:ascii="Arial" w:cs="Arial" w:eastAsia="Arial" w:hAnsi="Arial"/>
                <w:sz w:val="18"/>
                <w:szCs w:val="18"/>
                <w:color w:val="auto"/>
              </w:rPr>
              <w:t>Property and equipment—net consisted of the following (in thousands):</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March 31,</w:t>
            </w:r>
          </w:p>
        </w:tc>
        <w:tc>
          <w:tcPr>
            <w:tcW w:w="300" w:type="dxa"/>
            <w:vAlign w:val="bottom"/>
          </w:tcPr>
          <w:p>
            <w:pPr>
              <w:spacing w:after="0"/>
              <w:rPr>
                <w:sz w:val="24"/>
                <w:szCs w:val="24"/>
                <w:color w:val="auto"/>
              </w:rPr>
            </w:pPr>
          </w:p>
        </w:tc>
        <w:tc>
          <w:tcPr>
            <w:tcW w:w="1640" w:type="dxa"/>
            <w:vAlign w:val="bottom"/>
          </w:tcPr>
          <w:p>
            <w:pPr>
              <w:jc w:val="center"/>
              <w:ind w:right="25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center"/>
              <w:ind w:right="272"/>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65,323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56,373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49,783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35,079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20,542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18,699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20,173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14,153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13,995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231,216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207,721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(70,472)</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155,476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137,249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$11.2 million and $9.4 million for the three months ended March 31, 2017 and March 31, 2016,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PRIVATELY HELD COMPANIES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investments in the equity securities of privately held companies totaled $11.3 million and $10.3 million as of March 31, 2017 and December 31, 2016, respectively. These investments are accounted for as cost-basis investments, as we own less than 20% of the voting securities in each these investments and do not have the ability to exercise significant influence over operating and financial policies of the respective entities. These investments are carried at historical cost and are recorded as other assets on our condensed consolidated balance sheets and would be measured at fair value if indicators of impairment existed. As of March 31, 2017, no events have occurred that would adversely affect the carrying value of these investments.</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March 31, 2017, we determined that we had a variable interest in these privately held companies. However, we determined that we were not the primary beneficiary as we did not have the power to direct their activities that most significantly affect their economic performance. The variable interest entities are not required to be consolidated in our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March 31, 2017, we had goodwill of $14.6 million. There were no impairments to goodwill during the three months ended March 31, 2017 or during previous periods.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as of March 31, 2017 and December 31, 2016 (in thousands, except years):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4"/>
              </w:rPr>
              <w:t>March 31, 2017</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1"/>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13,984</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7,549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6,951</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20,935</w:t>
            </w:r>
          </w:p>
        </w:tc>
      </w:tr>
      <w:tr>
        <w:trPr>
          <w:trHeight w:val="297"/>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In-process research and development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1,600</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40,084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17,549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22,535</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21"/>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1"/>
              </w:rPr>
              <w:t>December 31, 2016</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1"/>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15,234</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6,506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7,994</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23,228</w:t>
            </w:r>
          </w:p>
        </w:tc>
      </w:tr>
      <w:tr>
        <w:trPr>
          <w:trHeight w:val="297"/>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In-process research and development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1,600</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40,084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15,256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24,828</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Amortization expense was $2.3 million and $1.2 million during the three months ended March 31, 2017 and March 31, 2016, respectively. The following table summarizes estimated future amortization expense of finite-lived intangible assets—net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jc w:val="right"/>
              <w:ind w:right="77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55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2017 (remainder)</w:t>
            </w:r>
          </w:p>
        </w:tc>
        <w:tc>
          <w:tcPr>
            <w:tcW w:w="59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2018</w:t>
            </w:r>
          </w:p>
        </w:tc>
        <w:tc>
          <w:tcPr>
            <w:tcW w:w="55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2019</w:t>
            </w:r>
          </w:p>
        </w:tc>
        <w:tc>
          <w:tcPr>
            <w:tcW w:w="5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55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57"/>
        </w:trPr>
        <w:tc>
          <w:tcPr>
            <w:tcW w:w="3640" w:type="dxa"/>
            <w:vAlign w:val="bottom"/>
          </w:tcPr>
          <w:p>
            <w:pPr>
              <w:ind w:left="40"/>
              <w:spacing w:after="0"/>
              <w:rPr>
                <w:sz w:val="20"/>
                <w:szCs w:val="20"/>
                <w:color w:val="auto"/>
              </w:rPr>
            </w:pPr>
            <w:r>
              <w:rPr>
                <w:rFonts w:ascii="Arial" w:cs="Arial" w:eastAsia="Arial" w:hAnsi="Arial"/>
                <w:sz w:val="18"/>
                <w:szCs w:val="18"/>
                <w:color w:val="auto"/>
              </w:rPr>
              <w:t>Total</w:t>
            </w:r>
          </w:p>
        </w:tc>
        <w:tc>
          <w:tcPr>
            <w:tcW w:w="55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20,935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500" w:type="dxa"/>
            <w:vAlign w:val="bottom"/>
            <w:vMerge w:val="restart"/>
          </w:tcPr>
          <w:p>
            <w:pPr>
              <w:jc w:val="right"/>
              <w:ind w:right="3250"/>
              <w:spacing w:after="0"/>
              <w:rPr>
                <w:sz w:val="20"/>
                <w:szCs w:val="20"/>
                <w:color w:val="auto"/>
              </w:rPr>
            </w:pPr>
            <w:r>
              <w:rPr>
                <w:rFonts w:ascii="Arial" w:cs="Arial" w:eastAsia="Arial" w:hAnsi="Arial"/>
                <w:sz w:val="18"/>
                <w:szCs w:val="18"/>
                <w:color w:val="auto"/>
              </w:rPr>
              <w:t>11</w:t>
            </w: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4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INCOME PER SHARE</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restricted stock units (“RSUs”), stock options and the employee stock purchase plan (“ESPP”). Dilutive shares of common stock are determined by applying the treasury stock method.</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thousands, except per share amounts):</w:t>
      </w:r>
    </w:p>
    <w:p>
      <w:pPr>
        <w:spacing w:after="0" w:line="306"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37465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p>
      <w:pPr>
        <w:ind w:left="8880"/>
        <w:spacing w:after="0"/>
        <w:tabs>
          <w:tab w:leader="none" w:pos="10340" w:val="left"/>
        </w:tabs>
        <w:rPr>
          <w:sz w:val="20"/>
          <w:szCs w:val="20"/>
          <w:color w:val="auto"/>
        </w:rPr>
      </w:pPr>
      <w:r>
        <w:rPr>
          <w:rFonts w:ascii="Arial" w:cs="Arial" w:eastAsia="Arial" w:hAnsi="Arial"/>
          <w:sz w:val="16"/>
          <w:szCs w:val="16"/>
          <w:b w:val="1"/>
          <w:bCs w:val="1"/>
          <w:color w:val="auto"/>
        </w:rPr>
        <w:t>March 31,</w:t>
      </w:r>
      <w:r>
        <w:rPr>
          <w:sz w:val="20"/>
          <w:szCs w:val="20"/>
          <w:color w:val="auto"/>
        </w:rPr>
        <w:tab/>
      </w:r>
      <w:r>
        <w:rPr>
          <w:rFonts w:ascii="Arial" w:cs="Arial" w:eastAsia="Arial" w:hAnsi="Arial"/>
          <w:sz w:val="15"/>
          <w:szCs w:val="15"/>
          <w:b w:val="1"/>
          <w:bCs w:val="1"/>
          <w:color w:val="auto"/>
        </w:rPr>
        <w:t>March 31,</w:t>
      </w:r>
    </w:p>
    <w:p>
      <w:pPr>
        <w:spacing w:after="0" w:line="26" w:lineRule="exact"/>
        <w:rPr>
          <w:sz w:val="20"/>
          <w:szCs w:val="20"/>
          <w:color w:val="auto"/>
        </w:rPr>
      </w:pPr>
    </w:p>
    <w:p>
      <w:pPr>
        <w:ind w:left="9100"/>
        <w:spacing w:after="0"/>
        <w:tabs>
          <w:tab w:leader="none" w:pos="1056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Numerator:</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Denominator:</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Weighted-average common stock outstanding-basic</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Weighted-average common stock outstanding-basic</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Effect of potentially dilutive securities:</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tabs>
          <w:tab w:leader="none" w:pos="720" w:val="left"/>
          <w:tab w:leader="none" w:pos="1460" w:val="left"/>
          <w:tab w:leader="none" w:pos="2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10,717</w:t>
        <w:tab/>
        <w:t>$</w:t>
      </w:r>
      <w:r>
        <w:rPr>
          <w:sz w:val="20"/>
          <w:szCs w:val="20"/>
          <w:color w:val="auto"/>
        </w:rPr>
        <w:tab/>
      </w:r>
      <w:r>
        <w:rPr>
          <w:rFonts w:ascii="Arial" w:cs="Arial" w:eastAsia="Arial" w:hAnsi="Arial"/>
          <w:sz w:val="15"/>
          <w:szCs w:val="15"/>
          <w:color w:val="auto"/>
        </w:rPr>
        <w:t>2,118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8097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660"/>
        <w:spacing w:after="0"/>
        <w:tabs>
          <w:tab w:leader="none" w:pos="2100" w:val="left"/>
        </w:tabs>
        <w:rPr>
          <w:sz w:val="20"/>
          <w:szCs w:val="20"/>
          <w:color w:val="auto"/>
        </w:rPr>
      </w:pPr>
      <w:r>
        <w:rPr>
          <w:rFonts w:ascii="Arial" w:cs="Arial" w:eastAsia="Arial" w:hAnsi="Arial"/>
          <w:sz w:val="18"/>
          <w:szCs w:val="18"/>
          <w:color w:val="auto"/>
        </w:rPr>
        <w:t>174,489</w:t>
      </w:r>
      <w:r>
        <w:rPr>
          <w:sz w:val="20"/>
          <w:szCs w:val="20"/>
          <w:color w:val="auto"/>
        </w:rPr>
        <w:tab/>
      </w:r>
      <w:r>
        <w:rPr>
          <w:rFonts w:ascii="Arial" w:cs="Arial" w:eastAsia="Arial" w:hAnsi="Arial"/>
          <w:sz w:val="18"/>
          <w:szCs w:val="18"/>
          <w:color w:val="auto"/>
        </w:rPr>
        <w:t>171,745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48895</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4" w:lineRule="exact"/>
        <w:rPr>
          <w:sz w:val="20"/>
          <w:szCs w:val="20"/>
          <w:color w:val="auto"/>
        </w:rPr>
      </w:pPr>
    </w:p>
    <w:p>
      <w:pPr>
        <w:jc w:val="both"/>
        <w:ind w:left="660"/>
        <w:spacing w:after="0"/>
        <w:tabs>
          <w:tab w:leader="none" w:pos="2100" w:val="left"/>
        </w:tabs>
        <w:rPr>
          <w:sz w:val="20"/>
          <w:szCs w:val="20"/>
          <w:color w:val="auto"/>
        </w:rPr>
      </w:pPr>
      <w:r>
        <w:rPr>
          <w:rFonts w:ascii="Arial" w:cs="Arial" w:eastAsia="Arial" w:hAnsi="Arial"/>
          <w:sz w:val="18"/>
          <w:szCs w:val="18"/>
          <w:color w:val="auto"/>
        </w:rPr>
        <w:t>174,489</w:t>
      </w:r>
      <w:r>
        <w:rPr>
          <w:sz w:val="20"/>
          <w:szCs w:val="20"/>
          <w:color w:val="auto"/>
        </w:rPr>
        <w:tab/>
      </w:r>
      <w:r>
        <w:rPr>
          <w:rFonts w:ascii="Arial" w:cs="Arial" w:eastAsia="Arial" w:hAnsi="Arial"/>
          <w:sz w:val="18"/>
          <w:szCs w:val="18"/>
          <w:color w:val="auto"/>
        </w:rPr>
        <w:t>171,745</w:t>
      </w:r>
    </w:p>
    <w:p>
      <w:pPr>
        <w:spacing w:after="0" w:line="320" w:lineRule="exact"/>
        <w:rPr>
          <w:sz w:val="20"/>
          <w:szCs w:val="20"/>
          <w:color w:val="auto"/>
        </w:rPr>
      </w:pPr>
    </w:p>
    <w:p>
      <w:pPr>
        <w:sectPr>
          <w:pgSz w:w="11900" w:h="16838" w:orient="portrait"/>
          <w:cols w:equalWidth="0" w:num="2">
            <w:col w:w="7880" w:space="720"/>
            <w:col w:w="28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RSUs</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r>
      <w:tr>
        <w:trPr>
          <w:trHeight w:val="243"/>
        </w:trPr>
        <w:tc>
          <w:tcPr>
            <w:tcW w:w="8580" w:type="dxa"/>
            <w:vAlign w:val="bottom"/>
          </w:tcPr>
          <w:p>
            <w:pPr>
              <w:ind w:left="920"/>
              <w:spacing w:after="0"/>
              <w:rPr>
                <w:sz w:val="20"/>
                <w:szCs w:val="20"/>
                <w:color w:val="auto"/>
              </w:rPr>
            </w:pPr>
            <w:r>
              <w:rPr>
                <w:rFonts w:ascii="Arial" w:cs="Arial" w:eastAsia="Arial" w:hAnsi="Arial"/>
                <w:sz w:val="18"/>
                <w:szCs w:val="18"/>
                <w:color w:val="auto"/>
              </w:rPr>
              <w:t>Stock options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1,632</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ESPP</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used to compute diluted net income per share</w:t>
            </w:r>
          </w:p>
        </w:tc>
        <w:tc>
          <w:tcPr>
            <w:tcW w:w="4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178,278</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174,421</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304"/>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r>
      <w:tr>
        <w:trPr>
          <w:trHeight w:val="251"/>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0"/>
        </w:trPr>
        <w:tc>
          <w:tcPr>
            <w:tcW w:w="8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300" w:type="dxa"/>
            <w:vAlign w:val="bottom"/>
            <w:gridSpan w:val="3"/>
          </w:tcPr>
          <w:p>
            <w:pPr>
              <w:jc w:val="right"/>
              <w:ind w:right="813"/>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720" w:type="dxa"/>
            <w:vAlign w:val="bottom"/>
            <w:gridSpan w:val="2"/>
          </w:tcPr>
          <w:p>
            <w:pPr>
              <w:ind w:left="420"/>
              <w:spacing w:after="0"/>
              <w:rPr>
                <w:sz w:val="20"/>
                <w:szCs w:val="20"/>
                <w:color w:val="auto"/>
              </w:rPr>
            </w:pPr>
            <w:r>
              <w:rPr>
                <w:rFonts w:ascii="Arial" w:cs="Arial" w:eastAsia="Arial" w:hAnsi="Arial"/>
                <w:sz w:val="16"/>
                <w:szCs w:val="16"/>
                <w:b w:val="1"/>
                <w:bCs w:val="1"/>
                <w:color w:val="auto"/>
              </w:rPr>
              <w:t>March 31,</w:t>
            </w:r>
          </w:p>
        </w:tc>
        <w:tc>
          <w:tcPr>
            <w:tcW w:w="1580" w:type="dxa"/>
            <w:vAlign w:val="bottom"/>
          </w:tcPr>
          <w:p>
            <w:pPr>
              <w:jc w:val="right"/>
              <w:ind w:right="373"/>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6400" w:type="dxa"/>
            <w:vAlign w:val="bottom"/>
            <w:gridSpan w:val="2"/>
          </w:tcPr>
          <w:p>
            <w:pPr>
              <w:jc w:val="right"/>
              <w:ind w:right="55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58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64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2,505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6400" w:type="dxa"/>
            <w:vAlign w:val="bottom"/>
            <w:gridSpan w:val="2"/>
          </w:tcPr>
          <w:p>
            <w:pPr>
              <w:jc w:val="right"/>
              <w:ind w:right="34"/>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48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3,885</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8,192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4800" w:type="dxa"/>
            <w:vAlign w:val="bottom"/>
            <w:vMerge w:val="restart"/>
          </w:tcPr>
          <w:p>
            <w:pPr>
              <w:jc w:val="right"/>
              <w:ind w:right="2232"/>
              <w:spacing w:after="0"/>
              <w:rPr>
                <w:sz w:val="20"/>
                <w:szCs w:val="20"/>
                <w:color w:val="auto"/>
              </w:rPr>
            </w:pPr>
            <w:r>
              <w:rPr>
                <w:rFonts w:ascii="Arial" w:cs="Arial" w:eastAsia="Arial" w:hAnsi="Arial"/>
                <w:sz w:val="18"/>
                <w:szCs w:val="18"/>
                <w:color w:val="auto"/>
              </w:rPr>
              <w:t>12</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800" w:type="dxa"/>
            <w:vAlign w:val="bottom"/>
            <w:vMerge w:val="continue"/>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2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CHARGES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2016 and 2015, we implemented plans to restructure and further improve efficiencies in our operations due primarily to acquisitions. The remaining restructuring reserve as of March 31, 2017 is included in accrued liabilities on the condensed consolidated balance sheets and is expected to be paid in 2017. Restructuring charges related to these plans consisted primarily of employee severance and other one-time benefits paid in cash and are included in operating expense in the condensed consolidated statements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Activities related to the restructuring actions are summarized as follows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0" w:type="dxa"/>
            <w:vAlign w:val="bottom"/>
            <w:gridSpan w:val="3"/>
          </w:tcPr>
          <w:p>
            <w:pPr>
              <w:jc w:val="right"/>
              <w:ind w:right="634"/>
              <w:spacing w:after="0"/>
              <w:rPr>
                <w:sz w:val="20"/>
                <w:szCs w:val="20"/>
                <w:color w:val="auto"/>
              </w:rPr>
            </w:pPr>
            <w:r>
              <w:rPr>
                <w:rFonts w:ascii="Arial" w:cs="Arial" w:eastAsia="Arial" w:hAnsi="Arial"/>
                <w:sz w:val="16"/>
                <w:szCs w:val="16"/>
                <w:b w:val="1"/>
                <w:bCs w:val="1"/>
                <w:color w:val="auto"/>
                <w:w w:val="92"/>
              </w:rPr>
              <w:t>Three Months Ended</w:t>
            </w:r>
          </w:p>
        </w:tc>
        <w:tc>
          <w:tcPr>
            <w:tcW w:w="64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9"/>
        </w:trPr>
        <w:tc>
          <w:tcPr>
            <w:tcW w:w="7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640" w:type="dxa"/>
            <w:vAlign w:val="bottom"/>
          </w:tcPr>
          <w:p>
            <w:pPr>
              <w:spacing w:after="0"/>
              <w:rPr>
                <w:sz w:val="18"/>
                <w:szCs w:val="18"/>
                <w:color w:val="auto"/>
              </w:rPr>
            </w:pPr>
          </w:p>
        </w:tc>
      </w:tr>
      <w:tr>
        <w:trPr>
          <w:trHeight w:val="210"/>
        </w:trPr>
        <w:tc>
          <w:tcPr>
            <w:tcW w:w="7200" w:type="dxa"/>
            <w:vAlign w:val="bottom"/>
          </w:tcPr>
          <w:p>
            <w:pPr>
              <w:spacing w:after="0"/>
              <w:rPr>
                <w:sz w:val="18"/>
                <w:szCs w:val="18"/>
                <w:color w:val="auto"/>
              </w:rPr>
            </w:pPr>
          </w:p>
        </w:tc>
        <w:tc>
          <w:tcPr>
            <w:tcW w:w="1380" w:type="dxa"/>
            <w:vAlign w:val="bottom"/>
          </w:tcPr>
          <w:p>
            <w:pPr>
              <w:jc w:val="right"/>
              <w:ind w:right="94"/>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134"/>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18"/>
                <w:szCs w:val="18"/>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380" w:type="dxa"/>
            <w:vAlign w:val="bottom"/>
            <w:tcBorders>
              <w:bottom w:val="single" w:sz="8" w:color="CCEEFF"/>
            </w:tcBorders>
            <w:shd w:val="clear" w:color="auto" w:fill="CCEEFF"/>
          </w:tcPr>
          <w:p>
            <w:pPr>
              <w:jc w:val="right"/>
              <w:ind w:right="11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1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138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Non-cash items</w:t>
            </w:r>
          </w:p>
        </w:tc>
        <w:tc>
          <w:tcPr>
            <w:tcW w:w="13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7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38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21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r>
      <w:tr>
        <w:trPr>
          <w:trHeight w:val="20"/>
        </w:trPr>
        <w:tc>
          <w:tcPr>
            <w:tcW w:w="7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March 31, 2017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w:t>
            </w: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8,313</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Inventory purchase commitments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68,846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68,846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Other contractual commitments and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purchase orders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274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201,734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142,888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22,803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13,494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8,313</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61"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certain facilities under various non-cancelable operating leases, which expire through 2024. Certain leases require us</w:t>
      </w:r>
      <w:r>
        <w:rPr>
          <w:rFonts w:ascii="Arial" w:cs="Arial" w:eastAsia="Arial" w:hAnsi="Arial"/>
          <w:sz w:val="18"/>
          <w:szCs w:val="18"/>
          <w:b w:val="1"/>
          <w:bCs w:val="1"/>
          <w:color w:val="auto"/>
        </w:rPr>
        <w:t xml:space="preserve"> </w:t>
      </w:r>
      <w:r>
        <w:rPr>
          <w:rFonts w:ascii="Arial" w:cs="Arial" w:eastAsia="Arial" w:hAnsi="Arial"/>
          <w:sz w:val="18"/>
          <w:szCs w:val="18"/>
          <w:color w:val="auto"/>
        </w:rPr>
        <w:t>to pay variable costs such as taxes, maintenance, and insurance. The terms of certain operating leases also provide for renewal options and escalation clauses. Rent expense was $4.5 million and $4.6 million during the three months ended March 31, 2017 and March 31, 2016, respectively. Rent expense is recognized using the straight-line method over the term of the lease.</w:t>
      </w:r>
    </w:p>
    <w:p>
      <w:pPr>
        <w:spacing w:after="0" w:line="18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March 31, 2017, we had $68.8 million of open purchase orders with our independent contract manufacturers that may not be cancelable.</w:t>
      </w:r>
    </w:p>
    <w:p>
      <w:pPr>
        <w:spacing w:after="0" w:line="141"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b w:val="1"/>
          <w:bCs w:val="1"/>
          <w:color w:val="auto"/>
        </w:rPr>
        <w:t>Other Contractual Commitments and Open Purchase Orders</w:t>
      </w:r>
      <w:r>
        <w:rPr>
          <w:rFonts w:ascii="Arial" w:cs="Arial" w:eastAsia="Arial" w:hAnsi="Arial"/>
          <w:sz w:val="16"/>
          <w:szCs w:val="16"/>
          <w:color w:val="auto"/>
        </w:rPr>
        <w:t>—In addition to commitments with contract manufacturers, we have open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orders and contractual obligations in the ordinary course of business for which we have not received goods or services. As of March 31, 2017, we had $71.5 million in other contractual commitments that may not be cancelable. We also had other contractual commitments for the purchase of certain real estate properties adjacent to our corporate headquarters amounting to $12.8 million, which we capitalized as part of property and equipment.</w:t>
      </w:r>
    </w:p>
    <w:p>
      <w:pPr>
        <w:spacing w:after="0" w:line="151"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—We are involved in disputes, litigation, and other legal actions. For lawsuits where we are the defendant, we are in the process of</w:t>
      </w:r>
      <w:r>
        <w:rPr>
          <w:rFonts w:ascii="Arial" w:cs="Arial" w:eastAsia="Arial" w:hAnsi="Arial"/>
          <w:sz w:val="18"/>
          <w:szCs w:val="18"/>
          <w:b w:val="1"/>
          <w:bCs w:val="1"/>
          <w:color w:val="auto"/>
        </w:rPr>
        <w:t xml:space="preserve"> </w:t>
      </w:r>
      <w:r>
        <w:rPr>
          <w:rFonts w:ascii="Arial" w:cs="Arial" w:eastAsia="Arial" w:hAnsi="Arial"/>
          <w:sz w:val="18"/>
          <w:szCs w:val="18"/>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actions or other third-party claims against us may cause us to incur costly litigation fees, including contingent legal fees with related parties,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As required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issued by the FASB, we accrue for contingencies when we believe that a loss is probable and that we can reasonably estimate the amount of any such loss.</w:t>
      </w:r>
    </w:p>
    <w:p>
      <w:pPr>
        <w:spacing w:after="0" w:line="16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October 2016, we received a letter from the United States Attorney’s Office for the Northern District of California requesting information relating to our compliance with the Trade Agreements Act. This inquiry is ongoing and we are fully cooperating with this inquiry.</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and that could potentially expose us to losses in excess of the amount received under the agreement, and in some instances to potential liability that is not contractually limited. To date, there have been no material awards under such indemnification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We have stock-based compensation plans pursuant to which we have granted stock options and RSUs. We also have an ESPP for all eligible employees. As of March 31, 2017, there were a total of 50,087,833 shares of common stock available for grant under our stock-based compensation plans.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thousands, except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4"/>
          </w:tcPr>
          <w:p>
            <w:pPr>
              <w:jc w:val="right"/>
              <w:ind w:right="55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6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09"/>
        </w:trPr>
        <w:tc>
          <w:tcPr>
            <w:tcW w:w="7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Weighted-Average Grant</w:t>
            </w:r>
          </w:p>
        </w:tc>
      </w:tr>
      <w:tr>
        <w:trPr>
          <w:trHeight w:val="203"/>
        </w:trPr>
        <w:tc>
          <w:tcPr>
            <w:tcW w:w="7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ind w:right="133"/>
              <w:spacing w:after="0"/>
              <w:rPr>
                <w:sz w:val="20"/>
                <w:szCs w:val="20"/>
                <w:color w:val="auto"/>
              </w:rPr>
            </w:pPr>
            <w:r>
              <w:rPr>
                <w:rFonts w:ascii="Arial" w:cs="Arial" w:eastAsia="Arial" w:hAnsi="Arial"/>
                <w:sz w:val="16"/>
                <w:szCs w:val="16"/>
                <w:b w:val="1"/>
                <w:bCs w:val="1"/>
                <w:color w:val="auto"/>
                <w:w w:val="97"/>
              </w:rPr>
              <w:t>Date Fair Value per</w:t>
            </w:r>
          </w:p>
        </w:tc>
      </w:tr>
      <w:tr>
        <w:trPr>
          <w:trHeight w:val="210"/>
        </w:trPr>
        <w:tc>
          <w:tcPr>
            <w:tcW w:w="7660" w:type="dxa"/>
            <w:vAlign w:val="bottom"/>
          </w:tcPr>
          <w:p>
            <w:pPr>
              <w:spacing w:after="0"/>
              <w:rPr>
                <w:sz w:val="18"/>
                <w:szCs w:val="18"/>
                <w:color w:val="auto"/>
              </w:rPr>
            </w:pPr>
          </w:p>
        </w:tc>
        <w:tc>
          <w:tcPr>
            <w:tcW w:w="194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Shares</w:t>
            </w:r>
          </w:p>
        </w:tc>
        <w:tc>
          <w:tcPr>
            <w:tcW w:w="160" w:type="dxa"/>
            <w:vAlign w:val="bottom"/>
          </w:tcPr>
          <w:p>
            <w:pPr>
              <w:spacing w:after="0"/>
              <w:rPr>
                <w:sz w:val="18"/>
                <w:szCs w:val="18"/>
                <w:color w:val="auto"/>
              </w:rPr>
            </w:pPr>
          </w:p>
        </w:tc>
        <w:tc>
          <w:tcPr>
            <w:tcW w:w="1660" w:type="dxa"/>
            <w:vAlign w:val="bottom"/>
          </w:tcPr>
          <w:p>
            <w:pPr>
              <w:jc w:val="right"/>
              <w:ind w:right="633"/>
              <w:spacing w:after="0"/>
              <w:rPr>
                <w:sz w:val="20"/>
                <w:szCs w:val="20"/>
                <w:color w:val="auto"/>
              </w:rPr>
            </w:pPr>
            <w:r>
              <w:rPr>
                <w:rFonts w:ascii="Arial" w:cs="Arial" w:eastAsia="Arial" w:hAnsi="Arial"/>
                <w:sz w:val="16"/>
                <w:szCs w:val="16"/>
                <w:b w:val="1"/>
                <w:bCs w:val="1"/>
                <w:color w:val="auto"/>
              </w:rPr>
              <w:t>Share</w:t>
            </w:r>
          </w:p>
        </w:tc>
      </w:tr>
      <w:tr>
        <w:trPr>
          <w:trHeight w:val="33"/>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2016</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31.01</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37.21</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33.80</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Vested</w:t>
            </w:r>
          </w:p>
        </w:tc>
        <w:tc>
          <w:tcPr>
            <w:tcW w:w="1820" w:type="dxa"/>
            <w:vAlign w:val="bottom"/>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27.43</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Balance—March 31, 2017</w:t>
            </w:r>
          </w:p>
        </w:tc>
        <w:tc>
          <w:tcPr>
            <w:tcW w:w="1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33.04</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March 31, 2017, total compensation expense related to unvested RSUs that were granted to employees and non-employees under the 2009 Plan, but not yet recognized, was $310.3 million. This expense is expected to be amortized on a straight-line basis over a weighted-average vesting period of 2.9 years.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taxes. Total payment for the employees’ tax obligations to the taxing authorities is reflected as a financing activity within the condensed consolidated statements of cash flows.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69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40" w:type="dxa"/>
            <w:vAlign w:val="bottom"/>
          </w:tcPr>
          <w:p>
            <w:pPr>
              <w:jc w:val="right"/>
              <w:ind w:right="314"/>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13,693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9,441</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61"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37465</wp:posOffset>
            </wp:positionV>
            <wp:extent cx="2040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tcPr>
          <w:p>
            <w:pPr>
              <w:spacing w:after="0"/>
              <w:rPr>
                <w:sz w:val="17"/>
                <w:szCs w:val="17"/>
                <w:color w:val="auto"/>
              </w:rPr>
            </w:pPr>
          </w:p>
        </w:tc>
        <w:tc>
          <w:tcPr>
            <w:tcW w:w="1140" w:type="dxa"/>
            <w:vAlign w:val="bottom"/>
          </w:tcPr>
          <w:p>
            <w:pPr>
              <w:ind w:left="400"/>
              <w:spacing w:after="0"/>
              <w:rPr>
                <w:sz w:val="20"/>
                <w:szCs w:val="20"/>
                <w:color w:val="auto"/>
              </w:rPr>
            </w:pPr>
            <w:r>
              <w:rPr>
                <w:rFonts w:ascii="Arial" w:cs="Arial" w:eastAsia="Arial" w:hAnsi="Arial"/>
                <w:sz w:val="16"/>
                <w:szCs w:val="16"/>
                <w:b w:val="1"/>
                <w:bCs w:val="1"/>
                <w:color w:val="auto"/>
                <w:w w:val="97"/>
              </w:rPr>
              <w:t>March 31,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ind w:right="35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9340" w:type="dxa"/>
            <w:vAlign w:val="bottom"/>
            <w:gridSpan w:val="2"/>
          </w:tcPr>
          <w:p>
            <w:pPr>
              <w:ind w:left="8820"/>
              <w:spacing w:after="0"/>
              <w:rPr>
                <w:sz w:val="20"/>
                <w:szCs w:val="20"/>
                <w:color w:val="auto"/>
              </w:rPr>
            </w:pPr>
            <w:r>
              <w:rPr>
                <w:rFonts w:ascii="Arial" w:cs="Arial" w:eastAsia="Arial" w:hAnsi="Arial"/>
                <w:sz w:val="16"/>
                <w:szCs w:val="16"/>
                <w:b w:val="1"/>
                <w:bCs w:val="1"/>
                <w:color w:val="auto"/>
              </w:rPr>
              <w:t>2017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r>
      <w:tr>
        <w:trPr>
          <w:trHeight w:val="33"/>
        </w:trPr>
        <w:tc>
          <w:tcPr>
            <w:tcW w:w="8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9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w:t>
            </w:r>
          </w:p>
        </w:tc>
      </w:tr>
      <w:tr>
        <w:trPr>
          <w:trHeight w:val="243"/>
        </w:trPr>
        <w:tc>
          <w:tcPr>
            <w:tcW w:w="9340" w:type="dxa"/>
            <w:vAlign w:val="bottom"/>
            <w:gridSpan w:val="2"/>
          </w:tcPr>
          <w:p>
            <w:pPr>
              <w:ind w:left="40"/>
              <w:spacing w:after="0"/>
              <w:rPr>
                <w:sz w:val="20"/>
                <w:szCs w:val="20"/>
                <w:color w:val="auto"/>
              </w:rPr>
            </w:pPr>
            <w:r>
              <w:rPr>
                <w:rFonts w:ascii="Arial" w:cs="Arial" w:eastAsia="Arial" w:hAnsi="Arial"/>
                <w:sz w:val="18"/>
                <w:szCs w:val="18"/>
                <w:color w:val="auto"/>
              </w:rPr>
              <w:t>Volatility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36%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8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9340" w:type="dxa"/>
            <w:vAlign w:val="bottom"/>
            <w:gridSpan w:val="2"/>
          </w:tcPr>
          <w:p>
            <w:pPr>
              <w:ind w:left="40"/>
              <w:spacing w:after="0"/>
              <w:rPr>
                <w:sz w:val="20"/>
                <w:szCs w:val="20"/>
                <w:color w:val="auto"/>
              </w:rPr>
            </w:pPr>
            <w:r>
              <w:rPr>
                <w:rFonts w:ascii="Arial" w:cs="Arial" w:eastAsia="Arial" w:hAnsi="Arial"/>
                <w:sz w:val="18"/>
                <w:szCs w:val="18"/>
                <w:color w:val="auto"/>
              </w:rPr>
              <w:t>Dividend rate</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thousands, except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28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2016</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37.24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(855)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Balance—March 31, 2017</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5,784</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vest—March 31, 2017</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5,784</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26.27</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71,951</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exercisable—March 31, 2017</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3,820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23.91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56,071</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March 31, 2017, for all in-the-money stock options. As of March 31, 2017, total compensation expense related to unvested stock options granted to employees but not yet recognized was $19.5 million. This expense is expected to be amortized on a straight-line basis over a weighted-average period of 3.0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69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40" w:type="dxa"/>
            <w:vAlign w:val="bottom"/>
          </w:tcPr>
          <w:p>
            <w:pPr>
              <w:jc w:val="right"/>
              <w:ind w:right="314"/>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17,898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19,424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2,084</w:t>
            </w:r>
          </w:p>
        </w:tc>
      </w:tr>
      <w:tr>
        <w:trPr>
          <w:trHeight w:val="27"/>
        </w:trPr>
        <w:tc>
          <w:tcPr>
            <w:tcW w:w="8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determining the fair value of the ESPP, we use the Black-Scholes option pricing model that employs the following weighted-average assumptions: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Expected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Risk-free interest 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 rate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information related to the ESPP is provided below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fair value per share 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issued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price per share issued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Stock-based compensation expense is included in costs and expenses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product 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service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General and administrative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stock-based compensation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2040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60" w:type="dxa"/>
            <w:vAlign w:val="bottom"/>
            <w:gridSpan w:val="2"/>
          </w:tcPr>
          <w:p>
            <w:pPr>
              <w:ind w:left="400"/>
              <w:spacing w:after="0"/>
              <w:rPr>
                <w:sz w:val="20"/>
                <w:szCs w:val="20"/>
                <w:color w:val="auto"/>
              </w:rPr>
            </w:pPr>
            <w:r>
              <w:rPr>
                <w:rFonts w:ascii="Arial" w:cs="Arial" w:eastAsia="Arial" w:hAnsi="Arial"/>
                <w:sz w:val="16"/>
                <w:szCs w:val="16"/>
                <w:b w:val="1"/>
                <w:bCs w:val="1"/>
                <w:color w:val="auto"/>
              </w:rPr>
              <w:t>March 31,</w:t>
            </w:r>
          </w:p>
        </w:tc>
        <w:tc>
          <w:tcPr>
            <w:tcW w:w="1560" w:type="dxa"/>
            <w:vAlign w:val="bottom"/>
          </w:tcPr>
          <w:p>
            <w:pPr>
              <w:jc w:val="right"/>
              <w:ind w:right="35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15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5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r>
      <w:tr>
        <w:trPr>
          <w:trHeight w:val="33"/>
        </w:trPr>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560" w:type="dxa"/>
            <w:vAlign w:val="bottom"/>
          </w:tcPr>
          <w:p>
            <w:pPr>
              <w:jc w:val="right"/>
              <w:ind w:right="11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0.5</w:t>
            </w:r>
          </w:p>
        </w:tc>
      </w:tr>
      <w:tr>
        <w:trPr>
          <w:trHeight w:val="270"/>
        </w:trPr>
        <w:tc>
          <w:tcPr>
            <w:tcW w:w="15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5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0"/>
        </w:trPr>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37465</wp:posOffset>
            </wp:positionV>
            <wp:extent cx="1955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1280" w:type="dxa"/>
            <w:vAlign w:val="bottom"/>
          </w:tcPr>
          <w:p>
            <w:pPr>
              <w:jc w:val="right"/>
              <w:ind w:right="354"/>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240" w:type="dxa"/>
            <w:vAlign w:val="bottom"/>
          </w:tcPr>
          <w:p>
            <w:pPr>
              <w:spacing w:after="0"/>
              <w:rPr>
                <w:sz w:val="18"/>
                <w:szCs w:val="18"/>
                <w:color w:val="auto"/>
              </w:rPr>
            </w:pPr>
          </w:p>
        </w:tc>
        <w:tc>
          <w:tcPr>
            <w:tcW w:w="1280" w:type="dxa"/>
            <w:vAlign w:val="bottom"/>
          </w:tcPr>
          <w:p>
            <w:pPr>
              <w:jc w:val="right"/>
              <w:ind w:right="514"/>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8"/>
                <w:szCs w:val="18"/>
                <w:color w:val="auto"/>
              </w:rPr>
            </w:pPr>
          </w:p>
        </w:tc>
        <w:tc>
          <w:tcPr>
            <w:tcW w:w="12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r>
      <w:tr>
        <w:trPr>
          <w:trHeight w:val="33"/>
        </w:trPr>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9.28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7.19</w:t>
            </w:r>
          </w:p>
        </w:tc>
      </w:tr>
      <w:tr>
        <w:trPr>
          <w:trHeight w:val="270"/>
        </w:trPr>
        <w:tc>
          <w:tcPr>
            <w:tcW w:w="240" w:type="dxa"/>
            <w:vAlign w:val="bottom"/>
          </w:tcPr>
          <w:p>
            <w:pPr>
              <w:spacing w:after="0"/>
              <w:rPr>
                <w:sz w:val="23"/>
                <w:szCs w:val="23"/>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634</w:t>
            </w:r>
          </w:p>
        </w:tc>
        <w:tc>
          <w:tcPr>
            <w:tcW w:w="32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614</w:t>
            </w:r>
          </w:p>
        </w:tc>
      </w:tr>
      <w:tr>
        <w:trPr>
          <w:trHeight w:val="270"/>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27.97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20.49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37465</wp:posOffset>
            </wp:positionV>
            <wp:extent cx="1955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7"/>
                <w:szCs w:val="17"/>
                <w:color w:val="auto"/>
              </w:rPr>
            </w:pPr>
          </w:p>
        </w:tc>
        <w:tc>
          <w:tcPr>
            <w:tcW w:w="1240" w:type="dxa"/>
            <w:vAlign w:val="bottom"/>
          </w:tcPr>
          <w:p>
            <w:pPr>
              <w:jc w:val="right"/>
              <w:ind w:right="312"/>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240" w:type="dxa"/>
            <w:vAlign w:val="bottom"/>
          </w:tcPr>
          <w:p>
            <w:pPr>
              <w:spacing w:after="0"/>
              <w:rPr>
                <w:sz w:val="18"/>
                <w:szCs w:val="18"/>
                <w:color w:val="auto"/>
              </w:rPr>
            </w:pPr>
          </w:p>
        </w:tc>
        <w:tc>
          <w:tcPr>
            <w:tcW w:w="126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r>
      <w:tr>
        <w:trPr>
          <w:trHeight w:val="33"/>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280</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2,134</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7,898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7,143</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19,026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15,815</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3,530</w:t>
            </w:r>
          </w:p>
        </w:tc>
      </w:tr>
      <w:tr>
        <w:trPr>
          <w:trHeight w:val="27"/>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33,331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28,902</w:t>
            </w:r>
          </w:p>
        </w:tc>
      </w:tr>
      <w:tr>
        <w:trPr>
          <w:trHeight w:val="27"/>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20" w:space="80"/>
            <w:col w:w="32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40" w:type="dxa"/>
            <w:vAlign w:val="bottom"/>
          </w:tcPr>
          <w:p>
            <w:pPr>
              <w:jc w:val="right"/>
              <w:ind w:right="31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1,954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33,331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28,902</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condensed consolidated statements of operations is as follows (in thousands):</w:t>
      </w:r>
    </w:p>
    <w:p>
      <w:pPr>
        <w:spacing w:after="0" w:line="112"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34290</wp:posOffset>
            </wp:positionV>
            <wp:extent cx="1955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240" w:type="dxa"/>
            <w:vAlign w:val="bottom"/>
          </w:tcPr>
          <w:p>
            <w:pPr>
              <w:spacing w:after="0"/>
              <w:rPr>
                <w:sz w:val="17"/>
                <w:szCs w:val="17"/>
                <w:color w:val="auto"/>
              </w:rPr>
            </w:pPr>
          </w:p>
        </w:tc>
        <w:tc>
          <w:tcPr>
            <w:tcW w:w="1240" w:type="dxa"/>
            <w:vAlign w:val="bottom"/>
          </w:tcPr>
          <w:p>
            <w:pPr>
              <w:jc w:val="center"/>
              <w:ind w:right="196"/>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6"/>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6"/>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6,645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7,321</w:t>
            </w:r>
          </w:p>
        </w:tc>
      </w:tr>
      <w:tr>
        <w:trPr>
          <w:trHeight w:val="27"/>
        </w:trPr>
        <w:tc>
          <w:tcPr>
            <w:tcW w:w="8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January 2016, our board of directors approved the 2016 Share Repurchase Program (the “2016 Repurchase Program”), which authorizes the repurchase of up to $200.0 million of our outstanding common stock through December 31, 2017. In October 2016, our board of directors authorized the purchase of an additional $100.0 million of shares of our common stock under the 2016 Repurchase Program, increasing our current authorization to $300.0 million through December 31, 2017. Under the 2016 Repurchase Program, share repurchases may be made by us from time to time in privately negotiated transactions or in open market transactions. The 2016 Repurchase Program does not require us to purchase a minimum number of shares, and may be suspended, modified or discontinued at any time without prior notice. There were no shares repurchased under the 2016 Repurchase Program during the three months ended March 31, 2017. As of March 31, 2017, $189.2 million remained available for future share repurchases under the 2016 Repurchase Program.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Our effective tax rate was a benefit of (32)% for the three months ended March 31, 2017, compared to an effective tax rate of 165% for the same period last year. The effective tax rates for the periods presented are comprised of U.S. federal and state taxes, withholding taxes and foreign income taxes. The tax rate for the three months ended March 31, 2017 was impacted by the excess tax benefits of $5.5 million on stock options, which was a significant benefit on our income before income taxes. The tax rate for the three months ended March 31, 2016 was also impacted by significant excess tax benefits of $3.6 million on stock options on our loss before income taxes.</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March 31, 2017 and December 31, 2016, unrecognized tax benefits were $69.4 million and $65.5 million, respectively. The total amount of $67.7 million in unrecognized tax benefits, if recognized, would favorably affect our effective tax rate.</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uncertain tax benefits in the provision for income taxes. As of March 31, 2017 and December 31, 2016, accrued interest and penalties were $10.5 million and $9.5 million, respectively.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2017, there was no unrecognized tax benefits that we expect would change significantly over the next 12 months.</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We file income tax returns in the U.S. federal jurisdiction and in various U.S. state and foreign jurisdictions. Generally, we are no longer subject to U.S. state and non-U.S. income tax examinations by tax authorities for tax years prior to 2009. We are no longer subject to examination by U.S federal income tax authorities for tax years prior to 2012. We are currently under examination by U.S federal income tax authorities for tax years 2012, 2013 and 2014. We have filed a waiver extending the statute of limitations to September 15, 2018 for U.S. federal income tax returns for tax years 2012 and 2013. In addition, the tax authorities in France are examining the inter-company relationship between Fortinet, Inc., Fortinet France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Fortinet Singapore. Subsequent to the three months ended March 31, 2017, we received a notice from the French tax authorities that an audit was officially opened for tax years from 2007 to 2015. Our Japan tax audit for tax years 2013, 2014 and 2015 was closed with no material adjustment.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DEFINED CONTRIBUTION PLANS</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tax-deferred savings plan under our 401(k) Plan, permits participating employees to defer a portion of their pre-tax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our 401(k) Plan and the RRSP for the three months ended March 31, 2017 and March 31, 2016 were $1.3 million and $1.0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SIGNIFICANT CUSTOMER INFORMATION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4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and property and equipment— net by geographic region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jc w:val="right"/>
              <w:ind w:right="81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400" w:type="dxa"/>
            <w:vAlign w:val="bottom"/>
            <w:gridSpan w:val="4"/>
          </w:tcPr>
          <w:p>
            <w:pPr>
              <w:ind w:left="40"/>
              <w:spacing w:after="0"/>
              <w:rPr>
                <w:sz w:val="20"/>
                <w:szCs w:val="20"/>
                <w:color w:val="auto"/>
              </w:rPr>
            </w:pPr>
            <w:r>
              <w:rPr>
                <w:rFonts w:ascii="Arial" w:cs="Arial" w:eastAsia="Arial" w:hAnsi="Arial"/>
                <w:sz w:val="16"/>
                <w:szCs w:val="16"/>
                <w:b w:val="1"/>
                <w:bCs w:val="1"/>
                <w:color w:val="auto"/>
              </w:rPr>
              <w:t>Revenue</w:t>
            </w:r>
          </w:p>
        </w:tc>
        <w:tc>
          <w:tcPr>
            <w:tcW w:w="3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 2017</w:t>
            </w:r>
          </w:p>
        </w:tc>
        <w:tc>
          <w:tcPr>
            <w:tcW w:w="200" w:type="dxa"/>
            <w:vAlign w:val="bottom"/>
          </w:tcPr>
          <w:p>
            <w:pPr>
              <w:spacing w:after="0"/>
              <w:rPr>
                <w:sz w:val="17"/>
                <w:szCs w:val="17"/>
                <w:color w:val="auto"/>
              </w:rPr>
            </w:pPr>
          </w:p>
        </w:tc>
        <w:tc>
          <w:tcPr>
            <w:tcW w:w="1400" w:type="dxa"/>
            <w:vAlign w:val="bottom"/>
          </w:tcPr>
          <w:p>
            <w:pPr>
              <w:jc w:val="center"/>
              <w:ind w:right="111"/>
              <w:spacing w:after="0"/>
              <w:rPr>
                <w:sz w:val="20"/>
                <w:szCs w:val="20"/>
                <w:color w:val="auto"/>
              </w:rPr>
            </w:pPr>
            <w:r>
              <w:rPr>
                <w:rFonts w:ascii="Arial" w:cs="Arial" w:eastAsia="Arial" w:hAnsi="Arial"/>
                <w:sz w:val="16"/>
                <w:szCs w:val="16"/>
                <w:b w:val="1"/>
                <w:bCs w:val="1"/>
                <w:color w:val="auto"/>
                <w:w w:val="94"/>
              </w:rPr>
              <w:t>March 31, 2016</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37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U.S.</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90,772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75,558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3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Latin America (“LATAM”)</w:t>
            </w: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18,247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13,183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3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120,046</w:t>
            </w:r>
          </w:p>
        </w:tc>
        <w:tc>
          <w:tcPr>
            <w:tcW w:w="0" w:type="dxa"/>
            <w:vAlign w:val="bottom"/>
          </w:tcPr>
          <w:p>
            <w:pPr>
              <w:spacing w:after="0"/>
              <w:rPr>
                <w:sz w:val="1"/>
                <w:szCs w:val="1"/>
                <w:color w:val="auto"/>
              </w:rPr>
            </w:pP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Europe, Middle East and Africa (“EMEA”)</w:t>
            </w: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126,149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105,491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Asia Pacific (“APAC”)</w:t>
            </w:r>
          </w:p>
        </w:tc>
        <w:tc>
          <w:tcPr>
            <w:tcW w:w="37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59,039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360" w:type="dxa"/>
            <w:vAlign w:val="bottom"/>
            <w:gridSpan w:val="3"/>
          </w:tcPr>
          <w:p>
            <w:pPr>
              <w:ind w:left="460"/>
              <w:spacing w:after="0"/>
              <w:rPr>
                <w:sz w:val="20"/>
                <w:szCs w:val="20"/>
                <w:color w:val="auto"/>
              </w:rPr>
            </w:pPr>
            <w:r>
              <w:rPr>
                <w:rFonts w:ascii="Arial" w:cs="Arial" w:eastAsia="Arial" w:hAnsi="Arial"/>
                <w:sz w:val="18"/>
                <w:szCs w:val="18"/>
                <w:color w:val="auto"/>
              </w:rPr>
              <w:t>Total revenue</w:t>
            </w:r>
          </w:p>
        </w:tc>
        <w:tc>
          <w:tcPr>
            <w:tcW w:w="37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340,576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284,576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4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March 31,</w:t>
            </w:r>
          </w:p>
        </w:tc>
        <w:tc>
          <w:tcPr>
            <w:tcW w:w="200" w:type="dxa"/>
            <w:vAlign w:val="bottom"/>
          </w:tcPr>
          <w:p>
            <w:pPr>
              <w:spacing w:after="0"/>
              <w:rPr>
                <w:sz w:val="24"/>
                <w:szCs w:val="24"/>
                <w:color w:val="auto"/>
              </w:rPr>
            </w:pPr>
          </w:p>
        </w:tc>
        <w:tc>
          <w:tcPr>
            <w:tcW w:w="1400" w:type="dxa"/>
            <w:vAlign w:val="bottom"/>
          </w:tcPr>
          <w:p>
            <w:pPr>
              <w:jc w:val="center"/>
              <w:ind w:right="13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76"/>
        </w:trPr>
        <w:tc>
          <w:tcPr>
            <w:tcW w:w="4400" w:type="dxa"/>
            <w:vAlign w:val="bottom"/>
            <w:gridSpan w:val="4"/>
            <w:vMerge w:val="continue"/>
          </w:tcPr>
          <w:p>
            <w:pPr>
              <w:spacing w:after="0"/>
              <w:rPr>
                <w:sz w:val="15"/>
                <w:szCs w:val="15"/>
                <w:color w:val="auto"/>
              </w:rPr>
            </w:pPr>
          </w:p>
        </w:tc>
        <w:tc>
          <w:tcPr>
            <w:tcW w:w="3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92"/>
              <w:spacing w:after="0" w:line="176" w:lineRule="exact"/>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center"/>
              <w:ind w:right="111"/>
              <w:spacing w:after="0" w:line="176" w:lineRule="exact"/>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1540" w:type="dxa"/>
            <w:vAlign w:val="bottom"/>
            <w:tcBorders>
              <w:top w:val="single" w:sz="8" w:color="auto"/>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37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U.S.</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111,464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96,414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3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LATAM</w:t>
            </w: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3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109,902</w:t>
            </w:r>
          </w:p>
        </w:tc>
        <w:tc>
          <w:tcPr>
            <w:tcW w:w="0" w:type="dxa"/>
            <w:vAlign w:val="bottom"/>
          </w:tcPr>
          <w:p>
            <w:pPr>
              <w:spacing w:after="0"/>
              <w:rPr>
                <w:sz w:val="1"/>
                <w:szCs w:val="1"/>
                <w:color w:val="auto"/>
              </w:rPr>
            </w:pP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EMEA:</w:t>
            </w: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France</w:t>
            </w:r>
          </w:p>
        </w:tc>
        <w:tc>
          <w:tcPr>
            <w:tcW w:w="3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Other EMEA</w:t>
            </w: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6,391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EMEA</w:t>
            </w:r>
          </w:p>
        </w:tc>
        <w:tc>
          <w:tcPr>
            <w:tcW w:w="3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19,632</w:t>
            </w:r>
          </w:p>
        </w:tc>
        <w:tc>
          <w:tcPr>
            <w:tcW w:w="0" w:type="dxa"/>
            <w:vAlign w:val="bottom"/>
          </w:tcPr>
          <w:p>
            <w:pPr>
              <w:spacing w:after="0"/>
              <w:rPr>
                <w:sz w:val="1"/>
                <w:szCs w:val="1"/>
                <w:color w:val="auto"/>
              </w:rPr>
            </w:pP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APAC</w:t>
            </w: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8,177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3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Total property and equipment—net</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155,476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137,249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our revenue: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3380" w:type="dxa"/>
            <w:vAlign w:val="bottom"/>
            <w:gridSpan w:val="4"/>
          </w:tcPr>
          <w:p>
            <w:pPr>
              <w:ind w:left="120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r>
      <w:tr>
        <w:trPr>
          <w:trHeight w:val="33"/>
        </w:trPr>
        <w:tc>
          <w:tcPr>
            <w:tcW w:w="75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9"/>
        </w:trPr>
        <w:tc>
          <w:tcPr>
            <w:tcW w:w="7560" w:type="dxa"/>
            <w:vAlign w:val="bottom"/>
          </w:tcPr>
          <w:p>
            <w:pPr>
              <w:spacing w:after="0"/>
              <w:rPr>
                <w:sz w:val="18"/>
                <w:szCs w:val="18"/>
                <w:color w:val="auto"/>
              </w:rPr>
            </w:pPr>
          </w:p>
        </w:tc>
        <w:tc>
          <w:tcPr>
            <w:tcW w:w="1380" w:type="dxa"/>
            <w:vAlign w:val="bottom"/>
          </w:tcPr>
          <w:p>
            <w:pPr>
              <w:jc w:val="center"/>
              <w:ind w:left="359"/>
              <w:spacing w:after="0"/>
              <w:rPr>
                <w:sz w:val="20"/>
                <w:szCs w:val="20"/>
                <w:color w:val="auto"/>
              </w:rPr>
            </w:pPr>
            <w:r>
              <w:rPr>
                <w:rFonts w:ascii="Arial" w:cs="Arial" w:eastAsia="Arial" w:hAnsi="Arial"/>
                <w:sz w:val="16"/>
                <w:szCs w:val="16"/>
                <w:b w:val="1"/>
                <w:bCs w:val="1"/>
                <w:color w:val="auto"/>
                <w:w w:val="94"/>
              </w:rPr>
              <w:t>March 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left="359"/>
              <w:spacing w:after="0"/>
              <w:rPr>
                <w:sz w:val="20"/>
                <w:szCs w:val="20"/>
                <w:color w:val="auto"/>
              </w:rPr>
            </w:pPr>
            <w:r>
              <w:rPr>
                <w:rFonts w:ascii="Arial" w:cs="Arial" w:eastAsia="Arial" w:hAnsi="Arial"/>
                <w:sz w:val="16"/>
                <w:szCs w:val="16"/>
                <w:b w:val="1"/>
                <w:bCs w:val="1"/>
                <w:color w:val="auto"/>
                <w:w w:val="97"/>
              </w:rPr>
              <w:t>March 31,</w:t>
            </w:r>
          </w:p>
        </w:tc>
        <w:tc>
          <w:tcPr>
            <w:tcW w:w="480" w:type="dxa"/>
            <w:vAlign w:val="bottom"/>
          </w:tcPr>
          <w:p>
            <w:pPr>
              <w:spacing w:after="0"/>
              <w:rPr>
                <w:sz w:val="18"/>
                <w:szCs w:val="18"/>
                <w:color w:val="auto"/>
              </w:rPr>
            </w:pPr>
          </w:p>
        </w:tc>
      </w:tr>
      <w:tr>
        <w:trPr>
          <w:trHeight w:val="210"/>
        </w:trPr>
        <w:tc>
          <w:tcPr>
            <w:tcW w:w="894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200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18"/>
                <w:szCs w:val="18"/>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940" w:type="dxa"/>
            <w:vAlign w:val="bottom"/>
            <w:gridSpan w:val="2"/>
          </w:tcPr>
          <w:p>
            <w:pPr>
              <w:ind w:left="40"/>
              <w:spacing w:after="0"/>
              <w:rPr>
                <w:sz w:val="20"/>
                <w:szCs w:val="20"/>
                <w:color w:val="auto"/>
              </w:rPr>
            </w:pPr>
            <w:r>
              <w:rPr>
                <w:rFonts w:ascii="Arial" w:cs="Arial" w:eastAsia="Arial" w:hAnsi="Arial"/>
                <w:sz w:val="18"/>
                <w:szCs w:val="18"/>
                <w:color w:val="auto"/>
              </w:rPr>
              <w:t>Fine Tec Computers</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r>
    </w:tbl>
    <w:p>
      <w:pPr>
        <w:spacing w:after="0" w:line="24"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8"/>
          <w:szCs w:val="18"/>
          <w:color w:val="auto"/>
        </w:rPr>
      </w:pPr>
      <w:r>
        <w:rPr>
          <w:rFonts w:ascii="Arial" w:cs="Arial" w:eastAsia="Arial" w:hAnsi="Arial"/>
          <w:sz w:val="14"/>
          <w:szCs w:val="14"/>
          <w:color w:val="auto"/>
        </w:rPr>
        <w:t>Represents less than 10%</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net accounts receivable: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400" w:type="dxa"/>
            <w:vAlign w:val="bottom"/>
          </w:tcPr>
          <w:p>
            <w:pPr>
              <w:jc w:val="center"/>
              <w:ind w:left="359"/>
              <w:spacing w:after="0"/>
              <w:rPr>
                <w:sz w:val="20"/>
                <w:szCs w:val="20"/>
                <w:color w:val="auto"/>
              </w:rPr>
            </w:pPr>
            <w:r>
              <w:rPr>
                <w:rFonts w:ascii="Arial" w:cs="Arial" w:eastAsia="Arial" w:hAnsi="Arial"/>
                <w:sz w:val="16"/>
                <w:szCs w:val="16"/>
                <w:b w:val="1"/>
                <w:bCs w:val="1"/>
                <w:color w:val="auto"/>
                <w:w w:val="97"/>
              </w:rPr>
              <w:t>March 31,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right"/>
              <w:ind w:right="41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9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694"/>
              <w:spacing w:after="0"/>
              <w:rPr>
                <w:sz w:val="20"/>
                <w:szCs w:val="20"/>
                <w:color w:val="auto"/>
              </w:rPr>
            </w:pPr>
            <w:r>
              <w:rPr>
                <w:rFonts w:ascii="Arial" w:cs="Arial" w:eastAsia="Arial" w:hAnsi="Arial"/>
                <w:sz w:val="16"/>
                <w:szCs w:val="16"/>
                <w:b w:val="1"/>
                <w:bCs w:val="1"/>
                <w:color w:val="auto"/>
              </w:rPr>
              <w:t>2016</w:t>
            </w:r>
          </w:p>
        </w:tc>
      </w:tr>
      <w:tr>
        <w:trPr>
          <w:trHeight w:val="33"/>
        </w:trPr>
        <w:tc>
          <w:tcPr>
            <w:tcW w:w="75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8940" w:type="dxa"/>
            <w:vAlign w:val="bottom"/>
            <w:gridSpan w:val="2"/>
          </w:tcPr>
          <w:p>
            <w:pPr>
              <w:ind w:left="40"/>
              <w:spacing w:after="0"/>
              <w:rPr>
                <w:sz w:val="20"/>
                <w:szCs w:val="20"/>
                <w:color w:val="auto"/>
              </w:rPr>
            </w:pPr>
            <w:r>
              <w:rPr>
                <w:rFonts w:ascii="Arial" w:cs="Arial" w:eastAsia="Arial" w:hAnsi="Arial"/>
                <w:sz w:val="18"/>
                <w:szCs w:val="18"/>
                <w:color w:val="auto"/>
              </w:rPr>
              <w:t>Fine Tec Computers</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balances of other comprehensive loss (in thousands):</w:t>
      </w:r>
    </w:p>
    <w:p>
      <w:pPr>
        <w:spacing w:after="0" w:line="383"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Tax provision related</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to items of other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Unrealized losses on</w:t>
            </w:r>
          </w:p>
        </w:tc>
        <w:tc>
          <w:tcPr>
            <w:tcW w:w="18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comprehensive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investments</w:t>
            </w:r>
          </w:p>
        </w:tc>
        <w:tc>
          <w:tcPr>
            <w:tcW w:w="18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income or loss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275</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w:t>
            </w: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Amounts reclassified from accumulated other comprehensive loss for unrealized losses on investments and tax provision related to items of other comprehensive income or loss are recorded in Other income (expense)—net and in Benefit from income taxes,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son of one member of our board of directors is a partner of an outside law firm that we utilize for certain complex litigation matters. Expenses for legal services provided by the law firm were $0.1 million and $0.3 million during the three months ended March 31, 2017 and March 31, 2016, respectively. Of such amounts, $0.2 million was incurred under contingent fee arrangements in the three months ended March 31, 2016. There were no expenses incurred under contingent fee arrangements during the three months ended March 31, 2017. Amounts due and payable to the law firm were $0.1 million as of March 31, 2017 and December 31,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April 2017, we purchased real estate property in Vancouver, Canada totaling approximately 282,000 square feet for a total cash payment of approximately $85.0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125" w:right="4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and Section 21E of the Securities and Exchange Act of 1934 (the “Exchange Act”). These statements include, among other things, statements concerning our expectations regarding:</w:t>
      </w:r>
    </w:p>
    <w:p>
      <w:pPr>
        <w:spacing w:after="0" w:line="18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macro-economic and geopolitical factors on our international sales;</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right="7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increased sales productivity, increased functionality and value in our standalone and bundled security subscription and support service offerings;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growing our sales to enterprise, service provider and government organizations, the impact of sales to these organizations on our long-term growth, expansion and operating results, and the effectiveness of our internal sales organization;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 as a percentage of revenue;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managing our continued investments in sales and marketing, and the impact of those investments;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the impact on free cash flows;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integration of acquired companies and technologies and expectations related to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success and expansion of our enterprise resource planning system;</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intentions regarding repatriation of cash, cash equivalents and investments held by our international subsidiaries and the sufficiency of our existing cash, cash equivalents and investments to meet our cash needs for at least the next 12 months;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adoption of new accounting standards, including those related to revenue recognition and accounting for leases.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Securities and Exchange Commission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We provide high performance cybersecurity solutions to a wide variety of enterprises, service providers and government organizations of all sizes across the globe, including a majority of the 2016 Fortune 100. Our cybersecurity solutions are designed to provide broad, rapid protection against dynamic and sophisticated security threats, while simplifying the information technology (</w:t>
      </w:r>
      <w:r>
        <w:rPr>
          <w:rFonts w:ascii="Arial" w:cs="Arial" w:eastAsia="Arial" w:hAnsi="Arial"/>
          <w:sz w:val="16"/>
          <w:szCs w:val="16"/>
          <w:i w:val="1"/>
          <w:iCs w:val="1"/>
          <w:color w:val="auto"/>
        </w:rPr>
        <w:t>“</w:t>
      </w:r>
      <w:r>
        <w:rPr>
          <w:rFonts w:ascii="Arial" w:cs="Arial" w:eastAsia="Arial" w:hAnsi="Arial"/>
          <w:sz w:val="16"/>
          <w:szCs w:val="16"/>
          <w:color w:val="auto"/>
        </w:rPr>
        <w:t>IT”) and security infrastructure of our end-customers.</w:t>
      </w:r>
    </w:p>
    <w:p>
      <w:pPr>
        <w:spacing w:after="0" w:line="14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three key areas driving our business are the changing cyber threat landscape, expanding need for regulatory compliance and evolving network security infrastructure. The cyber threat landscape continues to change at a rapid pace, with network attacks continually morphing into vehicles for malware, such as ransomware, and the challenge of having to comply with a variety of constantly changing regulatory requirements. Our end-customers’ infrastructures are rapidly evolving to leverage new technologies such as on-demand cloud and internet on demand, and changing web traffic patterns require end-customers to increase the bandwidth available across their network. These three drivers mean end-customers are constantly evaluating upgrades or deployments of new cybersecurity solutions.</w:t>
      </w:r>
    </w:p>
    <w:p>
      <w:pPr>
        <w:spacing w:after="0" w:line="19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Fortinet Security Fabric has been developed to provide unified security across the entire network, including network core, endpoints, applications, data centers, access and private and public cloud, and is designed to enable traditionally disparate security devices to work together as an integrated and collaborative whole. It delivers integrated scalability, access control, awareness, security, traffic segmentation, centralized management and orchestration. It is built around an open framework to ensure interoperability and synchronization of intelligence and response, and does so across the distributed network security infrastructure, including both from the cloud and for the cloud. At the core of the Fortinet Security Fabric are our FortiGate physical products and software licenses, which ship with a broad set of security services, including firewall, virtual private network, anti-malware, anti-spam, application control, intrusion prevention, access control, web filtering, traffic and device segmentation and advanced threat protection (“ATP”). Through these security services, our FortiGuard Labs team provides updates using threat research and a global cloud network of data collection and intelligence resources to deliver subscription-based security services to FortiGate appliances and software products. We continually certify the security effectiveness of our security updates through independent test organizations, such as NSS Labs. Our FortiOS operating system provides the foundation for all FortiGate security functions. The latest enhancements to the FortiOS 5.6 offers end-customers the ability to manage security capabilities across their cloud assets’ and software-defined wireless area networks.</w:t>
      </w:r>
    </w:p>
    <w:p>
      <w:pPr>
        <w:spacing w:after="0" w:line="18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Enterprise customers select the form and deployment method that best meet their specific security requirements, such as a high-speed data center firewall at the network core, a next generation firewall at the edge, an internal segmentation firewall between network zones, a distributed enterprise firewall at branch sites or software- and hardware-based solutions designed for virtualized and cloud environments. Many smaller businesses also tend to deploy unified threat management devices. We derive a substantial majority of product sales from our FortiGate appliances, which range from the FortiGate-20 to -100 series, designed for small businesses, FortiGate-200 to -900 series for medium-sized businesses, to the FortiGate-1000 to -7000 series for large enterprises and service providers. Our network security platform also includes our FortiGuard security subscription services, which end-customers can subscribe to in order to obtain access to dynamic updates to application control, anti-virus, intrusion prevention, web filtering and anti-spam functionality. End-customers may also purchase FortiManager and FortiAnalyzer products in conjunction with a FortiGate deployment to provide enterprise-class centralized management, analysis and reporting capabilities. FortiSIEM provides organizations with a solution for analyzing and managing network security, performance and compliance standards across our and other vendors’ products. Finally, end-customers may purchase FortiCare technical support services for our products and FortiCare professional services to assist in the design, implementation and maintenance of their networks.</w:t>
      </w:r>
    </w:p>
    <w:p>
      <w:pPr>
        <w:spacing w:after="0" w:line="17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We complement our core FortiGate product line with other products and software that offer additional protection from security threats to other critical areas of the enterprise. These products include our FortiMail email security, FortiSandbox ATP, FortiWeb web application firewall and FortiDDoS security appliances, as well as our FortiClient endpoint security software, FortiSIEM software, FortiAP secure wireless access points and FortiSwitch secure switch connectivity products. Our technology also positions us to deliver security to the cloud and for the cloud. Sales of our cloud-related products and services across public, private and hybrid cloud environments continue to grow faster on a percentage basis than other parts of our business.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200" w:hanging="328"/>
        <w:spacing w:after="0" w:line="31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recorded total revenue of $340.6 million in the three months ended March 31, 2017, an increase of 20% compared to the same period last year. Product revenue was $135.3 million in the three months ended March 31, 2017, an increase of 9% compared to the same period last year. Service revenue was $205.3 million in the three months ended March 31, 2017, an increase of 28% compared to the same period last year.</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cash equivalents and investments were $1.44 billion as of March 31, 2017, an increase of $130.5 million, or 10%, from December 31, 2016.</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revenue was $1.10 billion as of March 31, 2017, an increase of $62.7 million, or 6%, from December 31, 2016</w:t>
      </w:r>
      <w:r>
        <w:rPr>
          <w:rFonts w:ascii="Arial" w:cs="Arial" w:eastAsia="Arial" w:hAnsi="Arial"/>
          <w:sz w:val="18"/>
          <w:szCs w:val="18"/>
          <w:color w:val="0000FF"/>
        </w:rPr>
        <w: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$129.7 million in the three months ended March 31, 2017, an increase of $29.2 million, or 29%, compared to the same period last year.</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During the three months ended March 31, 2017, our revenue growth was driven by the strength in sales of our products, including FortiGate products, our renewals of service contracts and the sale of our enterprise bundles. Our high-end products accounted for 36% of billings, which reflected strong sales to large enterprises and an increase in large deals. Our mid-range products accounted for 31% of billings, and our entry-level products accounted for 33% of billings. In addition, we continue to see a shift to higher services growth, which reflects our ongoing success in driving higher-priced subscription bundles and metered model business. On a geographic basis, revenue continues to be diversified globally, which remains a key strength of our business.</w:t>
      </w:r>
    </w:p>
    <w:p>
      <w:pPr>
        <w:spacing w:after="0" w:line="15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three months ended March 31, 2017, operating expenses increased by $34.0 million, or 16%, as compared to the same period last year. The increase was primarily driven by our investments made to expand our sales coverage, grow our marketing capabilities, develop new products and scale our customer support. We also continued to invest in research and development to strengthen our technology. We believe that continued product innovation has strengthened our technology and resulted in market share gains. Headcount increased by 1% to 4,711 employees and contractors as of March 31, 2017, up from 4,665 as of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Our sales strategy is based on a distribution model whereby we primarily sell our products, software licenses and services directly to distributors which sell to resellers and service providers, which, in turn, sell to our end-customers. In certain cases, we sell directly to large service providers and major systems integrators. We also offer our products through Amazon Web Services and Microsoft Azure. While the revenue from such sales are still relatively insignificant, they have increased significantly in recent periods on a percentage basis and are aligned with the networking trends of our customers and the industry as a whole.</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Typically, FortiGuard security subscription services and FortiCare technical support services are purchased along with our physical products and software licenses, most frequently as part of a bundle offering that includes hardware and services functionality. We generally invoice at the time of our sale for the total price of the products and security and technical support services, and the invoice is payable within 30 to 90 days. We also invoice certain software licenses and services on a monthly basis.</w:t>
      </w:r>
    </w:p>
    <w:p>
      <w:pPr>
        <w:spacing w:after="0" w:line="187"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We generally recognize product revenue up front, and recognize revenue for the sale of new and the renewal of existing FortiGuard security subscription services and FortiCare technical support services contracts ratably. We recognize revenue for certain software licenses up front as product revenue and, to a lesser extent, recognize other software licenses over the term of the agreement as services revenue. We recognize the security and support revenue over the service period, which is typically one to three years, but can be as long as five years. Sales of new and renewal services are a source of recurring revenue and increase our deferred revenue balance, which has contributed to our positive cash flow from operations.</w:t>
      </w:r>
    </w:p>
    <w:p>
      <w:pPr>
        <w:spacing w:after="0" w:line="15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approach to network security is defined by our Security Processing Unit (“SPU”) hardware architecture. The SPU includes three lines of proprietary Applications-Specific Integrated Circuits (“ASICs”), content processor, network processor and the system on a chip. The ASICs are designed for highly efficient execution of computationally intensive tasks such as policy enforcement, threat detection and encryption. As such ASIC based solutions can run many security applications simultaneously without a significant reduction in performance.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cash, cash equivalents and investments, net cash provided by operating activities, and free cash flow (non-GAAP). We discuss revenue below under “Results of Operations,” and we discuss our cash, cash equivalents and investments, and net cash provided by operating activities below under “—Liquidity and Capital Resources.” Deferred revenue, billings (non-GAAP) and free cash flow (non-GAAP) are discussed immediately below the following table.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3"/>
          </w:tcPr>
          <w:p>
            <w:pPr>
              <w:jc w:val="right"/>
              <w:ind w:right="351"/>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53"/>
              <w:spacing w:after="0"/>
              <w:rPr>
                <w:sz w:val="20"/>
                <w:szCs w:val="20"/>
                <w:color w:val="auto"/>
              </w:rPr>
            </w:pPr>
            <w:r>
              <w:rPr>
                <w:rFonts w:ascii="Arial" w:cs="Arial" w:eastAsia="Arial" w:hAnsi="Arial"/>
                <w:sz w:val="16"/>
                <w:szCs w:val="16"/>
                <w:b w:val="1"/>
                <w:bCs w:val="1"/>
                <w:color w:val="auto"/>
                <w:w w:val="96"/>
              </w:rPr>
              <w:t>March 31, 2017</w:t>
            </w:r>
          </w:p>
        </w:tc>
        <w:tc>
          <w:tcPr>
            <w:tcW w:w="24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6"/>
                <w:szCs w:val="16"/>
                <w:b w:val="1"/>
                <w:bCs w:val="1"/>
                <w:color w:val="auto"/>
                <w:w w:val="96"/>
              </w:rPr>
              <w:t>March 31, 2016</w:t>
            </w: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3"/>
          </w:tcPr>
          <w:p>
            <w:pPr>
              <w:jc w:val="right"/>
              <w:ind w:right="951"/>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340,576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284,576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1,098,051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837,188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403,278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330,461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1,441,005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1,194,487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129,749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116,223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70,635</w:t>
            </w:r>
          </w:p>
        </w:tc>
      </w:tr>
    </w:tbl>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Our deferred revenue consists of amounts that have been invoiced but that have not yet been recognized as revenue.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our deferred revenue balance consists of the unrecognized portion of service revenue from FortiGuard security subscription and FortiCare technical support service contracts, which is recognized as revenue ratably over the contractual service period. We monitor our deferred revenue balance, growth and the mix of short-term and long-term deferred revenue because it represents a significant portion of revenue to be recognized in future periods. Deferred revenue was $1.10 billion as of March 31, 2017, an increase of $62.7 million, or 6%, from December 31, 2016</w:t>
      </w:r>
      <w:r>
        <w:rPr>
          <w:rFonts w:ascii="Arial" w:cs="Arial" w:eastAsia="Arial" w:hAnsi="Arial"/>
          <w:sz w:val="17"/>
          <w:szCs w:val="17"/>
          <w:color w:val="0000FF"/>
        </w:rPr>
        <w:t>.</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Billings (non-GAAP). </w:t>
      </w:r>
      <w:r>
        <w:rPr>
          <w:rFonts w:ascii="Arial" w:cs="Arial" w:eastAsia="Arial" w:hAnsi="Arial"/>
          <w:sz w:val="18"/>
          <w:szCs w:val="18"/>
          <w:color w:val="auto"/>
        </w:rPr>
        <w:t>We define billings as revenue recognized in accordance with GAAP plus the change in deferred revenue from the beginning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the period less any deferred revenue balances acquired from business combination(s) during the period. We consider billings to be a useful metric for management and investors because billings drive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w:t>
      </w:r>
    </w:p>
    <w:p>
      <w:pPr>
        <w:spacing w:after="0" w:line="19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reconciliation of billings to revenue, the most directly comparable financial measure calculated and presented in accordance with GAAP, is provided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4"/>
          </w:tcPr>
          <w:p>
            <w:pPr>
              <w:jc w:val="right"/>
              <w:ind w:right="93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2017</w:t>
            </w:r>
          </w:p>
        </w:tc>
        <w:tc>
          <w:tcPr>
            <w:tcW w:w="48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6"/>
                <w:szCs w:val="16"/>
                <w:b w:val="1"/>
                <w:bCs w:val="1"/>
                <w:color w:val="auto"/>
                <w:w w:val="96"/>
              </w:rPr>
              <w:t>March 31, 2016</w:t>
            </w: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340,576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284,576</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change in deferred revenue</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62,702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45,885</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billings (non-GAAP)</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403,278</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330,461</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Free cash flow (non-GAAP). </w:t>
      </w:r>
      <w:r>
        <w:rPr>
          <w:rFonts w:ascii="Arial" w:cs="Arial" w:eastAsia="Arial" w:hAnsi="Arial"/>
          <w:sz w:val="17"/>
          <w:szCs w:val="17"/>
          <w:color w:val="auto"/>
        </w:rPr>
        <w:t>We define free cash flow as net cash provided by operating activities minus capital expenditures such as purchases of</w:t>
      </w:r>
      <w:r>
        <w:rPr>
          <w:rFonts w:ascii="Arial" w:cs="Arial" w:eastAsia="Arial" w:hAnsi="Arial"/>
          <w:sz w:val="17"/>
          <w:szCs w:val="17"/>
          <w:i w:val="1"/>
          <w:iCs w:val="1"/>
          <w:color w:val="auto"/>
        </w:rPr>
        <w:t xml:space="preserve"> </w:t>
      </w:r>
      <w:r>
        <w:rPr>
          <w:rFonts w:ascii="Arial" w:cs="Arial" w:eastAsia="Arial" w:hAnsi="Arial"/>
          <w:sz w:val="17"/>
          <w:szCs w:val="17"/>
          <w:color w:val="auto"/>
        </w:rPr>
        <w:t>real estate and other property and equipment. We believe free cash flow to be a liquidity measure that provides useful information to management and investors about the amount of cash generated by the business that, after capital expenditures, can be used for strategic opportunities, including investing in our business, making strategic acquisitions, repurchasing outstanding common stock and strengthening the balance sheet. However, free cash flow is not intended to represent our residual cash flow available for discretionary expenditures, since we may have other non-discretionary expenditures that are not deducted from the measure. A limitation of using free cash flow rather than the GAAP</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measure of net cash provided by operating activities is that free cash flow does not represent the total increase or decrease in the cash, cash equivalents and investments balance for the period because it excludes cash provided by or used for other investing and financing activities. Management accounts for this limitation by providing information about our capital expenditures and other investing and financing activities on the face of the cash flow statement and under “—Liquidity and Capital Resources” and by presenting cash flow from investing and financing activities in our reconciliation of free cash flows.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flows as a comparative measure. A reconciliation of free cash flow to net cash provided by operating activities, the most directly comparable financial measure calculated and presented in accordance with GAAP, is provided below: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4"/>
          </w:tcPr>
          <w:p>
            <w:pPr>
              <w:jc w:val="right"/>
              <w:ind w:right="93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2017</w:t>
            </w:r>
          </w:p>
        </w:tc>
        <w:tc>
          <w:tcPr>
            <w:tcW w:w="220" w:type="dxa"/>
            <w:vAlign w:val="bottom"/>
          </w:tcPr>
          <w:p>
            <w:pPr>
              <w:spacing w:after="0"/>
              <w:rPr>
                <w:sz w:val="20"/>
                <w:szCs w:val="20"/>
                <w:color w:val="auto"/>
              </w:rPr>
            </w:pPr>
          </w:p>
        </w:tc>
        <w:tc>
          <w:tcPr>
            <w:tcW w:w="1480" w:type="dxa"/>
            <w:vAlign w:val="bottom"/>
          </w:tcPr>
          <w:p>
            <w:pPr>
              <w:jc w:val="right"/>
              <w:ind w:right="231"/>
              <w:spacing w:after="0"/>
              <w:rPr>
                <w:sz w:val="20"/>
                <w:szCs w:val="20"/>
                <w:color w:val="auto"/>
              </w:rPr>
            </w:pPr>
            <w:r>
              <w:rPr>
                <w:rFonts w:ascii="Arial" w:cs="Arial" w:eastAsia="Arial" w:hAnsi="Arial"/>
                <w:sz w:val="16"/>
                <w:szCs w:val="16"/>
                <w:b w:val="1"/>
                <w:bCs w:val="1"/>
                <w:color w:val="auto"/>
              </w:rPr>
              <w:t>March 31, 2016</w:t>
            </w: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4"/>
          </w:tcPr>
          <w:p>
            <w:pPr>
              <w:jc w:val="right"/>
              <w:ind w:right="1171"/>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129,749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100,591</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(29,956)</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Free cash flow (non-GAAP)</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116,223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70,635</w:t>
            </w:r>
          </w:p>
        </w:tc>
      </w:tr>
      <w:tr>
        <w:trPr>
          <w:trHeight w:val="251"/>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(34,204)</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15,822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(41,656)</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8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There were no material changes to our critical accounting policies and estimates as of and for the three months ended March 31, 2017, as compared to the critical accounting policies and estimates described in our Annual Report on Form 10-K filed with the SEC on March 1, 2017 (the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See Note 1 to the notes to the condensed consolidated financial statements included in Part I, Item 1 of this Quarterly Report on Form 10-Q for information regarding recent accounting pronouncements.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and March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653"/>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left="713"/>
              <w:spacing w:after="0"/>
              <w:rPr>
                <w:sz w:val="20"/>
                <w:szCs w:val="20"/>
                <w:color w:val="auto"/>
              </w:rPr>
            </w:pPr>
            <w:r>
              <w:rPr>
                <w:rFonts w:ascii="Arial" w:cs="Arial" w:eastAsia="Arial" w:hAnsi="Arial"/>
                <w:sz w:val="16"/>
                <w:szCs w:val="16"/>
                <w:b w:val="1"/>
                <w:bCs w:val="1"/>
                <w:color w:val="auto"/>
                <w:w w:val="94"/>
              </w:rPr>
              <w:t>March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2017</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left="773"/>
              <w:spacing w:after="0"/>
              <w:rPr>
                <w:sz w:val="20"/>
                <w:szCs w:val="20"/>
                <w:color w:val="auto"/>
              </w:rPr>
            </w:pPr>
            <w:r>
              <w:rPr>
                <w:rFonts w:ascii="Arial" w:cs="Arial" w:eastAsia="Arial" w:hAnsi="Arial"/>
                <w:sz w:val="16"/>
                <w:szCs w:val="16"/>
                <w:b w:val="1"/>
                <w:bCs w:val="1"/>
                <w:color w:val="auto"/>
                <w:w w:val="89"/>
              </w:rPr>
              <w:t>2016</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4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135,253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124,572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10,681</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205,323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160,004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45,319</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340,576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284,576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56,000</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146,364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120,046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26,318</w:t>
            </w: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Europe, Middle East and Africa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126,149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20,658</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Asia Pacific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68,063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59,039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9,024</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15</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340,576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284,576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56,000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Total revenue increased by $56.0 million, or 20%, during the three months ended March 31, 2017 compared to the same period last year. On a geographic basis, we continued to experience diversification globally. Revenue from all our regions grew, with the Americas contributing the largest portion of our revenue growth both on an absolute dollar and on a percentage basis. Product revenue increased by $10.7 million, or 9%, in the three months ended March 31, 2017 compared to the same period last year. The increase in product revenue was primarily driven by the strength in sales of our FortiGate products and our enterprise bundles. Service revenue increased by $45.3 million, or 28%, in the three months ended March 31, 2017 compared to the same period last year. The increase in service revenue was primarily due to the recognition of revenue from our growing deferred revenue balance consisting of FortiGuard security subscription and FortiCare technical support contracts sold to a larger customer base, as well as the renewals of similar contracts sold in earlier periods. We continued to see the shift from product revenue to higher-margin, recurring service revenue, which reflected our ongoing success in driving sales of enterprise bundles.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80" w:type="dxa"/>
            <w:vAlign w:val="bottom"/>
            <w:gridSpan w:val="5"/>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ind w:right="67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ind w:left="42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611"/>
              <w:spacing w:after="0"/>
              <w:rPr>
                <w:sz w:val="20"/>
                <w:szCs w:val="20"/>
                <w:color w:val="auto"/>
              </w:rPr>
            </w:pPr>
            <w:r>
              <w:rPr>
                <w:rFonts w:ascii="Arial" w:cs="Arial" w:eastAsia="Arial" w:hAnsi="Arial"/>
                <w:sz w:val="16"/>
                <w:szCs w:val="16"/>
                <w:b w:val="1"/>
                <w:bCs w:val="1"/>
                <w:color w:val="auto"/>
              </w:rPr>
              <w:t>Change</w:t>
            </w:r>
          </w:p>
        </w:tc>
        <w:tc>
          <w:tcPr>
            <w:tcW w:w="1960" w:type="dxa"/>
            <w:vAlign w:val="bottom"/>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gridSpan w:val="4"/>
          </w:tcPr>
          <w:p>
            <w:pPr>
              <w:ind w:left="440"/>
              <w:spacing w:after="0"/>
              <w:rPr>
                <w:sz w:val="20"/>
                <w:szCs w:val="20"/>
                <w:color w:val="auto"/>
              </w:rPr>
            </w:pPr>
            <w:r>
              <w:rPr>
                <w:rFonts w:ascii="Arial" w:cs="Arial" w:eastAsia="Arial" w:hAnsi="Arial"/>
                <w:sz w:val="16"/>
                <w:szCs w:val="16"/>
                <w:b w:val="1"/>
                <w:bCs w:val="1"/>
                <w:color w:val="auto"/>
              </w:rPr>
              <w:t>(in thousands, except percentages)</w:t>
            </w: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3"/>
              <w:spacing w:after="0"/>
              <w:rPr>
                <w:sz w:val="20"/>
                <w:szCs w:val="20"/>
                <w:color w:val="auto"/>
              </w:rPr>
            </w:pPr>
            <w:r>
              <w:rPr>
                <w:rFonts w:ascii="Arial" w:cs="Arial" w:eastAsia="Arial" w:hAnsi="Arial"/>
                <w:sz w:val="18"/>
                <w:szCs w:val="18"/>
                <w:color w:val="auto"/>
              </w:rPr>
              <w:t>55,297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3"/>
              <w:spacing w:after="0"/>
              <w:rPr>
                <w:sz w:val="20"/>
                <w:szCs w:val="20"/>
                <w:color w:val="auto"/>
              </w:rPr>
            </w:pPr>
            <w:r>
              <w:rPr>
                <w:rFonts w:ascii="Arial" w:cs="Arial" w:eastAsia="Arial" w:hAnsi="Arial"/>
                <w:sz w:val="18"/>
                <w:szCs w:val="18"/>
                <w:color w:val="auto"/>
              </w:rPr>
              <w:t>49,313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1"/>
              <w:spacing w:after="0"/>
              <w:rPr>
                <w:sz w:val="20"/>
                <w:szCs w:val="20"/>
                <w:color w:val="auto"/>
              </w:rPr>
            </w:pPr>
            <w:r>
              <w:rPr>
                <w:rFonts w:ascii="Arial" w:cs="Arial" w:eastAsia="Arial" w:hAnsi="Arial"/>
                <w:sz w:val="18"/>
                <w:szCs w:val="18"/>
                <w:color w:val="auto"/>
              </w:rPr>
              <w:t>5,984</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12%</w:t>
            </w:r>
          </w:p>
        </w:tc>
      </w:tr>
      <w:tr>
        <w:trPr>
          <w:trHeight w:val="27"/>
        </w:trPr>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35,267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28,331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6,936</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25</w:t>
            </w:r>
          </w:p>
        </w:tc>
      </w:tr>
      <w:tr>
        <w:trPr>
          <w:trHeight w:val="297"/>
        </w:trPr>
        <w:tc>
          <w:tcPr>
            <w:tcW w:w="3620" w:type="dxa"/>
            <w:vAlign w:val="bottom"/>
            <w:tcBorders>
              <w:bottom w:val="single" w:sz="8" w:color="CCEEFF"/>
            </w:tcBorders>
          </w:tcPr>
          <w:p>
            <w:pPr>
              <w:jc w:val="center"/>
              <w:ind w:right="1950"/>
              <w:spacing w:after="0"/>
              <w:rPr>
                <w:sz w:val="20"/>
                <w:szCs w:val="20"/>
                <w:color w:val="auto"/>
              </w:rPr>
            </w:pPr>
            <w:r>
              <w:rPr>
                <w:rFonts w:ascii="Arial" w:cs="Arial" w:eastAsia="Arial" w:hAnsi="Arial"/>
                <w:sz w:val="18"/>
                <w:szCs w:val="18"/>
                <w:color w:val="auto"/>
                <w:w w:val="89"/>
              </w:rPr>
              <w:t>Total cost of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90,564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77,644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12,920</w:t>
            </w:r>
          </w:p>
        </w:tc>
        <w:tc>
          <w:tcPr>
            <w:tcW w:w="1960" w:type="dxa"/>
            <w:vAlign w:val="bottom"/>
            <w:tcBorders>
              <w:bottom w:val="single" w:sz="8" w:color="CCEEFF"/>
            </w:tcBorders>
          </w:tcPr>
          <w:p>
            <w:pPr>
              <w:ind w:left="1600"/>
              <w:spacing w:after="0"/>
              <w:rPr>
                <w:sz w:val="20"/>
                <w:szCs w:val="20"/>
                <w:color w:val="auto"/>
              </w:rPr>
            </w:pPr>
            <w:r>
              <w:rPr>
                <w:rFonts w:ascii="Arial" w:cs="Arial" w:eastAsia="Arial" w:hAnsi="Arial"/>
                <w:sz w:val="18"/>
                <w:szCs w:val="18"/>
                <w:color w:val="auto"/>
                <w:w w:val="94"/>
              </w:rPr>
              <w:t>17%</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196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0.7 %</w:t>
            </w:r>
          </w:p>
        </w:tc>
        <w:tc>
          <w:tcPr>
            <w:tcW w:w="1960" w:type="dxa"/>
            <w:vAlign w:val="bottom"/>
          </w:tcPr>
          <w:p>
            <w:pPr>
              <w:spacing w:after="0"/>
              <w:rPr>
                <w:sz w:val="21"/>
                <w:szCs w:val="21"/>
                <w:color w:val="auto"/>
              </w:rPr>
            </w:pPr>
          </w:p>
        </w:tc>
      </w:tr>
    </w:tbl>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Total gross margin increased by 0.7 percentage points in the three months ended March 31, 2017 compared to the same period last year. Product gross margin decreased by 1.3 percentage points in the three months ended March 31,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compared to the same period last year. The decrease in product gross margin was primarily due to higher inventory reserves and other charges.</w:t>
      </w:r>
    </w:p>
    <w:p>
      <w:pPr>
        <w:spacing w:after="0" w:line="23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Service gross margin increased by 0.5 percentage points in the three months ended March 31, 2017 as compared to the same period last year, as we scaled efficiencies resulting from an increased mix of higher-margin service revenue. Cost of service revenue increased by $6.9 million and was comprised primarily of personnel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653"/>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left="714"/>
              <w:spacing w:after="0"/>
              <w:rPr>
                <w:sz w:val="20"/>
                <w:szCs w:val="20"/>
                <w:color w:val="auto"/>
              </w:rPr>
            </w:pPr>
            <w:r>
              <w:rPr>
                <w:rFonts w:ascii="Arial" w:cs="Arial" w:eastAsia="Arial" w:hAnsi="Arial"/>
                <w:sz w:val="16"/>
                <w:szCs w:val="16"/>
                <w:b w:val="1"/>
                <w:bCs w:val="1"/>
                <w:color w:val="auto"/>
                <w:w w:val="94"/>
              </w:rPr>
              <w:t>March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2017</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left="774"/>
              <w:spacing w:after="0"/>
              <w:rPr>
                <w:sz w:val="20"/>
                <w:szCs w:val="20"/>
                <w:color w:val="auto"/>
              </w:rPr>
            </w:pPr>
            <w:r>
              <w:rPr>
                <w:rFonts w:ascii="Arial" w:cs="Arial" w:eastAsia="Arial" w:hAnsi="Arial"/>
                <w:sz w:val="16"/>
                <w:szCs w:val="16"/>
                <w:b w:val="1"/>
                <w:bCs w:val="1"/>
                <w:color w:val="auto"/>
                <w:w w:val="89"/>
              </w:rPr>
              <w:t>2016</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4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51,195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44,754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6,441</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14%</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170,400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146,103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24,297</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17</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22,577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19,439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3,138</w:t>
            </w:r>
          </w:p>
        </w:tc>
        <w:tc>
          <w:tcPr>
            <w:tcW w:w="1420" w:type="dxa"/>
            <w:vAlign w:val="bottom"/>
          </w:tcPr>
          <w:p>
            <w:pPr>
              <w:ind w:left="1060"/>
              <w:spacing w:after="0"/>
              <w:rPr>
                <w:sz w:val="20"/>
                <w:szCs w:val="20"/>
                <w:color w:val="auto"/>
              </w:rPr>
            </w:pPr>
            <w:r>
              <w:rPr>
                <w:rFonts w:ascii="Arial" w:cs="Arial" w:eastAsia="Arial" w:hAnsi="Arial"/>
                <w:sz w:val="18"/>
                <w:szCs w:val="18"/>
                <w:color w:val="auto"/>
              </w:rPr>
              <w:t>16</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31</w:t>
            </w:r>
          </w:p>
        </w:tc>
      </w:tr>
      <w:tr>
        <w:trPr>
          <w:trHeight w:val="257"/>
        </w:trPr>
        <w:tc>
          <w:tcPr>
            <w:tcW w:w="32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244,602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210,624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33,978</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16%</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Research and development expense increased by $6.4 million, or 14%, in the three months ended March 31, 2017 compared to the same period last year, primarily due to an increase of $4.5 million in personnel costs as a result of increased headcount to support the development of new products and continued enhancements of our existing products. Historically, we have refreshed our ASICs on a three- to four-year cycle and the refreshes have demonstrated significant performance improvements. We intend to continue to invest in our research and development organization, but expect research and development expense as a percentage of total revenue to remain at a relatively comparable level during the remainder of 2017.</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Sales and marketing expense increased by $24.3 million, or 17%, in the three months ended March 31, 2017 compared to the same period last year, primarily due to an increase of $19.4 million in personnel costs as we continued to increase our sales and marketing headcount. In addition, amortization expense increased by $1.5 million related to intangible assets acquired from AccelOps, Inc. (“AccelOps”). As a percentage of total revenue, sales and marketing expense decreased as we focused on scaling our investments in our sales force and marketing programs. We intend to continue to make investments in our sales resources and infrastructure and marketing strategy, which are critical to support growth, but expect sales and marketing expense as a percentage of total revenue to decrease during the remainder of 2017.</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General and administrative expense increased by $3.1 million, or 16%, in the three months ended March 31, 2017 compared to the same period last year. Personnel costs increased by $1.7 million as we continued to increase headcount. In addition, litigation settlement expense increased by $1.6 million. We also incurred expense of $1.1 million due to third-party costs related to the preparation and implementation of the new revenue recognition standards. As a percentage of total revenue, we expect general and administrative expense to increase during the remainder of 2017 as we continue to implement the new revenue recognition standard.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Restructuring expenses of $0.4 million in the three months ended March 31, 2017 primarily relate to our restructuring activities to improve operating efficiencies due to the acquisition of AccelOps and certain other activities. Restructuring charges of $0.3 million during the three months ended March 31, 2016 primarily related to continued restructuring activities related to the acquisition of Meru Networks, Inc. (“Meru”) and reducing our combined cost structure relative to Meru. See Note 8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notes to our condensed consolidated financial statements for additional details, including the types of expenses incurred and cash payments made. See also the “Liquidity and Capital Resources”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3740" w:type="dxa"/>
            <w:vAlign w:val="bottom"/>
            <w:gridSpan w:val="4"/>
          </w:tcPr>
          <w:p>
            <w:pPr>
              <w:jc w:val="right"/>
              <w:ind w:right="103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09"/>
        </w:trPr>
        <w:tc>
          <w:tcPr>
            <w:tcW w:w="3700" w:type="dxa"/>
            <w:vAlign w:val="bottom"/>
          </w:tcPr>
          <w:p>
            <w:pPr>
              <w:spacing w:after="0"/>
              <w:rPr>
                <w:sz w:val="18"/>
                <w:szCs w:val="18"/>
                <w:color w:val="auto"/>
              </w:rPr>
            </w:pPr>
          </w:p>
        </w:tc>
        <w:tc>
          <w:tcPr>
            <w:tcW w:w="1280" w:type="dxa"/>
            <w:vAlign w:val="bottom"/>
          </w:tcPr>
          <w:p>
            <w:pPr>
              <w:jc w:val="center"/>
              <w:ind w:left="417"/>
              <w:spacing w:after="0"/>
              <w:rPr>
                <w:sz w:val="20"/>
                <w:szCs w:val="20"/>
                <w:color w:val="auto"/>
              </w:rPr>
            </w:pPr>
            <w:r>
              <w:rPr>
                <w:rFonts w:ascii="Arial" w:cs="Arial" w:eastAsia="Arial" w:hAnsi="Arial"/>
                <w:sz w:val="16"/>
                <w:szCs w:val="16"/>
                <w:b w:val="1"/>
                <w:bCs w:val="1"/>
                <w:color w:val="auto"/>
                <w:w w:val="94"/>
              </w:rPr>
              <w:t>March 31,</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ind w:right="475"/>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280" w:type="dxa"/>
            <w:vAlign w:val="bottom"/>
          </w:tcPr>
          <w:p>
            <w:pPr>
              <w:jc w:val="right"/>
              <w:ind w:right="117"/>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ind w:right="655"/>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18"/>
                <w:szCs w:val="18"/>
                <w:color w:val="auto"/>
              </w:rPr>
            </w:pPr>
          </w:p>
        </w:tc>
        <w:tc>
          <w:tcPr>
            <w:tcW w:w="1740" w:type="dxa"/>
            <w:vAlign w:val="bottom"/>
          </w:tcPr>
          <w:p>
            <w:pPr>
              <w:jc w:val="right"/>
              <w:ind w:right="853"/>
              <w:spacing w:after="0"/>
              <w:rPr>
                <w:sz w:val="20"/>
                <w:szCs w:val="20"/>
                <w:color w:val="auto"/>
              </w:rPr>
            </w:pPr>
            <w:r>
              <w:rPr>
                <w:rFonts w:ascii="Arial" w:cs="Arial" w:eastAsia="Arial" w:hAnsi="Arial"/>
                <w:sz w:val="16"/>
                <w:szCs w:val="16"/>
                <w:b w:val="1"/>
                <w:bCs w:val="1"/>
                <w:color w:val="auto"/>
              </w:rPr>
              <w:t>Change</w:t>
            </w:r>
          </w:p>
        </w:tc>
        <w:tc>
          <w:tcPr>
            <w:tcW w:w="174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gridSpan w:val="3"/>
          </w:tcPr>
          <w:p>
            <w:pPr>
              <w:jc w:val="right"/>
              <w:ind w:right="833"/>
              <w:spacing w:after="0"/>
              <w:rPr>
                <w:sz w:val="20"/>
                <w:szCs w:val="20"/>
                <w:color w:val="auto"/>
              </w:rPr>
            </w:pPr>
            <w:r>
              <w:rPr>
                <w:rFonts w:ascii="Arial" w:cs="Arial" w:eastAsia="Arial" w:hAnsi="Arial"/>
                <w:sz w:val="16"/>
                <w:szCs w:val="16"/>
                <w:b w:val="1"/>
                <w:bCs w:val="1"/>
                <w:color w:val="auto"/>
              </w:rPr>
              <w:t>(in thousands, except percentages)</w:t>
            </w:r>
          </w:p>
        </w:tc>
        <w:tc>
          <w:tcPr>
            <w:tcW w:w="174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80" w:type="dxa"/>
            <w:vAlign w:val="bottom"/>
            <w:tcBorders>
              <w:bottom w:val="single" w:sz="8" w:color="CCEEFF"/>
            </w:tcBorders>
            <w:shd w:val="clear" w:color="auto" w:fill="CCEEFF"/>
          </w:tcPr>
          <w:p>
            <w:pPr>
              <w:jc w:val="right"/>
              <w:ind w:right="107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2,392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1,746</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646</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 (expense)—net</w:t>
            </w:r>
          </w:p>
        </w:tc>
        <w:tc>
          <w:tcPr>
            <w:tcW w:w="12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(1,312)</w:t>
            </w:r>
          </w:p>
        </w:tc>
        <w:tc>
          <w:tcPr>
            <w:tcW w:w="500" w:type="dxa"/>
            <w:vAlign w:val="bottom"/>
          </w:tcPr>
          <w:p>
            <w:pPr>
              <w:spacing w:after="0"/>
              <w:rPr>
                <w:sz w:val="21"/>
                <w:szCs w:val="21"/>
                <w:color w:val="auto"/>
              </w:rPr>
            </w:pPr>
          </w:p>
        </w:tc>
        <w:tc>
          <w:tcPr>
            <w:tcW w:w="1740" w:type="dxa"/>
            <w:vAlign w:val="bottom"/>
          </w:tcPr>
          <w:p>
            <w:pPr>
              <w:jc w:val="right"/>
              <w:ind w:right="313"/>
              <w:spacing w:after="0"/>
              <w:rPr>
                <w:sz w:val="20"/>
                <w:szCs w:val="20"/>
                <w:color w:val="auto"/>
              </w:rPr>
            </w:pPr>
            <w:r>
              <w:rPr>
                <w:rFonts w:ascii="Arial" w:cs="Arial" w:eastAsia="Arial" w:hAnsi="Arial"/>
                <w:sz w:val="18"/>
                <w:szCs w:val="18"/>
                <w:color w:val="auto"/>
              </w:rPr>
              <w:t>1,614</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(123)</w:t>
            </w:r>
          </w:p>
        </w:tc>
      </w:tr>
    </w:tbl>
    <w:p>
      <w:pPr>
        <w:spacing w:after="0" w:line="229"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Interest income increased by $0.6 million, or 37%, during the three months ended March 31, 2017 as compared to the same period last year due to interest earned on higher invested balances of cash, cash equivalents and investments. Interest income varies depending on our average investment balances during the period, types and mix of investments, and market interest rates. The increase in other income (expense)—net in the three months ended March 31, 2017 as compared to the same period last year was the result of higher foreign currency exchange gains.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00" w:type="dxa"/>
            <w:vAlign w:val="bottom"/>
            <w:gridSpan w:val="3"/>
          </w:tcPr>
          <w:p>
            <w:pPr>
              <w:jc w:val="right"/>
              <w:ind w:right="109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ind w:right="575"/>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8"/>
                <w:szCs w:val="18"/>
                <w:color w:val="auto"/>
              </w:rPr>
            </w:pPr>
          </w:p>
        </w:tc>
        <w:tc>
          <w:tcPr>
            <w:tcW w:w="1520" w:type="dxa"/>
            <w:vAlign w:val="bottom"/>
          </w:tcPr>
          <w:p>
            <w:pPr>
              <w:jc w:val="right"/>
              <w:ind w:right="495"/>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ind w:right="755"/>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18"/>
                <w:szCs w:val="18"/>
                <w:color w:val="auto"/>
              </w:rPr>
            </w:pPr>
          </w:p>
        </w:tc>
        <w:tc>
          <w:tcPr>
            <w:tcW w:w="1520" w:type="dxa"/>
            <w:vAlign w:val="bottom"/>
          </w:tcPr>
          <w:p>
            <w:pPr>
              <w:jc w:val="right"/>
              <w:ind w:right="675"/>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18"/>
                <w:szCs w:val="18"/>
                <w:color w:val="auto"/>
              </w:rPr>
            </w:pPr>
          </w:p>
        </w:tc>
        <w:tc>
          <w:tcPr>
            <w:tcW w:w="1820" w:type="dxa"/>
            <w:vAlign w:val="bottom"/>
          </w:tcPr>
          <w:p>
            <w:pPr>
              <w:jc w:val="right"/>
              <w:ind w:right="91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gridSpan w:val="3"/>
          </w:tcPr>
          <w:p>
            <w:pPr>
              <w:jc w:val="right"/>
              <w:ind w:right="953"/>
              <w:spacing w:after="0"/>
              <w:rPr>
                <w:sz w:val="20"/>
                <w:szCs w:val="20"/>
                <w:color w:val="auto"/>
              </w:rPr>
            </w:pPr>
            <w:r>
              <w:rPr>
                <w:rFonts w:ascii="Arial" w:cs="Arial" w:eastAsia="Arial" w:hAnsi="Arial"/>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(2,613)</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(5,376)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rPr>
              <w:t>2,763</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165.0%</w:t>
            </w:r>
          </w:p>
        </w:tc>
        <w:tc>
          <w:tcPr>
            <w:tcW w:w="500" w:type="dxa"/>
            <w:vAlign w:val="bottom"/>
          </w:tcPr>
          <w:p>
            <w:pPr>
              <w:spacing w:after="0"/>
              <w:rPr>
                <w:sz w:val="21"/>
                <w:szCs w:val="21"/>
                <w:color w:val="auto"/>
              </w:rPr>
            </w:pPr>
          </w:p>
        </w:tc>
        <w:tc>
          <w:tcPr>
            <w:tcW w:w="1820" w:type="dxa"/>
            <w:vAlign w:val="bottom"/>
          </w:tcPr>
          <w:p>
            <w:pPr>
              <w:jc w:val="right"/>
              <w:ind w:right="273"/>
              <w:spacing w:after="0"/>
              <w:rPr>
                <w:sz w:val="20"/>
                <w:szCs w:val="20"/>
                <w:color w:val="auto"/>
              </w:rPr>
            </w:pPr>
            <w:r>
              <w:rPr>
                <w:rFonts w:ascii="Arial" w:cs="Arial" w:eastAsia="Arial" w:hAnsi="Arial"/>
                <w:sz w:val="18"/>
                <w:szCs w:val="18"/>
                <w:color w:val="auto"/>
              </w:rPr>
              <w:t>(197)%</w:t>
            </w: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Our effective tax rate was a benefit of (32)% for the three months ended March 31, 2017, compared to an effective tax rate of 165% for the same period last year. The effective tax rates for the periods presented are comprised of U.S. federal and state taxes, withholding taxes and foreign income taxes. The tax rate for the three months ended March 31, 2017 is impacted by the excess tax benefits of $5.5 million on stock options, which was a significant benefit on our income before income taxes. The tax rate for the three months ended March 31, 2016 was also impacted by significant excess tax benefits of $3.6 million on stock options on our loss before income taxes.</w:t>
      </w:r>
    </w:p>
    <w:p>
      <w:pPr>
        <w:spacing w:after="0" w:line="188"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Within the next 12 months, we do not believe there will be a decrease in uncertain tax benefits that could significantly impact our effective tax rate.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3"/>
          </w:tcPr>
          <w:p>
            <w:pPr>
              <w:jc w:val="center"/>
              <w:ind w:left="1274"/>
              <w:spacing w:after="0"/>
              <w:rPr>
                <w:sz w:val="20"/>
                <w:szCs w:val="20"/>
                <w:color w:val="auto"/>
              </w:rPr>
            </w:pPr>
            <w:r>
              <w:rPr>
                <w:rFonts w:ascii="Arial" w:cs="Arial" w:eastAsia="Arial" w:hAnsi="Arial"/>
                <w:sz w:val="16"/>
                <w:szCs w:val="16"/>
                <w:b w:val="1"/>
                <w:bCs w:val="1"/>
                <w:color w:val="auto"/>
                <w:w w:val="89"/>
              </w:rPr>
              <w:t>As of</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7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7"/>
              </w:rPr>
              <w:t>March 31,</w:t>
            </w:r>
          </w:p>
        </w:tc>
        <w:tc>
          <w:tcPr>
            <w:tcW w:w="320" w:type="dxa"/>
            <w:vAlign w:val="bottom"/>
          </w:tcPr>
          <w:p>
            <w:pPr>
              <w:spacing w:after="0"/>
              <w:rPr>
                <w:sz w:val="18"/>
                <w:szCs w:val="18"/>
                <w:color w:val="auto"/>
              </w:rPr>
            </w:pPr>
          </w:p>
        </w:tc>
        <w:tc>
          <w:tcPr>
            <w:tcW w:w="1360" w:type="dxa"/>
            <w:vAlign w:val="bottom"/>
          </w:tcPr>
          <w:p>
            <w:pPr>
              <w:jc w:val="center"/>
              <w:ind w:right="29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7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jc w:val="center"/>
              <w:ind w:right="274"/>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center"/>
              <w:ind w:right="253"/>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7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7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4"/>
          </w:tcPr>
          <w:p>
            <w:pPr>
              <w:jc w:val="center"/>
              <w:ind w:left="934"/>
              <w:spacing w:after="0"/>
              <w:rPr>
                <w:sz w:val="20"/>
                <w:szCs w:val="20"/>
                <w:color w:val="auto"/>
              </w:rPr>
            </w:pPr>
            <w:r>
              <w:rPr>
                <w:rFonts w:ascii="Arial" w:cs="Arial" w:eastAsia="Arial" w:hAnsi="Arial"/>
                <w:sz w:val="16"/>
                <w:szCs w:val="16"/>
                <w:b w:val="1"/>
                <w:bCs w:val="1"/>
                <w:color w:val="auto"/>
                <w:w w:val="88"/>
              </w:rPr>
              <w:t>(in thousands)</w:t>
            </w:r>
          </w:p>
        </w:tc>
        <w:tc>
          <w:tcPr>
            <w:tcW w:w="136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823,249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709,003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617,756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601,505</w:t>
            </w:r>
          </w:p>
        </w:tc>
      </w:tr>
      <w:tr>
        <w:trPr>
          <w:trHeight w:val="27"/>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1,441,005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1,310,508</w:t>
            </w: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759,497</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709,276</w:t>
            </w: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r>
      <w:tr>
        <w:trPr>
          <w:trHeight w:val="508"/>
        </w:trPr>
        <w:tc>
          <w:tcPr>
            <w:tcW w:w="7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0" w:type="dxa"/>
            <w:vAlign w:val="bottom"/>
            <w:gridSpan w:val="5"/>
          </w:tcPr>
          <w:p>
            <w:pPr>
              <w:jc w:val="center"/>
              <w:ind w:right="233"/>
              <w:spacing w:after="0"/>
              <w:rPr>
                <w:sz w:val="20"/>
                <w:szCs w:val="20"/>
                <w:color w:val="auto"/>
              </w:rPr>
            </w:pPr>
            <w:r>
              <w:rPr>
                <w:rFonts w:ascii="Arial" w:cs="Arial" w:eastAsia="Arial" w:hAnsi="Arial"/>
                <w:sz w:val="16"/>
                <w:szCs w:val="16"/>
                <w:b w:val="1"/>
                <w:bCs w:val="1"/>
                <w:color w:val="auto"/>
                <w:w w:val="93"/>
              </w:rPr>
              <w:t>Three Months Ended</w:t>
            </w:r>
          </w:p>
        </w:tc>
      </w:tr>
      <w:tr>
        <w:trPr>
          <w:trHeight w:val="33"/>
        </w:trPr>
        <w:tc>
          <w:tcPr>
            <w:tcW w:w="7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7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7"/>
              </w:rPr>
              <w:t>March 31,</w:t>
            </w:r>
          </w:p>
        </w:tc>
        <w:tc>
          <w:tcPr>
            <w:tcW w:w="320" w:type="dxa"/>
            <w:vAlign w:val="bottom"/>
          </w:tcPr>
          <w:p>
            <w:pPr>
              <w:spacing w:after="0"/>
              <w:rPr>
                <w:sz w:val="18"/>
                <w:szCs w:val="18"/>
                <w:color w:val="auto"/>
              </w:rPr>
            </w:pPr>
          </w:p>
        </w:tc>
        <w:tc>
          <w:tcPr>
            <w:tcW w:w="1360" w:type="dxa"/>
            <w:vAlign w:val="bottom"/>
          </w:tcPr>
          <w:p>
            <w:pPr>
              <w:jc w:val="center"/>
              <w:ind w:right="293"/>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7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jc w:val="center"/>
              <w:ind w:right="274"/>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center"/>
              <w:ind w:right="253"/>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7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7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4"/>
          </w:tcPr>
          <w:p>
            <w:pPr>
              <w:jc w:val="center"/>
              <w:ind w:left="934"/>
              <w:spacing w:after="0"/>
              <w:rPr>
                <w:sz w:val="20"/>
                <w:szCs w:val="20"/>
                <w:color w:val="auto"/>
              </w:rPr>
            </w:pPr>
            <w:r>
              <w:rPr>
                <w:rFonts w:ascii="Arial" w:cs="Arial" w:eastAsia="Arial" w:hAnsi="Arial"/>
                <w:sz w:val="16"/>
                <w:szCs w:val="16"/>
                <w:b w:val="1"/>
                <w:bCs w:val="1"/>
                <w:color w:val="auto"/>
                <w:w w:val="88"/>
              </w:rPr>
              <w:t>(in thousands)</w:t>
            </w:r>
          </w:p>
        </w:tc>
        <w:tc>
          <w:tcPr>
            <w:tcW w:w="136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129,749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100,591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(31,325)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(34,204)</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15,822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(41,656)</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114,246</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24,731</w:t>
            </w: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Liquidity and capital resources may be impacted by our operating activities, as well as by our business acquisitions, real estate and other capital expenditures, stock repurchases, proceeds associated with stock option exercises and issuances of common stock under our employee stock purchase plan (the </w:t>
      </w:r>
      <w:r>
        <w:rPr>
          <w:rFonts w:ascii="Arial" w:cs="Arial" w:eastAsia="Arial" w:hAnsi="Arial"/>
          <w:sz w:val="17"/>
          <w:szCs w:val="17"/>
          <w:i w:val="1"/>
          <w:iCs w:val="1"/>
          <w:color w:val="auto"/>
        </w:rPr>
        <w:t>“</w:t>
      </w:r>
      <w:r>
        <w:rPr>
          <w:rFonts w:ascii="Arial" w:cs="Arial" w:eastAsia="Arial" w:hAnsi="Arial"/>
          <w:sz w:val="17"/>
          <w:szCs w:val="17"/>
          <w:color w:val="auto"/>
        </w:rPr>
        <w:t>ESPP”), payment of taxes in connection with the net settlement of equity awards and investments in strategic relationships that we have made or may make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the future. As of March 31, 2017, $189.2 million remained available for future share repurchase under our 2016 Repurchase Program (the </w:t>
      </w:r>
      <w:r>
        <w:rPr>
          <w:rFonts w:ascii="Arial" w:cs="Arial" w:eastAsia="Arial" w:hAnsi="Arial"/>
          <w:sz w:val="17"/>
          <w:szCs w:val="17"/>
          <w:i w:val="1"/>
          <w:iCs w:val="1"/>
          <w:color w:val="auto"/>
        </w:rPr>
        <w:t>“</w:t>
      </w:r>
      <w:r>
        <w:rPr>
          <w:rFonts w:ascii="Arial" w:cs="Arial" w:eastAsia="Arial" w:hAnsi="Arial"/>
          <w:sz w:val="17"/>
          <w:szCs w:val="17"/>
          <w:color w:val="auto"/>
        </w:rPr>
        <w:t>2016 Repurchase Program”). In recent years we have received significant capital resources as a result of the exercise of stock options. We expect proceeds in future years to be impacted by the increased mix of restricted stock units (</w:t>
      </w:r>
      <w:r>
        <w:rPr>
          <w:rFonts w:ascii="Arial" w:cs="Arial" w:eastAsia="Arial" w:hAnsi="Arial"/>
          <w:sz w:val="17"/>
          <w:szCs w:val="17"/>
          <w:i w:val="1"/>
          <w:iCs w:val="1"/>
          <w:color w:val="auto"/>
        </w:rPr>
        <w:t>“</w:t>
      </w:r>
      <w:r>
        <w:rPr>
          <w:rFonts w:ascii="Arial" w:cs="Arial" w:eastAsia="Arial" w:hAnsi="Arial"/>
          <w:sz w:val="17"/>
          <w:szCs w:val="17"/>
          <w:color w:val="auto"/>
        </w:rPr>
        <w:t>RSUs”) granted versus stock options and also to vary based on our share price. In April 2017, we purchased a real estate in Vancouver, Canada for approximately $85.0 million which will affect our free cash flows in the second quarter of 2017. We expect our free cash flows to improve in the second half of 2017.</w:t>
      </w:r>
    </w:p>
    <w:p>
      <w:pPr>
        <w:spacing w:after="0" w:line="179"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As of March 31, 2017, our cash, cash equivalents and investments of $1.44 billion were invested primarily in corporate debt securities, commercial paper, U.S. government and agency securities, municipal bonds, money market funds, certificates of deposit and term deposits. It is our investment policy to invest excess cash in a manner that preserves capital, provides liquidity and maximizes return without significantly increasing risk.</w:t>
      </w:r>
    </w:p>
    <w:p>
      <w:pPr>
        <w:spacing w:after="0" w:line="147"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As of March 31, 2017, $599.5 million of our cash and investments were held by our international subsidiaries and are therefore not immediately available to fund domestic operations unless the cash is repatriated. While we do not intend to do so, should this amount be repatriated, most of it would be subject to U.S. federal income tax that would be partially offset by foreign tax credits. We do not enter into investments for trading or speculative purposes.</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the continuing market acceptance of our products and our investments in real estate through purchases or long-term leases. Historically, we have required capital principally to fund our working capital needs, capital expenditures, share repurchases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stock-based compensation, depreciation of property and equipment and amortization of intangible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operating activities during the three months ended March 31, 2017 provided $129.7 million in cash as a result of our continued growth in the sales of FortiGuard security subscriptions and FortiCare support contracts, as well as product sales, and the ability to successfully manage our working capital. The increase in sales of our FortiGuard security subscription and FortiCare technical supports to new and existing customers was reflected in the increase in our deferred revenue. We continued to see the shift from product revenue to higher-margin, recurring service revenue. For example, our total revenue grew 20% during the three months ended March 31, 2017 compared to the same period last year, while our total deferred revenue balance grew 31% during the three months ended March 31, 207 compared to the same period last year.</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operating activities during the three months ended March 31, 2016 provided $100.6 million in cash as a result of our continued growth in billings and our ability to successfully manage our working capital. Changes in operating assets and liabilities primarily resulted from an increase in payments received from customers, which was partially offset by an increase in payments to vendors.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and purchases of property and equipment. Historically, in making a lease versus purchase decision related to our larger facilities, we have elected to purchase the facility. We expect to make similar decisions in the future.</w:t>
      </w:r>
    </w:p>
    <w:p>
      <w:pPr>
        <w:spacing w:after="0" w:line="181" w:lineRule="exact"/>
        <w:rPr>
          <w:sz w:val="20"/>
          <w:szCs w:val="20"/>
          <w:color w:val="auto"/>
        </w:rPr>
      </w:pPr>
    </w:p>
    <w:p>
      <w:pPr>
        <w:jc w:val="both"/>
        <w:ind w:right="660" w:firstLine="648"/>
        <w:spacing w:after="0" w:line="277" w:lineRule="auto"/>
        <w:rPr>
          <w:sz w:val="20"/>
          <w:szCs w:val="20"/>
          <w:color w:val="auto"/>
        </w:rPr>
      </w:pPr>
      <w:r>
        <w:rPr>
          <w:rFonts w:ascii="Arial" w:cs="Arial" w:eastAsia="Arial" w:hAnsi="Arial"/>
          <w:sz w:val="18"/>
          <w:szCs w:val="18"/>
          <w:color w:val="auto"/>
        </w:rPr>
        <w:t>During the three months ended March 31, 2017, cash used for investing activities was primarily due to the $13.5 million we spent on capital expenditures and $17.8 million due to purchases, net of maturities, of our investments.</w:t>
      </w:r>
    </w:p>
    <w:p>
      <w:pPr>
        <w:spacing w:after="0" w:line="170"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During the three months ended March 31, 2016, cash used for investing activities was primarily due to the $30.0 million we spent on capital expenditures, including our purchase of certain real property in Union City, California for total cash of $18.5 million. Cash outflows due to sales and maturities of our investments, net of purchases, amounted to $4.2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changes in cash flows from financing activities primarily relate to proceeds from the issuance of common stock under our equity incentive plan and the ESPP, taxes paid related to net share settlement of equity awards, excess tax benefit from stock-based compensation and repurchase and retirement of common stock.</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three months ended March 31, 2017, cash used for financing activities was $15.8 million, proceeds from the issuance of common stock, net of tax withholding.</w:t>
      </w:r>
    </w:p>
    <w:p>
      <w:pPr>
        <w:spacing w:after="0" w:line="170" w:lineRule="exact"/>
        <w:rPr>
          <w:sz w:val="20"/>
          <w:szCs w:val="20"/>
          <w:color w:val="auto"/>
        </w:rPr>
      </w:pPr>
    </w:p>
    <w:p>
      <w:pPr>
        <w:jc w:val="both"/>
        <w:ind w:right="720" w:firstLine="648"/>
        <w:spacing w:after="0" w:line="264" w:lineRule="auto"/>
        <w:rPr>
          <w:sz w:val="20"/>
          <w:szCs w:val="20"/>
          <w:color w:val="auto"/>
        </w:rPr>
      </w:pPr>
      <w:r>
        <w:rPr>
          <w:rFonts w:ascii="Arial" w:cs="Arial" w:eastAsia="Arial" w:hAnsi="Arial"/>
          <w:sz w:val="18"/>
          <w:szCs w:val="18"/>
          <w:color w:val="auto"/>
        </w:rPr>
        <w:t>During the three months ended March 31, 2016, cash used for financing activities was $41.7 million, primarily due to $50.0 million used to repurchase our common stock. This was partially offset by $8.3 million of proceeds from the issuance of common stock, net of taxes paid, related to withholding upon issuance of RSUs.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There were no material changes outside the ordinary course of business during the three months ended March 31, 2017 to the contractual obligations and commitments disclosed in Management’s Discussion and Analysis of Financial Condition and Results of Operations, set forth in Part II, Item 7, of the Form 10-K. See Note 9 to the notes to the condensed consolidated financial statements included in Part I, Item 1 of this Quarterly Report on Form 10-Q for additional information regarding contractual obligations and commitments.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As of March 31, 2017,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three months ended March 31, 2017 compared to the disclosures in Part II, Item 7A of the Form 10-K.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or 15d-15(e) under the Exchange Act) as of March 31, 2017.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5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March 31, 2017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three months ended March 31, 2017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October 2016, we received a letter from the United States Attorney’s Office for the Northern District of California requesting information relating to our compliance with the Trade Agreements Act. This inquiry is ongoing and we are fully cooperating with this inquiry.</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and the time it takes for our sales personnel to reach productivity;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and operating margin, and on the productivity and effectiveness of execution of our sales and marketing teams;</w:t>
      </w:r>
    </w:p>
    <w:p>
      <w:pPr>
        <w:spacing w:after="0" w:line="170"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the accuracy and timing of point-of-sale reporting by our “sell-through” channel partners, which impacts our ability to recognize revenue;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markets;</w:t>
      </w:r>
    </w:p>
    <w:p>
      <w:pPr>
        <w:spacing w:after="0" w:line="225" w:lineRule="exact"/>
        <w:rPr>
          <w:rFonts w:ascii="Arial" w:cs="Arial" w:eastAsia="Arial" w:hAnsi="Arial"/>
          <w:sz w:val="18"/>
          <w:szCs w:val="18"/>
          <w:color w:val="auto"/>
        </w:rPr>
      </w:pPr>
    </w:p>
    <w:p>
      <w:pPr>
        <w:ind w:left="1300" w:right="28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or enhancements by us (including product development pursuant to our non-recurring engineering agreements) or our competitors, or any other change in the competitive landscape of our industry, including consolidation among our competitors, partners or end-customers;</w:t>
      </w:r>
    </w:p>
    <w:p>
      <w:pPr>
        <w:spacing w:after="0" w:line="181"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ind w:left="1300" w:right="40" w:hanging="644"/>
        <w:spacing w:after="0" w:line="31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existing laws and regulations that are applicable to our ability to conduct business with the public sector;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cloud-based platforms on the timing of our revenue recognition, billings and free cash flow;</w:t>
      </w:r>
    </w:p>
    <w:p>
      <w:pPr>
        <w:spacing w:after="0" w:line="225"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260" w:hanging="644"/>
        <w:spacing w:after="0" w:line="308"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31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70" w:lineRule="exact"/>
        <w:rPr>
          <w:rFonts w:ascii="Arial" w:cs="Arial" w:eastAsia="Arial" w:hAnsi="Arial"/>
          <w:sz w:val="18"/>
          <w:szCs w:val="18"/>
          <w:color w:val="auto"/>
        </w:rPr>
      </w:pPr>
    </w:p>
    <w:p>
      <w:pPr>
        <w:ind w:left="1300" w:right="66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policy changes and uncertainty with respect to immigration laws, trade policy, foreign imports and tax laws related to international commerce;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economic and social instability;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25" w:lineRule="exact"/>
        <w:rPr>
          <w:rFonts w:ascii="Arial" w:cs="Arial" w:eastAsia="Arial" w:hAnsi="Arial"/>
          <w:sz w:val="18"/>
          <w:szCs w:val="18"/>
          <w:color w:val="auto"/>
        </w:rPr>
      </w:pPr>
    </w:p>
    <w:p>
      <w:pPr>
        <w:ind w:left="1300" w:right="780" w:hanging="644"/>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future accounting pronouncements or changes in our accounting policies, such as changes in the revenue recognition standards or accounting for leases, as well as the significant costs that may be incurred to adopt and comply with these new pronouncements;</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future expansion plans; and</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and spending environments, weak economic conditions in certain regions or a reduction in information technology spending regardless of macro-economic conditions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and free cash flow growth may slow or may not continue.</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Billings, revenue and free cash flow growth may slow, or we may experience a decrease in billings, revenue and free cash flow for a number of reasons, including a slowdown in demand for our products or services, a shift in demand from products to services, increased competition, a decrease in the growth of our overall market or softness in demand in certain geographies or industry verticals, such as the service provider industry, and our failure for any reason to continue to capitalize on growth opportunities and due to other risks identified in the risk factors described in this periodic report. Our expenses as a percentage of total revenue may be higher than expected if our revenue is lower than expected and, if our investments in sales and marketing and other functional areas do not result in expected billings and revenue growth, we may experience margin declines and may not be able to sustain profitability in future periods if we fail to increase billings, revenue or deferred revenue, do not appropriately manage our cost structure and free cash flow or encounter unanticipated liabilities. Any failure by us to maintain profitability, maintain our margins and continue our billings, revenue and free cash flow growth could cause the price of our common stock to materially decline.</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security subscription and FortiCare technical support services which may decline, and because we recognize revenue from FortiGuard security subscription and FortiCare technical support services over the term of the relevant service period, downturns or upturns in sales of FortiGuard security subscription and FortiCare technical support services are not immediately reflected in full in our operating results.</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FortiGuard security subscription revenue and our FortiCare technical support services revenue have historically accounted for a significant percentage of our total revenue. Revenue from the sale of new, or from the renewal of existing, FortiGuard security subscription and FortiCare technical support services contracts may decline and fluctuate as a result of a number of factors, including fluctuations in purchases of FortiGate appliances,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security subscription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FortiCare technical support services contracts decline, our revenue and revenue growth may decline and our business could suffer. In addition, in the event significant customers require payment terms for FortiGuard security subscription or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three years, and in some instances has been as long as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or years. Consequently, a decline in new or renewed FortiGuard security subscription or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or FortiCare technical support services is not reflected in full in our statements of operations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U.S., and we are therefore subject to a number of risks associated with international sales and operations.</w:t>
      </w:r>
    </w:p>
    <w:p>
      <w:pPr>
        <w:spacing w:after="0" w:line="170"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U.S. headquartered business’ sales in certain countries outside of the U.S.;</w:t>
      </w:r>
    </w:p>
    <w:p>
      <w:pPr>
        <w:spacing w:after="0" w:line="170" w:lineRule="exact"/>
        <w:rPr>
          <w:rFonts w:ascii="Arial" w:cs="Arial" w:eastAsia="Arial" w:hAnsi="Arial"/>
          <w:sz w:val="18"/>
          <w:szCs w:val="18"/>
          <w:color w:val="auto"/>
        </w:rPr>
      </w:pPr>
    </w:p>
    <w:p>
      <w:pPr>
        <w:ind w:left="1300" w:right="40" w:hanging="644"/>
        <w:spacing w:after="0" w:line="308"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costs of complying with U.S. or other foreign laws and regulations for foreign operations, including the U.S. Foreign Corrupt Practices Act, the United Kingdom (“UK”) Bribery Act 2010, import and export control laws, tariffs, trade barriers and economic sanctions;</w:t>
      </w:r>
    </w:p>
    <w:p>
      <w:pPr>
        <w:spacing w:after="0" w:line="146" w:lineRule="exact"/>
        <w:rPr>
          <w:rFonts w:ascii="Arial" w:cs="Arial" w:eastAsia="Arial" w:hAnsi="Arial"/>
          <w:sz w:val="17"/>
          <w:szCs w:val="17"/>
          <w:color w:val="auto"/>
        </w:rPr>
      </w:pPr>
    </w:p>
    <w:p>
      <w:pPr>
        <w:ind w:left="1300" w:right="4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200" w:hanging="644"/>
        <w:spacing w:after="0" w:line="25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for political unrest, changes and uncertainty, and for terrorism, hostilities, war or natural disasters;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tax, employment and other laws.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and medium-sized businesses, service providers and government organizations. While we have increased sales in recent periods to large and medium-sized enterprises and service providers, our sales volume varies by quarter. We also have experienced less traction selling to certain government organizations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88" w:lineRule="exact"/>
        <w:rPr>
          <w:sz w:val="20"/>
          <w:szCs w:val="20"/>
          <w:color w:val="auto"/>
        </w:rPr>
      </w:pPr>
    </w:p>
    <w:p>
      <w:pPr>
        <w:ind w:left="1300" w:right="5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enterprises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700" w:hanging="644"/>
        <w:spacing w:after="0" w:line="308"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unanticipated changes in the capital resources or purchasing behavior of large end-customers, including changes in the volume and frequency of their purchases and changes in the mix of products and services and related payment terms;</w:t>
      </w:r>
    </w:p>
    <w:p>
      <w:pPr>
        <w:spacing w:after="0" w:line="146" w:lineRule="exact"/>
        <w:rPr>
          <w:rFonts w:ascii="Arial" w:cs="Arial" w:eastAsia="Arial" w:hAnsi="Arial"/>
          <w:sz w:val="17"/>
          <w:szCs w:val="17"/>
          <w:color w:val="auto"/>
        </w:rPr>
      </w:pPr>
    </w:p>
    <w:p>
      <w:pPr>
        <w:ind w:left="1300" w:right="8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Large enterprises and medium-sized businesses, service providers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product purchases by large enterprises and medium-sized businesses, service providers and government organizations are frequently subject to budget constraints, multiple approvals and unplanned administrative, processing and other delays. Furthermore, service providers represent our largest industry vertical and consolidation or changes in buying behavior by larger customers within this industry could negatively impact our business. Large enterprises and medium-sized businesses, service providers and government organizations typically have longer implementation cycles, require greater product functionality and scalability, expect a broader range of services, including design services, demand that vendors take on a larger share of risks, require acceptance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provisions that can lead to a delay in revenue recognition and expect greater payment flexibility from vendors. In addition, large enterprises and medium-sized businesses, service providers and government organizations may require that our products and services be sold differently from how we offer our products and services, which could negatively impact our operating results. Our large enterprise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Management of our inventory is further complicated by the significant number of different products and models that we sell which may impact our free cash flow. For example, our inventory levels increased $23.0 million, or 27% from December 31, 2015 to December 31, 2016, impacting our free cash flow. Mismanagement of our inventory, whether due to imprecise forecasting, employee errors or malfeasance, inaccurate information or otherwise, may adversely affect our results of operations.</w:t>
      </w:r>
    </w:p>
    <w:p>
      <w:pPr>
        <w:spacing w:after="0" w:line="18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Inventory management remains an area of focus as we balance the need to maintain inventory levels that are sufficient to ensure competitive lead times against the risk of inventory obsolescence because of rapidly changing technology and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In addition, for those channel partners that have rights of return, inventory held by such channel partners affects our results of operations.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Chairman and Chief Executive Officer, and Michael Xie, our Co-Founder, President and Chief Technology Officer, and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for qualified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divulged proprietary or other confidential information. Changes in immigration laws, including changes to the rules regarding H1-B visas, may also harm our ability to attract personnel from other countries.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in some regions, we may have difficulty adding new end-customers or increasing sales to our existing end-customers and our business may be adversely affected.</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Although we have a channel sales model, members of our sales organization often engage in direct interaction with our prospective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Our ability to grow our revenue depends, in large part, on our success in recruiting, training and retaining sufficient numbers of sales personnel to support our growth and on the effectiveness of those personnel.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For example, we realigned our sales organization in early 2016 and it has taken more time than we expected to ramp up the productivity of our realigned sales organization, which negatively impacted our revenue growth in the third quarter of 2016 in some regions. Furthermore, hiring sales personnel in new countries requires additional setup and upfront costs that we may not recover if the sales personnel fail to achieve full productivity. If our new sales employees do not become fully productive on the timelines that we have projected, our revenue will not increase at anticipated levels and our ability to achieve long 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adversely impact our financial results and the trading price of our common stock.</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sales prices for our products and services may decline for a variety of reasons,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and gross profits at levels that will allow us to maintain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on average over the past eight quarters, our billings during the last two weeks have accounted for 36%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accurately forecast our inventory requirements and to appropriately manage inventory to meet demand, our inability to release new products on schedule, any failure of our systems related to order review and processing, any delays in shipments due to trade compliance requirements, labor disputes or logistics changes at shipping ports or otherwise, our billings and revenue for that quarter could fall below our expectations or those of securities analysts and investors, resulting in a decline in our stock price.</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Increased market awareness of our capabilities and products and increased lead generation are essential to our continued growth and our success in all of our markets, particularly for the large enterprise, service provider and government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if our marketing programs are not successful in continuing to create market awareness of our company and products or increasing lead generation, or if we experience turnover and disruption in our sales and marketing teams, we will not be able to achieve sustained growth, and our business, financial condition and results of operations will be adversely affected.</w:t>
      </w:r>
    </w:p>
    <w:p>
      <w:pPr>
        <w:spacing w:after="0" w:line="18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significant portion of our sales is generated through a limited number of distributors, and substantially all of our revenue is generated through sales by our channel partners, including distributors and resellers. We depend on our channel partners to generate a significant portion of our sales opportunities and to manage our sales process. To the extent our channel partners are unsuccessful in selling our products, or we are unable to enter into arrangements with and retain a sufficient number of high-quality channel partners in each of the regions in which we sell products, or if we are unable to keep them motivated to sell our products, our ability to sell our products and operating results will be harmed. The termination of our relationship with any significant channel partner may adversely impact our sales and operating results.</w:t>
      </w:r>
    </w:p>
    <w:p>
      <w:pPr>
        <w:spacing w:after="0" w:line="19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Our channel partners may also market, sell and support products and services that are competitive with ours, and may devote more resources to the marketing, sales and support of such products.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During the three months ended March 31, 2017, Exclusive Networks Group and Fine Tec Computers, which distributed our solutions to a large group of resellers and end-customers, accounted for 20% and 12% of our total revenue, respectively. During the three months ended March 31, 2016, Exclusive Networks Group accounted for 19% of our total revenue.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the misuse of our products could harm our reputation and divert resources.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or cause them to fail to help secure networks. Different customers deploy and use our products in different ways, and certain deployments and usages may subject our products to adverse conditions that may negatively impact the effectiveness and useful lifetime of our products.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updates or our FortiGate appliances could result in a failure of our FortiGuard security subscription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failure, downtime or failures in general may temporarily or permanently expose our end-customers’ networks, leaving their networks unprotected against the latest security threats.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92" w:lineRule="exact"/>
        <w:rPr>
          <w:sz w:val="20"/>
          <w:szCs w:val="20"/>
          <w:color w:val="auto"/>
        </w:rPr>
      </w:pPr>
    </w:p>
    <w:p>
      <w:pPr>
        <w:ind w:left="1300" w:right="3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Our business and operations have experienced growth, and if we do not appropriately manage any future growth, including through the expansion of our real estate holdings, or are unable to improve our systems and processes, our operating results will be negatively affected.</w:t>
      </w:r>
    </w:p>
    <w:p>
      <w:pPr>
        <w:spacing w:after="0" w:line="160" w:lineRule="exact"/>
        <w:rPr>
          <w:sz w:val="20"/>
          <w:szCs w:val="20"/>
          <w:color w:val="auto"/>
        </w:rPr>
      </w:pPr>
    </w:p>
    <w:p>
      <w:pPr>
        <w:ind w:right="40" w:firstLine="648"/>
        <w:spacing w:after="0" w:line="288" w:lineRule="auto"/>
        <w:rPr>
          <w:sz w:val="20"/>
          <w:szCs w:val="20"/>
          <w:color w:val="auto"/>
        </w:rPr>
      </w:pPr>
      <w:r>
        <w:rPr>
          <w:rFonts w:ascii="Arial" w:cs="Arial" w:eastAsia="Arial" w:hAnsi="Arial"/>
          <w:sz w:val="17"/>
          <w:szCs w:val="17"/>
          <w:color w:val="auto"/>
        </w:rPr>
        <w:t>Our business has grown over the last several years. We rely heavily on information technology and accounting systems to help manage critical functions such as order processing, revenue recognition, financial forecasts, inventory and supply chain management and trade compliance reviews. Certain of these systems were developed by us for our internal use and, as such, may have a higher risk of failure or not receive the same level of support as systems purchased from and supported by external technology companies.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Combined with the fact that we may receive a large amount of our orders in the last few weeks of any given quarter, a significant interruption in our email service or other systems could result in delayed order fulfillment and decreased billings and revenue for that quarter.</w:t>
      </w:r>
    </w:p>
    <w:p>
      <w:pPr>
        <w:spacing w:after="0" w:line="163"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To manage any future growth effectively, we must continue to improve and expand our information technology and financial, operating and administrative systems and controls, and continue to manage headcount, capital and processes in an efficient manner. We may not be able to successfully implement requisite improvements to these systems, controls and processes, such as system capacity, access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systems and processes may not prevent or detect all errors, omissions or fraud.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8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Further, it may be necessary to expand our real estate holdings to meet our projected growth need for office space. In March 2017 and April 2017, we purchased office buildings in Ottawa and Vancouver, Canada, respectively, and we 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considering plans to significantly expand our headquarters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and, with respect to our potential expansion plans in California, risks related to construction. Future changes in growth or fluctuations in cash flow may also negatively impact our ability to pay for these projects. Additionally, inaccuracies in our projected capital expenditures could negatively impact our business, operating results and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enterprise resource planning (“ERP”) system.</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July 2016, we implemented a new ERP system. The ERP system is critical to our ability to provide important information to our management, obtain and deliver products, provide services and customer support, send invoices and track payments, fulfill contractual obligations, accurately maintain books and records, provide accurate, timely and reliable reports on our financial and operating results and otherwise operate our business. ERP system implementations also require transformation of business and financial processes in order to reap the benefits of the ERP system; any such transformation involves risks inherent in the conversion to a new computer system, including potential disruption to our normal operations. The implementation and maintenance of the new ERP system has required, and will continue to require, the investment of significant financial and human resources. In addition, we may choose to upgrade or expand the functionality of our ERP system, leading to additional costs. We may also discover deficiencies in our design or implementation or maintenance of the new ERP system that could adversely affect our ability to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the system does not operate as intended, the effectiveness of our internal control over financial reporting could be adversely affected or our ability to assess it adequately could be delayed. Further, to the extent our systems require upgrades to enable us to comply with new revenue recognition standards, our operating results may be adversely affected if these upgrades are delayed or if the upgraded systems do not function as intended or is not sufficient to meet with our revenue recognition requirements.</w:t>
      </w:r>
    </w:p>
    <w:p>
      <w:pPr>
        <w:spacing w:after="0" w:line="17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and sales return reserves, stock-based compensation expense, valuation of inventory, investments, accounting for business combination, goodwill and other long-lived assets, restructuring, accounting for income taxes and litigation and settlement costs.</w:t>
      </w:r>
    </w:p>
    <w:p>
      <w:pPr>
        <w:spacing w:after="0" w:line="16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outsource the manufacturing of our security appliance products to contract manufacturing partners and original design manufacturing partners including Micro-Star International Co., Ltd., Wistron Corporation, FlexLtd., Senao Networks, Inc., ADLINK Technology, Inc. and a number of Taiwan-based manufacturers. Our reliance on our third-party manufacturers in Asia and elsewhere reduces our control over the manufacturing process, exposing us to risks, including reduced control over quality assurance and product costs,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9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proprietary SPU, which is the key to the performance of our appliances, are built by contract manufacturers including Faraday Technology Corporation, Kawasaki Microelectronics America, Inc. and Renesas Electronics Corporation. These contract manufacturers use foundries operated by United Microelectronics Corporation (“UMC”) and Taiwan Semiconductor Manufacturing Company Limited (“TSMC”) on a purchase order basis, and UMC and TSMC do not guarantee any capacity and could reject orders or could try to increase pricing. Accordingly, the foundries are not obligated to continue to fulfill our supply requirements, and due to the long lead time that a new foundry would require, we could suffer temporary or long term inventory shortages of our SPU as well as increased costs.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Although the SEC has recently provided guidance with respect to a portion of the conflict minerals filing requirements that will somewhat reduce the reporting required, we have incurred and expect to incur additional costs to comply with the rules, including costs related to the determination of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There can be no assurance that we will be able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w:t>
      </w:r>
    </w:p>
    <w:p>
      <w:pPr>
        <w:spacing w:after="0" w:line="16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CPUs from Intel Corporation (“Intel”), network chips from Broadcom Corporation, Marvell Technology Group Ltd. and Intel, and memory devices from Intel, ADATA Technology Co., Ltd., Samsung Electronics Co., Ltd. and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69"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 significant portion of our operating expenses are incurred outside the U.S. These expenses are denominated in foreign currencies and are subject to fluctuations due to changes in foreign currency exchange rates, particularly changes in the Euro and Canadian dollar and, to a lesser extent, the British pound. Additionally, fluctuations in the exchange rate of the Canadian dollar may negatively impact our real estate purchase and development plans in Vancouver and Ottawa.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U.S., which may also adversely affect our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product safety, product labeling, environmental laws, consumer protection laws, anti-bribery laws, import and export controls, federal securities laws and tax laws and regulations. In certain jurisdictions, these regulatory requirements may be more stringent than in the U.S.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Selling our solutions to the U.S. government, whether directly or through channel partners, also subjects us to certain regulatory and contractual requirements. Failure to comply with these requirements by either us or our channel partners could subject us to investigations, fines, other penalties and damages, which could have an adverse effect on our business, operating results, financial condition and prospects. As an example, the U.S. Department of Justice (the “DOJ”), on its own behalf or on behalf of the General Services Administration (the “GSA”), as well as individuals, has in the past pursued claims against, reached financial settlements with or otherwise obtained damages from companies that sell electronic equipment and from IT vendors under the False Claims Act and other statutes related to pricing, discount practices and compliance with laws related to sales to the federal government, such as the Trade Agreements Act. The DOJ continues to actively pursue such claims. Violations of certain regulatory and contractual requirements could also result in us being suspended or debarred from future government contracting. Any of these outcomes could have an adverse effect on our revenue, operating results, financial condition and prospects.</w:t>
      </w:r>
    </w:p>
    <w:p>
      <w:pPr>
        <w:spacing w:after="0" w:line="18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have an adverse effect on our business and operating results.</w:t>
      </w:r>
    </w:p>
    <w:p>
      <w:pPr>
        <w:spacing w:after="0" w:line="15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could impair our ability to compete in international markets.</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U.S. only with the required export license or through an export license exception, and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example,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7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limitation on our ability to export or sell our products would likely adversely affect our business, financial condition and results of operations.</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Efforts to withdraw from or materially modify NAFTA or other international trade agreements, to change tax provisions related to global manufacturing and sales or to impose new tariffs, economic sanctions or related legislation, any of which could our adversely affect our financial condition and results of operations.</w:t>
      </w:r>
    </w:p>
    <w:p>
      <w:pPr>
        <w:spacing w:after="0" w:line="27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business benefits from free trade agreements, such as the North American Free Trade Agreement (“NAFTA”), and we also rely on various U.S. corporate tax provisions related to international commerce, as we develop, market and sell our products and services globally. Efforts to withdraw from or materially modify NAFTA or other international trade agreements, or to change corporate tax policy related to international commerce, could adversely affect our financial condition and results of operations as could the continuing uncertainty regarding whether such actions will be taken. Moreover, efforts to implement changes related to export or import regulations (including the imposition of new border taxes or tariffs on foreign imports), economic sanctions or related policies. 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U.S., and we are, or may in the future be, subject to these laws and regulations.</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an exemption for lead in network infrastructure equipment. It is possible this exemption will be revoked in the near future. Additionally, though we have filed for an extension, it is possible that this exemption may expire in the near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82"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time consuming, often requiring significant upfront time and expense, with long sales cycles and without any assurance of winning a sale.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General Services Administration regulations.</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 government may require certain products to be manufactured in the U.S. and other high cost manufacturing locations, and we may not manufacture all products in locations that meet the requirements of the U.S. government.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internal network system or our website is compromised, public perception of our products and services will be harmed, we may become subject to liability, and our business, operating results and stock price may be adversely impacted.</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success depends on the market’s confidence in our ability to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and third parties may attempt to fraudulently induce our employees to transfer funds or disclose information in order to gain access to our network and confidential information. We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cannot guarantee that the measures we have taken to protect our network and website will provide absolute security. Moreover, because we provide network security products, we may be a more attractive target for attacks by computer hackers. Although we have not yet experienced significant damages from unauthorized access by a third party of our internal network or website, an actual or perceived breach of network security occurs in our internal systems or website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18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 organization end-customers require higher levels of support than smaller end-customers because of their more complex deployments. If we, our channel partners or other third parties fail to meet the requirements of our larger end-customers, it may be more difficult to execute on our strategy to increase our penetration with large enterprises, service providers and government organizations. As a result, our failure to maintain high quality support services would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We are subject to taxes in the U.S. and numerous foreign jurisdictions, where a number of our subsidiaries are organized. Our provision for income taxes is subject to volatility and could be adversely affected by several factors, many of which are outside of our control, including:</w:t>
      </w:r>
    </w:p>
    <w:p>
      <w:pPr>
        <w:spacing w:after="0" w:line="147" w:lineRule="exact"/>
        <w:rPr>
          <w:sz w:val="20"/>
          <w:szCs w:val="20"/>
          <w:color w:val="auto"/>
        </w:rPr>
      </w:pPr>
    </w:p>
    <w:p>
      <w:pPr>
        <w:ind w:left="1300" w:right="3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court decisions, tax rulings and interpretations of tax laws, and regulations by international, federal or local governmental authorities; or</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2" w:right="27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10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U.S. to the taxation of earnings of our foreign subsidiaries,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Significant judgment is required to determine the recognition and measurement attribute prescribed in the Financial Accounting Standards Board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Internal Revenue Service (the “IRS”) and other tax authorities. Tax authorities in France are currently examining the inter-company relationship between Fortinet, Inc., Fortinet France and Fortinet Singapore. Subsequent to the three months ended March 31, 2017, we received a notice from the French tax authorities that an audit was officially opened for tax years from 2007 to 2015. We regularly assess the likelihood of adverse outcomes resulting from such examinations to determine the adequacy of our provision for income taxes.</w:t>
      </w:r>
    </w:p>
    <w:p>
      <w:pPr>
        <w:spacing w:after="0" w:line="18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Organisation for Economic Co-operation and Development (the “OECD”), an international association comprised of 34 countries, including the U.S., has been working on a Base Erosion and Profit Sharing Project. As part of this project, the OECD issued in 2015, and is expected to continue to issue, guidelines and proposals that may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7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addition, we are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remain competitive, we may seek to acquire additional businesses, products, technologies or intellectual property, such as patents. For example, we closed our acquisitions of Meru and AccelOps in the third quarter of 2015 and the second quarter of 2016, respectively. For any past acquisition or possible future acquisition, we may not be successful in negotiating the terms of the acquisition, financing the acquisition, or effectively integrating the acquired business, product, technology or intellectual property and sales force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an acquired company’s ERP system, sales support and other processes and systems, with our current systems and processes.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Although we generally have limitation of liability provisions in our standard terms and conditions of sale, they may not fully or effectively protect us from claims as a result of federal, state or local laws or ordinances or unfavorable judicial decisions in the U.S.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70"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A significant natural disaster, such as an earthquake, fire, power outage, flood or other catastrophic event could have a material adverse impact on our business, operating results and financial condition. Our corporate headquarters are located in the San Francisco Bay Area, a region known for seismic activity, and our research and development and data office center in Vancouver, Canada is subject to the risk of flooding and is also in a region known for seismic activity. In addition, natural disasters could affect our manufacturing vendors, suppliers or logistics providers’ ability to perform services, such as obtaining product components and manufacturing products, or assisting with shipments, on a timely basis, as well as our customers’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ability to order from us and our employees’ ability to perform their duties.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delays or cancellations of customer orders, or in the delay of the manufacture, deployment or shipment of our products, our business, financial condition and results of operations would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Moreover, business models based on software-as-a-service (“SaaS”) and infrastructure-as-a-service (“Iaas”), both of which are hosted or cloud-based services, have become increasingly in-demand by our end-customers and adopted by other providers, including our competitors. While part of our platform is cloud-based, most of our platform is currently deployed on premise, and therefore, if customers demand that our platform be provided through a SaaS or IaaS business model, we would be required to make additional investments in our infrastructure and personnel to be able to more fully provide our platform through a SaaS or IaaS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and IaaS business models and the future demand for such models by customers. Additionally, if we are unable to meet the demand to provide our services through a SaaS or IaaS model, we may lose customers to competitors.</w:t>
      </w:r>
    </w:p>
    <w:p>
      <w:pPr>
        <w:spacing w:after="0" w:line="1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4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spend substantial amounts of time and money to research and develop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Sales of many of our products depend on increased demand for incorporating broad security functionality in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enterprise,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market for network security products is intensely competitive and we expect competition to intensify in the future. Our competitors include companies such as Check Point Software Technologies Ltd., Cisco Systems, Inc. (“Cisco”), F5 Networks, Inc. (“F5 Networks”) FireEye, Inc., Intel, Juniper Networks, Inc. (“Juniper”), Palo Alto Networks, Inc., SonicWALL, Inc., Sophos Group Plc and Symantec Corporation.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competitors and potential competitors may also be able to develop products or services that are equal or superior to ours, achieve greater market acceptance of their products and services, and increase sales by utilizing different distribution channels than we do. Our current and potential competitors may also establish cooperative relationships among themselves or with third parties that may further enhance their resources. In addition, current or potential competitors may be acquired by third parties with greater available resources, and new competitors may arise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U.S., and many foreign countries do not enforce these laws as diligently as government agencies and private parties in the U.S.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2" w:right="27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may find ourselves at a competitive disadvantage to others who need not incur the additional expense, time and effort required to create the innovative products that have enabled us to be successful to date.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have also asserted such claims against our end-customers or channel partners whom we may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several ongoing patent lawsuits, several non-practicing entity patent holding companies have sent us letters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2" w:right="27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2016, our internal controls over financial reporting were effective, we cannot predict the outcome of our testing in 2017 or future periods. We may incur additional expenses and commitment of management’s time in connection with further evaluations, both of which could materially increase our operating expenses and accordingly reduce our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such as changes to standards related to revenue recognition (which are effective for us beginning on January 1, 2018) and accounting for leases, as well as the significant costs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5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announcements regarding any stock repurchase programs and the timing and amount of shares we purchase under such programs. For example, during the three months ended March 31, 2017, the closing price of our common stock ranged from $30.12 to $38.35 per share.</w:t>
      </w:r>
    </w:p>
    <w:p>
      <w:pPr>
        <w:spacing w:after="0" w:line="170" w:lineRule="exact"/>
        <w:rPr>
          <w:sz w:val="20"/>
          <w:szCs w:val="20"/>
          <w:color w:val="auto"/>
        </w:rPr>
      </w:pPr>
    </w:p>
    <w:p>
      <w:pPr>
        <w:ind w:firstLine="531"/>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Repurchase Program</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During the three months ended March 31, 2017, there were no shares repurchased under the 2016 Repurchase Program. As of March 31, 2017, $189.2 million remained available for future share repurchases under the 2016 Repurchase Program.</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122" w:right="3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 2017</w:t>
      </w: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280" w:val="left"/>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6720" w:val="left"/>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Andrew Del Matto, Chief Financial Officer</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Financial Officer)</w:t>
      </w: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120" w:val="left"/>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Keith Jensen, Chief Accounting Officer</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122" w:right="47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60"/>
          </w:cols>
          <w:pgMar w:left="240" w:top="122" w:right="39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31.1*</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31.2*</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32.1*</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101.SCH*</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101.CAL*</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101.PRE*</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101.DEF*</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101.LAB*</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101.INS*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Certification of Chief Executive Officer pursuant to Exchange Act Rules 13a-14(a) and 15d-14(a), as adopted pursuant to Section 302 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Certification of Chief Financial Officer pursuant to Exchange Act Rules 13a-14(a) and 15d-14(a), as adopted pursuant to Section 302 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Certifications of Chief Executive Officer and Chief Financial Officer pursuant to 18 U.S.C. Section 1350, as adopted pursuant to Section 906 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 Document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Calculation Linkbase Document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Presentation Linkbase Document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Definition Linkbase Document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Label Linkbase Document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200" w:lineRule="exact"/>
        <w:rPr>
          <w:sz w:val="20"/>
          <w:szCs w:val="20"/>
          <w:color w:val="auto"/>
        </w:rPr>
      </w:pPr>
    </w:p>
    <w:p>
      <w:pPr>
        <w:sectPr>
          <w:pgSz w:w="11900" w:h="16838" w:orient="portrait"/>
          <w:cols w:equalWidth="0" w:num="2">
            <w:col w:w="640" w:space="440"/>
            <w:col w:w="10180"/>
          </w:cols>
          <w:pgMar w:left="240" w:top="122" w:right="39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341"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18"/>
          <w:szCs w:val="18"/>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60"/>
          </w:cols>
          <w:pgMar w:left="240" w:top="122" w:right="39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Del Matto, certify that:</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Andrew Del Matto</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March 31, 2017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40"/>
              <w:spacing w:after="0"/>
              <w:rPr>
                <w:sz w:val="20"/>
                <w:szCs w:val="20"/>
                <w:color w:val="auto"/>
              </w:rPr>
            </w:pPr>
            <w:r>
              <w:rPr>
                <w:rFonts w:ascii="Arial" w:cs="Arial" w:eastAsia="Arial" w:hAnsi="Arial"/>
                <w:sz w:val="18"/>
                <w:szCs w:val="18"/>
                <w:color w:val="auto"/>
              </w:rPr>
              <w:t>May 2, 2017</w:t>
            </w:r>
          </w:p>
        </w:tc>
        <w:tc>
          <w:tcPr>
            <w:tcW w:w="2880" w:type="dxa"/>
            <w:vAlign w:val="bottom"/>
          </w:tcPr>
          <w:p>
            <w:pPr>
              <w:ind w:left="22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 Andrew Del Matto, certify, pursuant to 18 U.S.C. Section 1350, as adopted pursuant to Section 906 of the Sarbanes-Oxley Act of 2002, that the Quarterly Report on Form 10-Q of Fortinet, Inc. for the quarter ended March 31, 2017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Andrew Del Matto</w:t>
            </w:r>
          </w:p>
        </w:tc>
      </w:tr>
      <w:tr>
        <w:trPr>
          <w:trHeight w:val="27"/>
        </w:trPr>
        <w:tc>
          <w:tcPr>
            <w:tcW w:w="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40"/>
              <w:spacing w:after="0"/>
              <w:rPr>
                <w:sz w:val="20"/>
                <w:szCs w:val="20"/>
                <w:color w:val="auto"/>
              </w:rPr>
            </w:pPr>
            <w:r>
              <w:rPr>
                <w:rFonts w:ascii="Arial" w:cs="Arial" w:eastAsia="Arial" w:hAnsi="Arial"/>
                <w:sz w:val="18"/>
                <w:szCs w:val="18"/>
                <w:color w:val="auto"/>
              </w:rPr>
              <w:t>May 2, 2017</w:t>
            </w:r>
          </w:p>
        </w:tc>
        <w:tc>
          <w:tcPr>
            <w:tcW w:w="2880" w:type="dxa"/>
            <w:vAlign w:val="bottom"/>
          </w:tcPr>
          <w:p>
            <w:pPr>
              <w:ind w:left="22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Andrew Del Matto</w:t>
            </w:r>
          </w:p>
        </w:tc>
      </w:tr>
      <w:tr>
        <w:trPr>
          <w:trHeight w:val="256"/>
        </w:trPr>
        <w:tc>
          <w:tcPr>
            <w:tcW w:w="5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2019-12-29T07:10:10Z</dcterms:created>
  <dcterms:modified xsi:type="dcterms:W3CDTF">2019-12-29T07:10:10Z</dcterms:modified>
</cp:coreProperties>
</file>