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2"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4"/>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7"/>
        </w:trPr>
        <w:tc>
          <w:tcPr>
            <w:tcW w:w="7300" w:type="dxa"/>
            <w:vAlign w:val="bottom"/>
            <w:gridSpan w:val="4"/>
          </w:tcPr>
          <w:p>
            <w:pPr>
              <w:jc w:val="center"/>
              <w:ind w:left="3471"/>
              <w:spacing w:after="0"/>
              <w:rPr>
                <w:sz w:val="20"/>
                <w:szCs w:val="20"/>
                <w:color w:val="auto"/>
              </w:rPr>
            </w:pPr>
            <w:r>
              <w:rPr>
                <w:rFonts w:ascii="Arial" w:cs="Arial" w:eastAsia="Arial" w:hAnsi="Arial"/>
                <w:sz w:val="18"/>
                <w:szCs w:val="18"/>
                <w:color w:val="auto"/>
                <w:w w:val="89"/>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6520" w:type="dxa"/>
            <w:vAlign w:val="bottom"/>
            <w:gridSpan w:val="2"/>
          </w:tcPr>
          <w:p>
            <w:pPr>
              <w:jc w:val="center"/>
              <w:ind w:left="4291"/>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7300" w:type="dxa"/>
            <w:vAlign w:val="bottom"/>
            <w:gridSpan w:val="4"/>
          </w:tcPr>
          <w:p>
            <w:pPr>
              <w:jc w:val="center"/>
              <w:ind w:left="3491"/>
              <w:spacing w:after="0"/>
              <w:rPr>
                <w:sz w:val="20"/>
                <w:szCs w:val="20"/>
                <w:color w:val="auto"/>
              </w:rPr>
            </w:pPr>
            <w:r>
              <w:rPr>
                <w:rFonts w:ascii="Arial" w:cs="Arial" w:eastAsia="Arial" w:hAnsi="Arial"/>
                <w:sz w:val="16"/>
                <w:szCs w:val="16"/>
                <w:color w:val="auto"/>
                <w:w w:val="91"/>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87"/>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3"/>
        </w:trPr>
        <w:tc>
          <w:tcPr>
            <w:tcW w:w="652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(State or other jurisdiction of</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6"/>
              </w:rPr>
              <w:t>(I.R.S. Employer</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0"/>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3"/>
        </w:trPr>
        <w:tc>
          <w:tcPr>
            <w:tcW w:w="65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3"/>
              </w:rPr>
              <w:t>899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Sunnyvale, California</w:t>
            </w:r>
          </w:p>
        </w:tc>
        <w:tc>
          <w:tcPr>
            <w:tcW w:w="2100" w:type="dxa"/>
            <w:vAlign w:val="bottom"/>
            <w:gridSpan w:val="3"/>
          </w:tcPr>
          <w:p>
            <w:pPr>
              <w:jc w:val="right"/>
              <w:ind w:right="17"/>
              <w:spacing w:after="0"/>
              <w:rPr>
                <w:sz w:val="20"/>
                <w:szCs w:val="20"/>
                <w:color w:val="auto"/>
              </w:rPr>
            </w:pPr>
            <w:r>
              <w:rPr>
                <w:rFonts w:ascii="Arial" w:cs="Arial" w:eastAsia="Arial" w:hAnsi="Arial"/>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5"/>
        </w:trPr>
        <w:tc>
          <w:tcPr>
            <w:tcW w:w="6520" w:type="dxa"/>
            <w:vAlign w:val="bottom"/>
            <w:gridSpan w:val="2"/>
          </w:tcPr>
          <w:p>
            <w:pPr>
              <w:jc w:val="center"/>
              <w:ind w:left="4271"/>
              <w:spacing w:after="0"/>
              <w:rPr>
                <w:sz w:val="20"/>
                <w:szCs w:val="20"/>
                <w:color w:val="auto"/>
              </w:rPr>
            </w:pPr>
            <w:r>
              <w:rPr>
                <w:rFonts w:ascii="Arial" w:cs="Arial" w:eastAsia="Arial" w:hAnsi="Arial"/>
                <w:sz w:val="18"/>
                <w:szCs w:val="18"/>
                <w:b w:val="1"/>
                <w:bCs w:val="1"/>
                <w:color w:val="auto"/>
                <w:w w:val="90"/>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88"/>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420" w:type="dxa"/>
            <w:vAlign w:val="bottom"/>
          </w:tcPr>
          <w:p>
            <w:pPr>
              <w:ind w:left="14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rPr>
                <w:sz w:val="20"/>
                <w:szCs w:val="20"/>
                <w:color w:val="auto"/>
              </w:rPr>
            </w:pPr>
            <w:r>
              <w:rPr>
                <w:rFonts w:ascii="Arial" w:cs="Arial" w:eastAsia="Arial" w:hAnsi="Arial"/>
                <w:sz w:val="18"/>
                <w:szCs w:val="18"/>
                <w:color w:val="auto"/>
              </w:rPr>
              <w:t>o</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o No</w:t>
            </w:r>
          </w:p>
        </w:tc>
        <w:tc>
          <w:tcPr>
            <w:tcW w:w="500" w:type="dxa"/>
            <w:vAlign w:val="bottom"/>
          </w:tcPr>
          <w:p>
            <w:pPr>
              <w:ind w:left="6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0300"/>
          </w:cols>
          <w:pgMar w:left="240" w:top="229" w:right="13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27"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x</w:t>
            </w:r>
          </w:p>
        </w:tc>
        <w:tc>
          <w:tcPr>
            <w:tcW w:w="502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o</w:t>
            </w:r>
          </w:p>
        </w:tc>
        <w:tc>
          <w:tcPr>
            <w:tcW w:w="502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pacing w:after="0" w:line="175"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0"/>
          <w:szCs w:val="20"/>
          <w:color w:val="auto"/>
        </w:rPr>
      </w:pPr>
    </w:p>
    <w:p>
      <w:pPr>
        <w:ind w:left="280"/>
        <w:spacing w:after="0"/>
        <w:tabs>
          <w:tab w:leader="none" w:pos="7860" w:val="left"/>
          <w:tab w:leader="none" w:pos="8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tab/>
        <w:t>No x</w:t>
      </w:r>
    </w:p>
    <w:p>
      <w:pPr>
        <w:spacing w:after="0" w:line="17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29, 2018, the last business day of the registrant’s most recently completed second quarter, was $7,073,006,351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40"/>
        <w:spacing w:after="0" w:line="438" w:lineRule="auto"/>
        <w:rPr>
          <w:sz w:val="20"/>
          <w:szCs w:val="20"/>
          <w:color w:val="auto"/>
        </w:rPr>
      </w:pPr>
      <w:r>
        <w:rPr>
          <w:rFonts w:ascii="Arial" w:cs="Arial" w:eastAsia="Arial" w:hAnsi="Arial"/>
          <w:sz w:val="18"/>
          <w:szCs w:val="18"/>
          <w:color w:val="auto"/>
        </w:rPr>
        <w:t>As of February 22, 2019, there were 170,633,671 shares of the registrant’s common stock outstanding. DOCUMENTS INCORPORATED BY REFERENCE</w:t>
      </w:r>
    </w:p>
    <w:p>
      <w:pPr>
        <w:spacing w:after="0" w:line="1" w:lineRule="exact"/>
        <w:rPr>
          <w:sz w:val="20"/>
          <w:szCs w:val="20"/>
          <w:color w:val="auto"/>
        </w:rPr>
      </w:pPr>
    </w:p>
    <w:p>
      <w:pPr>
        <w:jc w:val="both"/>
        <w:ind w:right="20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2019 Annual Meeting of Stockholders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5"/>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40" w:type="dxa"/>
            <w:vAlign w:val="bottom"/>
            <w:gridSpan w:val="20"/>
          </w:tcPr>
          <w:p>
            <w:pPr>
              <w:spacing w:after="0"/>
              <w:rPr>
                <w:sz w:val="24"/>
                <w:szCs w:val="24"/>
                <w:color w:val="auto"/>
              </w:rPr>
            </w:pPr>
          </w:p>
        </w:tc>
        <w:tc>
          <w:tcPr>
            <w:tcW w:w="5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880" w:type="dxa"/>
            <w:vAlign w:val="bottom"/>
            <w:gridSpan w:val="17"/>
          </w:tcPr>
          <w:p>
            <w:pPr>
              <w:spacing w:after="0"/>
              <w:rPr>
                <w:sz w:val="21"/>
                <w:szCs w:val="21"/>
                <w:color w:val="auto"/>
              </w:rPr>
            </w:pPr>
          </w:p>
        </w:tc>
        <w:tc>
          <w:tcPr>
            <w:tcW w:w="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328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802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Exhibits, Financial Statement Schedules</w:t>
              </w:r>
            </w:hyperlink>
          </w:p>
        </w:tc>
        <w:tc>
          <w:tcPr>
            <w:tcW w:w="68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Exhibit Index</w:t>
              </w:r>
            </w:hyperlink>
          </w:p>
        </w:tc>
        <w:tc>
          <w:tcPr>
            <w:tcW w:w="8800" w:type="dxa"/>
            <w:vAlign w:val="bottom"/>
            <w:gridSpan w:val="1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3">
              <w:r>
                <w:rPr>
                  <w:rFonts w:ascii="Arial" w:cs="Arial" w:eastAsia="Arial" w:hAnsi="Arial"/>
                  <w:sz w:val="18"/>
                  <w:szCs w:val="18"/>
                  <w:color w:val="0000EE"/>
                  <w:w w:val="85"/>
                </w:rPr>
                <w:t>Signatures</w:t>
              </w:r>
            </w:hyperlink>
          </w:p>
        </w:tc>
        <w:tc>
          <w:tcPr>
            <w:tcW w:w="902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Fortinet is a global leader in cybersecurity solutions provided to a wide variety of businesses, such as enterprises, communication service providers and small businesses. Our cybersecurity solutions are designed to provide broad visibility and segmentation of the digital attack surface through our integrated Security Fabric platform, which features automated protection, detection and responses.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100" w:hanging="328"/>
        <w:spacing w:after="0" w:line="253"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Network Security</w:t>
      </w:r>
      <w:r>
        <w:rPr>
          <w:rFonts w:ascii="Arial" w:cs="Arial" w:eastAsia="Arial" w:hAnsi="Arial"/>
          <w:sz w:val="18"/>
          <w:szCs w:val="18"/>
          <w:color w:val="auto"/>
        </w:rPr>
        <w:t>—We derive a majority of product sales from our FortiGate network security appliances. Our FortiGate network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appliances include a broad set of built-in security and networking features and functionalities, including firewall, software-defined wide-area network (“SD-WAN”), secure sockets layer (“SSL”) data leak prevention, virtual private network (“VPN”), switch and wireless controller and wide area network (“WAN”) acceleration. Our network security appliances include our FortiOS operating system, which provides the foundation for FortiGate security functions, and FortiASIC integrated circuit, which is designed to accelerate the processing of security and networking functions. Our customers may also purchase FortiGuard subscription services to receive threat intelligence updates. We provide standard technical support across all of our products through our FortiCare support services. We also offer services to end-customers including Technical Account Managers (“TAMs”), Resident Engineers (“REs”) and professional service consultants for implementations, as well as training services to our end-customers and channel partners.</w:t>
      </w:r>
    </w:p>
    <w:p>
      <w:pPr>
        <w:spacing w:after="0" w:line="197" w:lineRule="exact"/>
        <w:rPr>
          <w:rFonts w:ascii="Arial" w:cs="Arial" w:eastAsia="Arial" w:hAnsi="Arial"/>
          <w:sz w:val="18"/>
          <w:szCs w:val="18"/>
          <w:b w:val="1"/>
          <w:bCs w:val="1"/>
          <w:i w:val="1"/>
          <w:iCs w:val="1"/>
          <w:color w:val="auto"/>
        </w:rPr>
      </w:pPr>
    </w:p>
    <w:p>
      <w:pPr>
        <w:ind w:left="660" w:right="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Fortinet Security Fabric</w:t>
      </w:r>
      <w:r>
        <w:rPr>
          <w:rFonts w:ascii="Arial" w:cs="Arial" w:eastAsia="Arial" w:hAnsi="Arial"/>
          <w:sz w:val="16"/>
          <w:szCs w:val="16"/>
          <w:color w:val="auto"/>
        </w:rPr>
        <w:t>—The Fortinet Security Fabric platform is an architectural approach that protects the entire digital attack surface,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core, endpoints, applications, data centers and private and public cloud. Together with our network of Fabric-Ready Partners, the Fortinet Security Fabric platform enables disparate security devices to work together as an integrated, automated and collaborative solution.</w:t>
      </w:r>
    </w:p>
    <w:p>
      <w:pPr>
        <w:spacing w:after="0" w:line="146" w:lineRule="exact"/>
        <w:rPr>
          <w:rFonts w:ascii="Arial" w:cs="Arial" w:eastAsia="Arial" w:hAnsi="Arial"/>
          <w:sz w:val="16"/>
          <w:szCs w:val="16"/>
          <w:color w:val="auto"/>
        </w:rPr>
      </w:pPr>
    </w:p>
    <w:p>
      <w:pPr>
        <w:ind w:left="660" w:right="4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cloud environments by offering security through our virtual firewall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software products in public and private cloud environments. Our Cloud Security solutions, including our Client Access Security Broker Solution, FortiCASB, extend the core capabilities of the Fortinet Security Fabric platform to provide businesses with the same level of cybersecurity and threat intelligence in cloud environments that they receive on their physical networks. Fortinet cloud security offerings are available across all major cloud providers, including Amazon Web Services, Microsoft Azure, Google Cloud, Oracle Cloud and IBM Cloud.</w:t>
      </w:r>
    </w:p>
    <w:p>
      <w:pPr>
        <w:spacing w:after="0" w:line="172" w:lineRule="exact"/>
        <w:rPr>
          <w:rFonts w:ascii="Arial" w:cs="Arial" w:eastAsia="Arial" w:hAnsi="Arial"/>
          <w:sz w:val="17"/>
          <w:szCs w:val="17"/>
          <w:color w:val="auto"/>
        </w:rPr>
      </w:pPr>
    </w:p>
    <w:p>
      <w:pPr>
        <w:jc w:val="both"/>
        <w:ind w:left="660" w:right="1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and Operational Technology</w:t>
      </w:r>
      <w:r>
        <w:rPr>
          <w:rFonts w:ascii="Arial" w:cs="Arial" w:eastAsia="Arial" w:hAnsi="Arial"/>
          <w:sz w:val="18"/>
          <w:szCs w:val="18"/>
          <w:color w:val="auto"/>
        </w:rPr>
        <w:t>—The proliferation of Internet of Things (“IoT”) and Operational Technology (“OT”) devices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new opportunities for us to grow our business. IoT and OT have created an environment where data move freely between devices across locations, network environments, remote offices, mobile workers and public cloud environments, making the data difficult to consistently track and secure.</w:t>
      </w:r>
    </w:p>
    <w:p>
      <w:pPr>
        <w:spacing w:after="0" w:line="18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During our year ended December 31, 2018, we generated total revenue of $1.80 billion and net income of $332.2 million. See Part II, Item 8 of this Annual Report on Form 10-K for more information on our consolidated balance sheets as of December 31, 2018 and 2017 and our consolidated statements of income, comprehensive income, stockholders’ equity, and cash flows for each of the three years ended December 31, 2018, 2017 and 2016.</w:t>
      </w:r>
    </w:p>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proprietary Security Processing Unit (“SPU”) hardware architecture, FortiOS operating system and associated security and networking functions are combined to form the Fortinet Security Fabric platform. This approach to security ties together discrete security solutions into an integrated whole, which enables our products to perform security processing for networks with high throughput requirements across a broad threat landscape.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SPU</w:t>
      </w:r>
    </w:p>
    <w:p>
      <w:pPr>
        <w:spacing w:after="0" w:line="2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proprietary SPUs are Application-Specific Integrated Circuits (“ASICs”) that are divided into three main types: (i) the Content Processor (“SPU CP”), (ii) the Network Processor (“SPU NP”) and (iii) the System-on-a-Chip (“SPU SOC”). Our SPUs are designed to enhance the security processing capabilities implemented in software by accelerating computationally intensive tasks such as firewall policy enforcement, network address translation, Intrusion Prevention Systems (“IPS”) threat detection and encryption. This architecture provides the ability to implement accelerated processing of new threat detection. Entry-level FortiGate products often use the SPU SOC2 or SPU SOC3 to provide the necessary acceleration at this level. Mid-range FortiGate products use a central processing unit (“CPU”) and include the SPU NP and SPU CP hardware acceleration. The high-end FortiGate products use multiple CPUs, SPU CPs and SPU NPs.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proprietary FortiOS operating system provides the foundation for the operation of all FortiGate appliances, whether physical, virtual, private or public cloud based, and is at the heart of the Fortinet Security Fabric platform. The security and networking capabilities of the Fortinet Security Fabric platform are controlled through FortiOS. The core kernel functions to the security processing feature sets work together to provide a highly integrated solution.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SPUs and provides system management functions such as command line, graphical user interfaces, multiple network and security topology views.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high-level functions and capabilities of FortiOS include:</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 enablement for the Fortinet Security Fabric architecture;</w:t>
      </w:r>
    </w:p>
    <w:p>
      <w:pPr>
        <w:spacing w:after="0" w:line="23" w:lineRule="exact"/>
        <w:rPr>
          <w:rFonts w:ascii="Arial" w:cs="Arial" w:eastAsia="Arial" w:hAnsi="Arial"/>
          <w:sz w:val="18"/>
          <w:szCs w:val="18"/>
          <w:color w:val="auto"/>
        </w:rPr>
      </w:pPr>
    </w:p>
    <w:p>
      <w:pPr>
        <w:ind w:left="1300" w:right="68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 for FortiGate appliances to be configured into different security environments, such as our Internal Network Firewall, Next-Generation Firewall and Data Center Firewall;</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configuration of the physical aspects of the appliance, such as ports, onboard Wi-Fi and switching;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extension of the Fortinet Security Fabric platform through direct management of FortiSwitch and FortiAP devices;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 network functions such as routing and deployment modes (network routing, transparent, sniffer, etc.);</w:t>
      </w:r>
    </w:p>
    <w:p>
      <w:pPr>
        <w:spacing w:after="0" w:line="9" w:lineRule="exact"/>
        <w:rPr>
          <w:rFonts w:ascii="Arial" w:cs="Arial" w:eastAsia="Arial" w:hAnsi="Arial"/>
          <w:sz w:val="18"/>
          <w:szCs w:val="18"/>
          <w:color w:val="auto"/>
        </w:rPr>
      </w:pPr>
    </w:p>
    <w:p>
      <w:pPr>
        <w:ind w:left="1620" w:right="40" w:hanging="640"/>
        <w:spacing w:after="0" w:line="250"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security updates from our FortiGuard distribution network, delivering Advanced Threat Protection (“ATP”), such as IPS, antivirus and application control;</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cloud-based web and email filtering databases;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integration with both cloud and on-premises FortiSandbox technology;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policy objects and enforcement;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leak prevention and document finger printing;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real-time reporting and logging.</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FortiGate appliance to integrate and operate in a wide variety of network environments. Additional features include virtual domain capabilities, which can provide support for multiple customers on a single device or FortiOS instance. FortiOS also provides capabilities for the logging of traffic for forensic analysis purposes, which are particularly important for regulatory compliance initiatives such as payment card industry data security standards. FortiOS is designed to help control network traffic in order to optimize performance by including functionality such as packet classification, queue disciplines, policy enforcement, congestion management, WAN optimization and caching. These features enable administrators to set the appropriate configurations and policies that meet their infrastructure needs. We make updates to FortiOS available through our FortiCare support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Our core product offerings consist of our FortiGate product family and our non-FortiGate products, all of which may be purchased to complement commercial and enterprise deployments. Our FortiGate hardware and software licenses are sold with a set of broad security services. These security services are enabled by FortiGuard, which provides extensive threat research and artificial intelligence capabilities from a global cloud network to deliver protection services to each FortiGate appliance. Our non-FortiGate products include the Fortinet Security Fabric (such as FortiAP, FortiAnalyzer, FortiSwitch and FortiManager), certain cloud security products (such as virtual machines and cloud services) and other products.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FortiGate offers a broad set of security and networking functions, including firewall, intrusion prevention, anti-malware, VPN, application control, web filtering, anti-spam and WAN acceleration. FortiGate is available as a hardware appliance or as a virtual appliance. All FortiGate appliances run on FortiOS. FortiGate platforms can be centrally managed through both embedded web-based and command line interfaces, as well as through FortiManager, which provides a central management architecture for FortiGate appliances and the Fortinet Security Fabric platform.</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By combining multiple network security functions in our purpose-built security platform, FortiGate appliances provide broad, high-quality protection capabilities and deployment flexibility while reducing the operational burden and costs associated with managing multiple point products. With over 30 models in the FortiGate product line, FortiGate is designed to address security requirements for small- to medium-sized businesses, large enterprises and government organizations worldwide.</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Typically, all FortiGate hardware appliances include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small-to medium-sized businesses and enterprises with distributed offices. The FortiGate-200 through -900 series models are designed for perimeter deployment in medium-sized to large enterprise networks. The FortiGate-1000 through -7000 series models deliver high performance and scalable network security functionality for perimeter, data center and core deployment in large enterprises.</w:t>
      </w:r>
    </w:p>
    <w:p>
      <w:pPr>
        <w:spacing w:after="0" w:line="178"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We also incorporate additional technologies within FortiGate appliances that differentiate our solutions, including data leakage protection, traffic optimization, secure socket layer inspection, threat vulnerability management and wireless controller technology. In addition to these in-built features, we offer a full range of wireless access points and controllers, complementing FortiGate appliances with the flexibility of wireless local area network access.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Security Fabric</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 part of the Fortinet Security Fabric platform, we offer products that provide network security, end point security, cloud security, web-based application security, identity and access management, sandbox protection and email security. The integration of devices using open standards, common operating systems, and unified management platforms enables the sharing and correlation of real-time threat intelligence. The following products are key elements of the Fortinet Security Fabric platform:</w:t>
      </w:r>
    </w:p>
    <w:p>
      <w:pPr>
        <w:spacing w:after="0" w:line="187" w:lineRule="exact"/>
        <w:rPr>
          <w:sz w:val="20"/>
          <w:szCs w:val="20"/>
          <w:color w:val="auto"/>
        </w:rPr>
      </w:pPr>
    </w:p>
    <w:p>
      <w:pPr>
        <w:ind w:left="1300" w:right="260" w:hanging="320"/>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FortiAP</w:t>
      </w:r>
      <w:r>
        <w:rPr>
          <w:rFonts w:ascii="Arial" w:cs="Arial" w:eastAsia="Arial" w:hAnsi="Arial"/>
          <w:sz w:val="17"/>
          <w:szCs w:val="17"/>
          <w:color w:val="auto"/>
        </w:rPr>
        <w:t>—Our FortiAP product family provides secure wireless networking solutions. FortiAPs allow a variety of management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from the cloud and directly from our FortiGate Next Generation Firewall product. FortiAPs create a scalable and secure access layer for connecting wireless devices such as computers, laptops, cell phones and tablets, as well as IoT devices.</w:t>
      </w:r>
    </w:p>
    <w:p>
      <w:pPr>
        <w:spacing w:after="0" w:line="165" w:lineRule="exact"/>
        <w:rPr>
          <w:rFonts w:ascii="Arial" w:cs="Arial" w:eastAsia="Arial" w:hAnsi="Arial"/>
          <w:sz w:val="17"/>
          <w:szCs w:val="17"/>
          <w:color w:val="auto"/>
        </w:rPr>
      </w:pPr>
    </w:p>
    <w:p>
      <w:pPr>
        <w:ind w:left="1300" w:right="280" w:hanging="320"/>
        <w:spacing w:after="0" w:line="286" w:lineRule="auto"/>
        <w:tabs>
          <w:tab w:leader="none" w:pos="13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FortiSwitch</w:t>
      </w:r>
      <w:r>
        <w:rPr>
          <w:rFonts w:ascii="Arial" w:cs="Arial" w:eastAsia="Arial" w:hAnsi="Arial"/>
          <w:sz w:val="17"/>
          <w:szCs w:val="17"/>
          <w:color w:val="auto"/>
        </w:rPr>
        <w:t>—Our FortiSwitch product family provides secure switching solutions that can be deployed in traditional network switching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with Layer 2 or Layer 3 access control features. FortiSwitch creates a scalable and secure access layer for customers to connect their end devices, such as computers and laptops, as well as to expand the field of IoT devices.</w:t>
      </w:r>
    </w:p>
    <w:p>
      <w:pPr>
        <w:spacing w:after="0" w:line="165" w:lineRule="exact"/>
        <w:rPr>
          <w:rFonts w:ascii="Arial" w:cs="Arial" w:eastAsia="Arial" w:hAnsi="Arial"/>
          <w:sz w:val="17"/>
          <w:szCs w:val="17"/>
          <w:b w:val="1"/>
          <w:bCs w:val="1"/>
          <w:color w:val="auto"/>
        </w:rPr>
      </w:pPr>
    </w:p>
    <w:p>
      <w:pPr>
        <w:ind w:left="130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FortiAnalyzer</w:t>
      </w:r>
      <w:r>
        <w:rPr>
          <w:rFonts w:ascii="Arial" w:cs="Arial" w:eastAsia="Arial" w:hAnsi="Arial"/>
          <w:sz w:val="18"/>
          <w:szCs w:val="18"/>
          <w:color w:val="auto"/>
        </w:rPr>
        <w:t>—Our FortiAnalyzer family of products provides centralized network logging, analyzing and reporting solutions that securely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content and log data from our FortiGate devices, other Fortinet products and third-party devices to enable network logging, analysis and reporting.</w:t>
      </w:r>
    </w:p>
    <w:p>
      <w:pPr>
        <w:spacing w:after="0" w:line="181" w:lineRule="exact"/>
        <w:rPr>
          <w:rFonts w:ascii="Arial" w:cs="Arial" w:eastAsia="Arial" w:hAnsi="Arial"/>
          <w:sz w:val="18"/>
          <w:szCs w:val="18"/>
          <w:color w:val="auto"/>
        </w:rPr>
      </w:pPr>
    </w:p>
    <w:p>
      <w:pPr>
        <w:ind w:left="1300" w:right="160" w:hanging="320"/>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FortiManager</w:t>
      </w:r>
      <w:r>
        <w:rPr>
          <w:rFonts w:ascii="Arial" w:cs="Arial" w:eastAsia="Arial" w:hAnsi="Arial"/>
          <w:sz w:val="16"/>
          <w:szCs w:val="16"/>
          <w:color w:val="auto"/>
        </w:rPr>
        <w:t>—Our FortiManager family of products provides a central and scalable management solution for our FortiGate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software updates, configuration, policy settings and security updates. FortiManager facilitates the coordination of policy-based provisioning, device configuration and operating system revision management, as well as network security monitoring and device control.</w:t>
      </w:r>
    </w:p>
    <w:p>
      <w:pPr>
        <w:spacing w:after="0" w:line="146" w:lineRule="exact"/>
        <w:rPr>
          <w:rFonts w:ascii="Arial" w:cs="Arial" w:eastAsia="Arial" w:hAnsi="Arial"/>
          <w:sz w:val="16"/>
          <w:szCs w:val="16"/>
          <w:color w:val="auto"/>
        </w:rPr>
      </w:pPr>
    </w:p>
    <w:p>
      <w:pPr>
        <w:ind w:left="1300" w:right="160" w:hanging="320"/>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FortiSandbox</w:t>
      </w:r>
      <w:r>
        <w:rPr>
          <w:rFonts w:ascii="Arial" w:cs="Arial" w:eastAsia="Arial" w:hAnsi="Arial"/>
          <w:sz w:val="18"/>
          <w:szCs w:val="18"/>
          <w:color w:val="auto"/>
        </w:rPr>
        <w:t>—Our FortiSandbox technology delivers proactive detection and mitigation with the ability to generate a directly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capability. Available in both hardware and cloud-based form, the FortiSandbox subjects suspicious code to a set of multi-layer protection techniques, culminating in execution within an operating system, allowing real-time behavioral analysis to be performed in a secure environment. When malicious code is identified, a signature can be generated locally for distribution across the Fortinet Security Fabric.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60" w:hanging="320"/>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FortiSIEM</w:t>
      </w:r>
      <w:r>
        <w:rPr>
          <w:rFonts w:ascii="Arial" w:cs="Arial" w:eastAsia="Arial" w:hAnsi="Arial"/>
          <w:sz w:val="18"/>
          <w:szCs w:val="18"/>
          <w:color w:val="auto"/>
        </w:rPr>
        <w:t>—Our FortiSIEM family of software solutions provides a cloud-ready security information and event management (“SIEM”)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FortiSIEM unifies analytics that are traditionally monitored discretely, parses the information and then processes it in an event-based analytics engine for handling real-time searches, rules, dashboards and ad-hoc queries. This unification of diverse sources of data enables organizations to create comprehensive dashboards and reports to identify root causes of threats, and take the steps necessary to remediate and prevent them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Security requirements are dynamic due to the constantly changing nature of threats. Our FortiGuard security subscription services are designed to allow us to quickly deliver new threat detection and prevention capabilities to end-customers worldwide as new threats evolve. Our FortiGuard Labs global threat research team identifies emerging threats, collects threat samples, and replicates, reviews, characterizes and collates attack data. Based on this research, we develop updates for virus signatures, attack definitions, scanning engines and other security solution components to distribute to end-customers. FortiGuard functionality varies depending on which FortiGate and non-FortiGate products the end-customer is using, but will typically include one or more of the following functions: application control, antivirus, intrusion prevention, web filtering, anti-spam, VPN functions, email image analysis, vulnerability management, database functions, web functions, advanced threat protection and domain and IP reputation services.</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End-customers purchase FortiGuard security subscription services in advance, typically with terms of one or more years. We provide FortiGuard security subscription services 24 hours a day, seven days a week.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FortiCare services portfolio includes technical support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worldwide regional technical support centers. In addition to our technical support services, we offer a range of advanced services, including premium support and professional services.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Bundles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also sell FortiGuard and FortiCare services as bundles, consolidating security services into packages that would be typical for certain types of end-customer.</w:t>
      </w:r>
    </w:p>
    <w:p>
      <w:pPr>
        <w:spacing w:after="0" w:line="170" w:lineRule="exact"/>
        <w:rPr>
          <w:sz w:val="20"/>
          <w:szCs w:val="20"/>
          <w:color w:val="auto"/>
        </w:rPr>
      </w:pPr>
    </w:p>
    <w:p>
      <w:pPr>
        <w:ind w:left="1300" w:right="400" w:hanging="320"/>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Threat Protection</w:t>
      </w:r>
      <w:r>
        <w:rPr>
          <w:rFonts w:ascii="Arial" w:cs="Arial" w:eastAsia="Arial" w:hAnsi="Arial"/>
          <w:sz w:val="16"/>
          <w:szCs w:val="16"/>
          <w:color w:val="auto"/>
        </w:rPr>
        <w:t>—Our Threat Protection bundle includes application control, antivirus, IP reputation and anti-botnet security, mobile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data sanitation, sandbox, intrusion prevention and virus outbreak protection, along with FortiCare security services.</w:t>
      </w:r>
    </w:p>
    <w:p>
      <w:pPr>
        <w:spacing w:after="0" w:line="123" w:lineRule="exact"/>
        <w:rPr>
          <w:rFonts w:ascii="Arial" w:cs="Arial" w:eastAsia="Arial" w:hAnsi="Arial"/>
          <w:sz w:val="16"/>
          <w:szCs w:val="16"/>
          <w:color w:val="auto"/>
        </w:rPr>
      </w:pPr>
    </w:p>
    <w:p>
      <w:pPr>
        <w:ind w:left="1300" w:right="4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Unified Threat Management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UTM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—Our UTM bundle includes antispam, antivirus, data sanitation, sandbox, application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intrusion prevention, virus outbreak protection and web filtering, along with FortiCare security services.</w:t>
      </w:r>
    </w:p>
    <w:p>
      <w:pPr>
        <w:spacing w:after="0" w:line="170" w:lineRule="exact"/>
        <w:rPr>
          <w:rFonts w:ascii="Arial" w:cs="Arial" w:eastAsia="Arial" w:hAnsi="Arial"/>
          <w:sz w:val="18"/>
          <w:szCs w:val="18"/>
          <w:color w:val="auto"/>
        </w:rPr>
      </w:pPr>
    </w:p>
    <w:p>
      <w:pPr>
        <w:ind w:left="1300" w:right="40" w:hanging="320"/>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Protection</w:t>
      </w:r>
      <w:r>
        <w:rPr>
          <w:rFonts w:ascii="Arial" w:cs="Arial" w:eastAsia="Arial" w:hAnsi="Arial"/>
          <w:sz w:val="18"/>
          <w:szCs w:val="18"/>
          <w:color w:val="auto"/>
        </w:rPr>
        <w:t>—Our Enterprise Protection bundle includes application control, intrusion prevention, web filtering, sandbox,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antivirus, mobile security, IP reputation and anti-botnet security, antispam, CASB, industrial control systems, security rating, virus outbreak protection and data sanitation, along with FortiCare security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for implementations.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TAMs and REs are dedicated support engineers available to help identify and eliminate issues before problems arise. Each TAM and RE acts as a single point of contact and customer advocate within Fortinet, offering a deep understanding of our customers’ businesses and security requirements.</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professional services consultants help in the design of product deployments and work closely with end-customers to implement our products according to design, utilizing network analysis tools, traffic simulation software and scripts.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typically sell our security solutions to channel partners, who in turn sell to end-customers. At times, we also sell directly to end-customers. Our end-customers include small and medium-sized businesses, large enterprises and government organizations across a wide range of industries, including telecommunications, technology, government, financial services, education, retail, manufacturing and healthcare. An end-customer deployment may involve as few as one or as many as thousands of appliances and other Fortinet Security Fabric products, depending on our end-customer’s size and security requirements. Customers may also access our products via the cloud through certain cloud providers such as Amazon Web Services, Microsoft Azure, Google Cloud, Oracle Cloud and IBM Cloud. Typically, our customers also purchase our FortiGuard security subscription services and FortiCare technical support services.</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information regarding our geographic revenue based on the billing address of our distributors and direct customers, see Note 14 to our consolidated financial statements in Part II, Item 8 of this Annual Report on Form 10-K. During 2018, Exclusive Networks Group (“Exclusive”) and Ingram Micro Inc. (“Ingram Micro”) accounted for 30% and 10% of total revenue, respectively. During 2017 and 2016, Exclusive accounted for 25% and 20% of total revenue,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primarily sell our products and services through a two-tier distribution model. We sell to distributors that sell to networking security and enterprise-focused resellers and service providers and managed security service providers (“MSSPs”), who, in turn, sell to our end-customers. We work with many technology distributors, including Exclusive, Ingram Micro Inc., Arrow Electronics, Inc., Synnex Corporation and Tech Data Corporation.</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70 countries around the world.</w:t>
      </w:r>
    </w:p>
    <w:p>
      <w:pPr>
        <w:spacing w:after="0" w:line="173"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Our marketing strategy is focused on building our brand and driving end-customer demand for our security solutions. We use a combination of internal marketing professionals and a network of regional and global channel partners. Our internal marketing organization is responsible for messaging, branding, demand generation, product marketing, packaging support and subscription services into service bundles, channel marketing,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2018, we continued to invest in sales and marketing, particularly in the enterprise market where enterprise customers tend to have a higher lifetime value. We intend to continue to make investments in our sales resources and infrastructure and marketing strategy, which are critical to support our growth.</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a variety of contract manufacturers and original design manufacturers. Our current manufacturing partners include ADLINK Technology, Inc., IBASE Technology, Inc. (“IBASE”), Micro-Star International Co. (“Micro-Star”), Senao Networks, Inc. (“Senao”), Wistron Corporation (“Wistron”) and a number of other manufacturers. The majority of our hardware is manufactured in Taiwan, with some products manufactured in the United States or China.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the key to the performance of our appliances, are built by contract manufacturers including Faraday Technology Corporation (“Faraday”), Kawasaki Microelectronics America, Inc. and Renesas Electronics Corporation (“Renesas”). These contract manufacturers use foundries operated by either United Microelectronics Corporation (“UMC”) or Taiwan Semiconductor Manufacturing Company Limited (“TSMC”), or their own foundry, such as Renesas’ fab.</w:t>
      </w:r>
    </w:p>
    <w:p>
      <w:pPr>
        <w:spacing w:after="0" w:line="169"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The components included in our products are sourced from various suppliers by us or, more frequently, by our contract manufacturers. Some of the components important to our business, including certain CPUs from Intel Corporation (“Intel”); network chips from Broadcom Inc. (“Broadcom”), Marvell Technology Group Ltd. (“Marvell”) and Intel, and memory devices from Intel, ADATA Technology Co., Ltd. (“ADATA”), OCZ Technology Group, Inc.</w:t>
      </w:r>
    </w:p>
    <w:p>
      <w:pPr>
        <w:ind w:right="80"/>
        <w:spacing w:after="0" w:line="261" w:lineRule="auto"/>
        <w:rPr>
          <w:sz w:val="20"/>
          <w:szCs w:val="20"/>
          <w:color w:val="auto"/>
        </w:rPr>
      </w:pPr>
      <w:r>
        <w:rPr>
          <w:rFonts w:ascii="Arial" w:cs="Arial" w:eastAsia="Arial" w:hAnsi="Arial"/>
          <w:sz w:val="18"/>
          <w:szCs w:val="18"/>
          <w:color w:val="auto"/>
        </w:rPr>
        <w:t>(“OCZ”), Samsung Electronics Co., Ltd. (“Samsung”), and Western Digital Technologies, Inc. (“Western Digital”), are available from limited or sole sources of supply.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focus our research and development efforts on developing new hardware and software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product selection, timely implementation of product design and development, product performance, costs of development, bills of materials, effective manufacturing and assembly processes and sales and marketing.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As of December 31, 2018, we had 596 U.S. and foreign-issued patents and 199 pending U.S. and foreign patent applications. We also license software from third parties for inclusion in our products, including open source software and other software available on commercially reasonable terms.</w:t>
      </w:r>
    </w:p>
    <w:p>
      <w:pPr>
        <w:spacing w:after="0" w:line="14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intellectual property of third parties.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information regarding seasonality in our sales, see the section entitled “Management’s Discussion and Analysis of Financial Condition and Results of Operations—Quarterly Results of Operations—Seasonality, Cyclicality and Quarterly Revenue Trends” in Part II, Item 7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performance, throughput, features, effectiveness, interoperability and reliability;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 and integration of new networking and security features and technological expertise;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and support across varied and complex customer segments;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financial stability;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Among others, our competitors include Check Point Software Technologies Ltd. (“Check Point”), Cisco Systems, Inc. (“Cisco”), F5 Networks, Inc. (“F5 Networks”), FireEye, Inc. (“FireEye”), Forcepoint LLC (“Forcepoint”), Imperva, Inc. (“Imperva”), Juniper Networks, Inc. (“Juniper”), McAfee, LLC (“McAfee”), Palo Alto Networks, Inc. (“Palo Alto Networks”), Proofpoint, Inc. (“Proofpoint”), SonicWALL, Inc. (“SonicWALL”), Sophos Group Plc (“Sophos”) and Trend Micro Incorporated (“Trend Micro”).</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we compete favorably based on our products’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functionalities to our products.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market consolidation.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of December 31, 2018, our total headcount was 5,845 employees and contractors. None of our U.S. employees are represented by a labor union; however, our employees in certain European countries have the right to be represented by external labor organizations if they maintain up-to-date union membership. We have not experienced any work stoppages, and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https://www.sec.gov.</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and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2" w:right="3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4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40" w:hanging="644"/>
        <w:spacing w:after="0" w:line="31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 competition and increased competitiveness in our market, including the competitive pressure caused by product refresh cycles;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0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accounting for leases and stock-based compensation,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Fabric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to a lesser extent,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140" w:hanging="644"/>
        <w:spacing w:after="0" w:line="31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costs of complying with, and the risks and costs of non-compliance with, U.S. or other foreign laws and regulations for foreign operations, including the U.S. Foreign Corrupt Practices Act, the United Kingdom Bribery Act 2010, the General Data Protection Regulation (which became effective in May 2018), import and export control laws, tariffs and retaliatory measures, trade barriers and economic sanctions;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4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65" w:lineRule="exact"/>
        <w:rPr>
          <w:sz w:val="20"/>
          <w:szCs w:val="20"/>
          <w:color w:val="auto"/>
        </w:rPr>
      </w:pPr>
    </w:p>
    <w:p>
      <w:pPr>
        <w:ind w:left="1300" w:right="4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inventory. If we are unable to effectively manage our inventory and that of our channel partners, our results of operations could be adversely affected.</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which could have an effect on our financial results.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will be harmed.</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8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which distributes our solutions to a large group of resellers and end-customers, acquired Fine Tec U.S. Since the acquisition of Fine Tec U.S., Exclusive’s business with us has increased and may continue to increase in the future. Exclusive accounted for 38% and 35% of our total net accounts receivable as of December 31, 2018 and December 31, 2017. During 2016, 2017 and 2018, Exclusive accounted for 20% and 25% and 30% of our total revenue, respectively.</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8" w:lineRule="exact"/>
        <w:rPr>
          <w:sz w:val="20"/>
          <w:szCs w:val="20"/>
          <w:color w:val="auto"/>
        </w:rPr>
      </w:pPr>
    </w:p>
    <w:p>
      <w:pPr>
        <w:ind w:left="1300" w:right="8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80" w:firstLine="648"/>
        <w:spacing w:after="0" w:line="290" w:lineRule="auto"/>
        <w:rPr>
          <w:sz w:val="20"/>
          <w:szCs w:val="20"/>
          <w:color w:val="auto"/>
        </w:rPr>
      </w:pPr>
      <w:r>
        <w:rPr>
          <w:rFonts w:ascii="Arial" w:cs="Arial" w:eastAsia="Arial" w:hAnsi="Arial"/>
          <w:sz w:val="17"/>
          <w:szCs w:val="17"/>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security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We purchased office buildings in Ottawa and Burnaby, Canada in 2017, and we have started construction on a second building adjacent to our Sunnyvale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pay for these projects or free cash flow. Additionally, inaccuracies in our projected capital expenditures could negatively impact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and CRM systems.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maintenance of our ERP and CRM systems has required, and will continue to require, the investment of significant financial and human resources. In addition, we may choose to upgrade or expand the functionality of our ERP and CRM systems, leading to additional costs. We may also discover deficiencies in our design or maintenance of the ERP or CRM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Additionally, in connection with adopting and implementing the new revenue accounting standard, management will continue to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 For example, a change in our sales compensation plan may materially impact our accounting for deferred contract costs, which would impact our commission expense and therefore our future operating results.</w:t>
      </w:r>
    </w:p>
    <w:p>
      <w:pPr>
        <w:spacing w:after="0" w:line="17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MegaChips Corporation and 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9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For example, with respect to data privacy and protection, the General Data Protection Regulation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17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will become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 See Part I, Item 3 of this Annual Report on Form 10-K for more information on our legal proceedings.</w:t>
      </w:r>
    </w:p>
    <w:p>
      <w:pPr>
        <w:spacing w:after="0" w:line="16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Economic uncertainty in various global markets caused by political instability and conflict has resulted, and may continue to result, in weakened demand for our products and services and difficulty for us in forecasting our financial results and managing inventory levels. Political developments impacting government spending and international trade, including government shutdowns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instability in the United Kingdom and the EU as the terms of Brexit remain under negotiation and the prolonging of the United States’ trade disputes with China and other countries. The continuing effect of any or all of these events could adversely impact demand for our products, harm our operations and weaken our financial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March 2018, the current administration imposed a 25% tariff on steel imports and a 10% tariff on aluminum imports and announced additional tariffs on goods imported from China specifically, as well as certain other countries. Subsequently, in September 2018, additional tariffs were imposed by the United States on some goods imported from China, including certain electronics and IT products. Other countries have in turn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6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Hackers and malicious parties may be able to develop and deploy viruses, worms, ransomware and other malicious software programs that attack our products and customers or otherwise exploit any security vulnerabilities of our products, or attempt to fraudulently induce our employees, customers or others to disclose passwords or other sensitive information or unwittingly provide access to our internal network system or data.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have open tax years that could be subject to the examination by the Internal Revenue Service (the “IRS”) and other tax authorities. We currently have ongoing tax audits in the United Kingdom, Israel, India and Italy. The focus of all of these audits is the allocation of profit between our legal entities. We regularly assess the likelihood of adverse outcomes resulting from such examinations to determine the adequacy of our provision for income taxes.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2017, the U.S. federal government enacted the Tax Cuts and Jobs Act (the “2017 Tax Act”). The 2017 Tax Act reduced the federal corporate income tax rate from 35% to 21% and created a territorial tax system with a one-time mandatory tax on foreign earnings of U.S. subsidiaries not previously subject to U.S. income tax. In December 2017, the Securities and Exchange Commission (the “SEC”) staff issued Staff Accounting Bulletin No. 118, Income Tax Accounting Implications of the Tax Cuts and Jobs Act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We expect further guidance may be forthcoming from the Financial Accounting Standards Board (“FASB”) and the SEC, as well as regulations, interpretations and rulings from federal and state tax agencies, which could result in additional impacts. We will continue to monitor and assess the impact of the 2017 Tax Act and the ongoing guidance and accounting interpretations issued in response to the 2017 Tax 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Ninth Circuit Court of Appeals is expected to issue a decision in Altera Corp. v. Commissioner regarding the treatment of stock-based compensation expense in a cost sharing arrangement, which could have a material effect on our tax obligations and effective tax rate for the quarter in which the decision is issued.</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Bradford Networks, Inc. (“Bradford”) and ZoneFox Limited (“ZoneFox”) in the second quarter of 2018 and the fourth quarter of 2018,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Check Point, Cisco, F5 Networks, FireEye, Forcepoint, Imperva, Juniper, McAfee, Palo Alto Networks, Proofpoint, SonicWALL, Sophos and Trend Micro.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One such patent lawsuit by British Telecommunications plc was filed in federal court in Delaware in July 2018, and a second such lawsuit by Finjan, Inc. was filed in federal court in California in October 2018.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acceptable to us or at all or may be costly. In any such case, or if we were required to redesign our internal operations to function with new technologies, our business, results of operations and financial condition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2018, our internal controls over financial reporting were effective, we cannot predict the outcome of our testing in 2019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for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or new accounting pronouncements, such as changes to standards related to revenue recognition, equity investment valuation (which became effective for us beginning on January 1, 2018) and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adopted the new revenue recognition standard as of January 1, 2018. Refer to Note 1 to our consolidated financial statements included in this Annual Report on Form 10-K for additional information on the new standard and its impact on us.</w:t>
      </w:r>
    </w:p>
    <w:p>
      <w:pPr>
        <w:spacing w:after="0" w:line="13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new revenue standard is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decline. If one or more of these analysts ceases coverage of our company or fails to publish reports on us regularly, demand for our stock could decrease, which could cause our stock price and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2018, the closing price of our common stock ranged from $43.83 to $92.29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corporate headquarters is located in Sunnyvale, California and comprises approximately 162,000 square feet of office and building space on ten acres of land. Along with our corporate headquarters, as of December 31, 2018, we also owned approximately 202,000 square feet in Union City, California used as a distribution and office facility; approximately 167,000 square feet of buildings adjacent to our corporate headquarters intended to support growth in our business operations and provide space for construction of a second building; approximately 342,000 square feet of office and building space in Burnaby and Ottawa, Canada used for operations, support and research and development work; and 40,000 square feet of office space in Valbonne, France predominantly used as a sales and support office.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maintain additional offices throughout the United States and various international locations, including India, France, China, the United Kingdom, Japan, Singapore, Germany and Mexico.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operating expenses and capital expenditures in connection with such new or expanded facilities.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see Note 14 to our consolidated financial statements in Part II, Item 8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8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on events from over two years ago related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Select Market under the symbol “FTNT.”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February 22, 2019, there were 48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This performance graph shall not be deemed “filed” for purposes of Section 18 of the Securities and Exchange Act of 1934 </w:t>
      </w:r>
      <w:r>
        <w:rPr>
          <w:rFonts w:ascii="Arial" w:cs="Arial" w:eastAsia="Arial" w:hAnsi="Arial"/>
          <w:sz w:val="18"/>
          <w:szCs w:val="18"/>
          <w:color w:val="auto"/>
        </w:rPr>
        <w:t>(</w:t>
      </w:r>
      <w:r>
        <w:rPr>
          <w:rFonts w:ascii="Arial" w:cs="Arial" w:eastAsia="Arial" w:hAnsi="Arial"/>
          <w:sz w:val="18"/>
          <w:szCs w:val="18"/>
          <w:i w:val="1"/>
          <w:iCs w:val="1"/>
          <w:color w:val="auto"/>
        </w:rPr>
        <w:t>the “Exchange Act”), or incorporated by reference into any filing of Fortinet under the Securities Act of 1933, as amended (the “Securities Act</w:t>
      </w:r>
      <w:r>
        <w:rPr>
          <w:rFonts w:ascii="Arial" w:cs="Arial" w:eastAsia="Arial" w:hAnsi="Arial"/>
          <w:sz w:val="18"/>
          <w:szCs w:val="18"/>
          <w:color w:val="auto"/>
        </w:rPr>
        <w:t>”</w:t>
      </w:r>
      <w:r>
        <w:rPr>
          <w:rFonts w:ascii="Arial" w:cs="Arial" w:eastAsia="Arial" w:hAnsi="Arial"/>
          <w:sz w:val="18"/>
          <w:szCs w:val="18"/>
          <w:i w:val="1"/>
          <w:iCs w:val="1"/>
          <w:color w:val="auto"/>
        </w:rPr>
        <w:t>), or the Exchange Act, except as shall be expressly set forth by specific reference in such filing.</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Among Fortinet, Inc., The S&amp;P 500 Index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009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6"/>
                <w:szCs w:val="16"/>
                <w:color w:val="auto"/>
                <w:w w:val="86"/>
              </w:rPr>
              <w:t>December</w:t>
            </w:r>
          </w:p>
        </w:tc>
      </w:t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color w:val="auto"/>
              </w:rPr>
              <w:t>2013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2018</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420" w:firstLine="8"/>
        <w:spacing w:after="0" w:line="261" w:lineRule="auto"/>
        <w:tabs>
          <w:tab w:leader="none" w:pos="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Assumes that $100 was invested on December 31, 2013 in stock or index, including reinvestment of dividends. Stockholder returns over the indicated period should not be considered indicative of future stockholder returns.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January 2016, our board of directors approved the Share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bringing the total amount authorized to $1.0 billion. In July 2018, our board of directors approved a $500.0 million increase in the authorized stock repurchase under the Repurchase Program and extended the term of the Repurchase Program to December 31, 2019, bringing the aggregate amount authorized to be repurchased to $1.5 billion of our outstanding common stock through December 31, 2019.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December 31, 2018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2018</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2018</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559,792</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559,792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2018</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741,623</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741,623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57"/>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1,301,415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1,301,415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2016</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91"/>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1,801.2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1,494.9</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1,275.4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1,009.3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770.4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1,350.8</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1,109.6</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937.6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231.0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42.9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8"/>
                <w:szCs w:val="18"/>
                <w:color w:val="auto"/>
                <w:vertAlign w:val="subscript"/>
              </w:rPr>
              <w: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169.1</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174.3</w:t>
            </w: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172.6</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170.4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r>
      <w:tr>
        <w:trPr>
          <w:trHeight w:val="548"/>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w w:val="94"/>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2016</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Arial" w:cs="Arial" w:eastAsia="Arial" w:hAnsi="Arial"/>
                <w:sz w:val="16"/>
                <w:szCs w:val="16"/>
                <w:b w:val="1"/>
                <w:bCs w:val="1"/>
                <w:color w:val="auto"/>
                <w:w w:val="91"/>
              </w:rPr>
              <w:t>(in millions)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1,716.6</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1,349.3</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1,310.5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1,164.3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991.7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2,257.9</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2,139.9</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1,010.2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589.4</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837.7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755.4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676.0</w:t>
            </w:r>
          </w:p>
        </w:tc>
      </w:tr>
      <w:tr>
        <w:trPr>
          <w:trHeight w:val="70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sales;</w:t>
      </w:r>
    </w:p>
    <w:p>
      <w:pPr>
        <w:spacing w:after="0" w:line="26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right="2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accounting for leases.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1" w:right="4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Fortinet is a global leader in cybersecurity solutions provided to a wide variety of businesses, such as enterprises, communication service providers and small businesses. Our cybersecurity solutions are designed to provide broad visibility and segmentation of the digital attack surface through our integrated Security Fabric platform, which features automated protection, detection and responses.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160" w:hanging="328"/>
        <w:spacing w:after="0" w:line="254"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Network Security</w:t>
      </w:r>
      <w:r>
        <w:rPr>
          <w:rFonts w:ascii="Arial" w:cs="Arial" w:eastAsia="Arial" w:hAnsi="Arial"/>
          <w:sz w:val="18"/>
          <w:szCs w:val="18"/>
          <w:color w:val="auto"/>
        </w:rPr>
        <w:t>—We derive a majority of product sales from our FortiGate network security appliances. Our FortiGate network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appliances include a broad set of built-in security and networking features and functionalities, including firewall, SD-WAN, SSL data leak prevention, VPN, switch and wireless controller and WAN acceleration. Our network security appliances include our FortiOS operating system, which provides the foundation for FortiGate security functions, and FortiASIC integrated circuit, which is designed to accelerate the processing of security and networking functions. Our customers may also purchase FortiGuard subscription services to receive threat intelligence updates. We provide standard technical support across all of our products through our FortiCare support services. We also offer services to end-customers including TAMs, REs and professional service consultants for implementations, as well as training services to our end-customers and channel partners.</w:t>
      </w:r>
    </w:p>
    <w:p>
      <w:pPr>
        <w:spacing w:after="0" w:line="192" w:lineRule="exact"/>
        <w:rPr>
          <w:rFonts w:ascii="Arial" w:cs="Arial" w:eastAsia="Arial" w:hAnsi="Arial"/>
          <w:sz w:val="18"/>
          <w:szCs w:val="18"/>
          <w:b w:val="1"/>
          <w:bCs w:val="1"/>
          <w:i w:val="1"/>
          <w:iCs w:val="1"/>
          <w:color w:val="auto"/>
        </w:rPr>
      </w:pPr>
    </w:p>
    <w:p>
      <w:pPr>
        <w:ind w:left="660" w:right="20" w:hanging="328"/>
        <w:spacing w:after="0" w:line="31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Fortinet Security Fabric</w:t>
      </w:r>
      <w:r>
        <w:rPr>
          <w:rFonts w:ascii="Arial" w:cs="Arial" w:eastAsia="Arial" w:hAnsi="Arial"/>
          <w:sz w:val="16"/>
          <w:szCs w:val="16"/>
          <w:color w:val="auto"/>
        </w:rPr>
        <w:t>—The Fortinet Security Fabric platform is an architectural approach that protects the entire digital attack surface,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core, endpoints, applications, data centers and private and public cloud. Together with our network of Fabric-Ready Partners, the Fortinet Security Fabric platform enables disparate security devices to work together as an integrated, automated and collaborative solution.</w:t>
      </w:r>
    </w:p>
    <w:p>
      <w:pPr>
        <w:spacing w:after="0" w:line="146"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cloud environments by offering security through our virtual firewall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software products in public and private cloud environments. Our Cloud Security solutions, including our Client Access Security Broker Solution, FortiCASB, extend the core capabilities of the Fortinet Security Fabric platform to provide businesses with the same level of cybersecurity and threat intelligence in cloud environments that they receive on their physical networks. Fortinet cloud security offerings are available across all major cloud providers, including Amazon Web Services, Microsoft Azure, Google Cloud, Oracle Cloud and IBM Cloud.</w:t>
      </w:r>
    </w:p>
    <w:p>
      <w:pPr>
        <w:spacing w:after="0" w:line="172" w:lineRule="exact"/>
        <w:rPr>
          <w:rFonts w:ascii="Arial" w:cs="Arial" w:eastAsia="Arial" w:hAnsi="Arial"/>
          <w:sz w:val="17"/>
          <w:szCs w:val="17"/>
          <w:color w:val="auto"/>
        </w:rPr>
      </w:pPr>
    </w:p>
    <w:p>
      <w:pPr>
        <w:ind w:left="660" w:hanging="328"/>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Internet of Things and Operational Technology</w:t>
      </w:r>
      <w:r>
        <w:rPr>
          <w:rFonts w:ascii="Arial" w:cs="Arial" w:eastAsia="Arial" w:hAnsi="Arial"/>
          <w:sz w:val="17"/>
          <w:szCs w:val="17"/>
          <w:color w:val="auto"/>
        </w:rPr>
        <w:t>—The proliferation of IoT and OT devices has generated new opportunities for us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IoT and OT have created an environment where data move freely between devices across locations, network environments, remote offices, mobile workers and public cloud environments, making the data difficult to consistently track and secure.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jc w:val="both"/>
        <w:ind w:left="660" w:right="1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recorded total revenue of $1.80 billion in 2018, an increase of 20% compared to $1.49 billion in 2017. Product revenue was $674.4 million in 2018, an increase of 17% compared to $577.2 million in 2017. Service revenue was $1.13 billion in 2018, an increase of 23% compared to $917.7 million in 2017.</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generated operating income of $231.0 million in 2018, an increase of 110% compared to $109.8 million in 2017.</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cash equivalents and investments were $1.72 billion as of December 31, 2018, an increase of $367.3 million, or 27%, from December 31,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Deferred revenue was $1.69 billion as of December 31, 2018, an increase of $350.5 million, or 26%, from December 31, 2017</w:t>
      </w:r>
      <w:r>
        <w:rPr>
          <w:rFonts w:ascii="Arial" w:cs="Arial" w:eastAsia="Arial" w:hAnsi="Arial"/>
          <w:sz w:val="18"/>
          <w:szCs w:val="18"/>
          <w:color w:val="0000FF"/>
        </w:rPr>
        <w:t>.</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$638.9 million in 2018, an increase of $44.5 million, or 7%, compared to 2017.</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2018, we repurchased 3.8 million shares of common stock under the Repurchase Program for an aggregate purchase price of $209.1 million. In 2017, we repurchased 11.2 million shares of common stock for a total purchase price of $446.3 million.</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globally, which remains a key strength of our business. Product revenue grew 17% in 2018. FortiGate unit shipments increased year-over-year. Sales of non-FortiGate products, such as the Fortinet Security Fabric and cloud products and services, also grew significantly. Service revenue growth of 23% in 2018 was driven by the strength of our FortiCare technical support and other service revenue, which combined grew 26%, and FortiGuard security subscription revenue, which grew 20%.</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percentage of our FortiGate-related billings from entry-level products increased from 31% in 2017 to 33% in 2018, the percentage of our FortiGate-related billings from mid-range products increased from 30% in 2017 to 32% in 2018 and the percentage of our FortiGate-related billings from high-end products decreased from 39% in 2017 to 35% in 2018. We continue to see our enterprise customers purchasing a fairly balanced mix of products across these product groups.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2018, operating expenses as a percentage of revenue decreased by 5 percentage points compared to 2017. The decrease in operating expenses was primarily driven by a decrease of 4 percentage points in sales and marketing expenses as a percentage of revenue, benefiting from the adoption of Accounting Standards Update (“ASU”) 2014-09, Revenue from Contracts with Customers (Topic 606) (“Topic 606”) for deferred contract costs, which reduced our commissions expense in absolute dollars and as a percentage of total revenue. In addition, general and administrative expenses as a percentage of revenue decreased by 1 percentage point while research and development expenses as a percentage of revenue remained consistent. Our sales and marketing expenses included a benefit of $45.5 million in 2018 from the adoption of Topic 606 related to deferred contract costs. Under Topic 606, we capitalized certain commissions on service contracts and amortize the amount over a certain period. Prior to the adoption of Topic 606, we expensed the commissions related to these service contracts upfront. Excluding this benefit, sales and marketing expense as a percentage of revenue would have been 46% in 2018 compared to 47% in 2017. Refer to Note 1 to our consolidated financial statements for more information. Headcount increased by 15% to 5,845 employees and contractors as of December 31, 2018, up from 5,066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sales strategy is based on a two-tier distribution model. We sell to distributors that sell to networking security and enterprise-focused resellers and service providers, who in turn sell to our end-customers. In certain cases, we sell directly to large service providers and major systems integrators. We also offer our products across major cloud providers, and have recognized on-demand revenue from Amazon Web Services and Microsoft Azure and from customers who deploy our products at a cloud services provider in a bring-your-own-license (“BYOL”) such as from Amazon Web Services, Microsoft Azure, Google Cloud, Oracle Cloud and IBM Cloud. In a BYOL arrangement, a customer purchases a perpetual license from us through our channel partners and deploys the software in a cloud provider’s environment. Similarly, customers may purchase such a license from us and deploy in their private cloud. While the revenue from such sales is still relatively insignificant, it has increased significantly in recent periods on a percentage basis.</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payable within 30 to 45 days. We also invoice certain services on a monthly basis.</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Our SPU hardware architecture is an important part of our approach to network security. The SPU includes three lines of proprietary ASICs: SPU CP, SPU NP and SPU SOC. The ASICs are designed for highly efficient execution of computationally intensive tasks, including policy enforcement, threat detection and encryption. As such, ASIC-based solutions can run many security applications simultaneously without a significant reduction in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efficiencies. The following table summarizes revenue, deferred revenue, billings (non-GAAP), net cash provided by operating activities, and free cash flow (non-GAAP). We discuss revenue below under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3"/>
              <w:spacing w:after="0"/>
              <w:rPr>
                <w:sz w:val="20"/>
                <w:szCs w:val="20"/>
                <w:color w:val="auto"/>
              </w:rPr>
            </w:pPr>
            <w:r>
              <w:rPr>
                <w:rFonts w:ascii="Arial" w:cs="Arial" w:eastAsia="Arial" w:hAnsi="Arial"/>
                <w:sz w:val="16"/>
                <w:szCs w:val="16"/>
                <w:b w:val="1"/>
                <w:bCs w:val="1"/>
                <w:color w:val="auto"/>
                <w:w w:val="91"/>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128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2017</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1,686.8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1,336.3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1,795.9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638.9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594.4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585.9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278.5</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and of free cash flow to be recognized in future periods. Deferred revenue was $1.69 billion as of December 31, 2018, an increase of $350.5 million, or 26%, from December 31, 2017</w:t>
      </w:r>
      <w:r>
        <w:rPr>
          <w:rFonts w:ascii="Arial" w:cs="Arial" w:eastAsia="Arial" w:hAnsi="Arial"/>
          <w:sz w:val="16"/>
          <w:szCs w:val="16"/>
          <w:color w:val="0000FF"/>
        </w:rPr>
        <w:t>.</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(“GAAP”) plus the change in deferred revenue from the beginning to the end of the period and adjustments to the deferred revenue balance due to adoption of Topic 606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$2.15 billion for 2018, an increase of 20% compared to $1.80 billion in 2017.</w:t>
      </w:r>
    </w:p>
    <w:p>
      <w:pPr>
        <w:spacing w:after="0" w:line="16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1,801.2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1,275.4</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Add: Deferred revenue adjustment due to adoption of Topic 606</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Deferred revenue balance acquired in business combinations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2,153.3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1,795.9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1,515.1</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capital expenditures such as purchases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in other investing and financing activities. Management accounts for this limitation by providing information about our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expenditures and other investing and financing activities on the face of the consolidated statements of cash flows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638.9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345.7</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585.9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278.5</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(202.6)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the majority of our revenue from sales of our hardware and software products and amortization of amounts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revenue related to previous sales of FortiGuard security subscription and FortiCare technical support services. We also recognize revenue from cloud business relationships and from providing professional services and training.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225" w:lineRule="exact"/>
        <w:rPr>
          <w:sz w:val="20"/>
          <w:szCs w:val="20"/>
          <w:color w:val="auto"/>
        </w:rPr>
      </w:pPr>
    </w:p>
    <w:p>
      <w:pPr>
        <w:ind w:left="1300" w:right="160" w:hanging="644"/>
        <w:spacing w:after="0" w:line="25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Product revenue is primarily generated from sales of our appliances. The majority of our product revenue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our FortiGate product line, and we do not expect this to change in the foreseeable future. Product revenue also includes revenue derived from sales of FortiGate software licenses and other software. As a percentage of total revenue, we expect that our product revenue may vary from quarter-to-quarter based on certain factors, as discussed below under “—Quarterly Results of Operations,” and we expect the trend to continue in 2019.</w:t>
      </w:r>
    </w:p>
    <w:p>
      <w:pPr>
        <w:spacing w:after="0" w:line="188"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Service revenue is generated primarily from FortiGuard security subscription services and from FortiCare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services. We recognize revenue from FortiGuard security subscription and FortiCare technical support services over the contractual service period. Our typical contractual support and subscription term is one to three years and, to a lesser extent, five years. We also generate a small portion of our revenue from professional services and training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expansion and introduction of new service offerings and the renewal of service contracts by our existing customers.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1300" w:right="240" w:hanging="644"/>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Cost of product revenue</w:t>
      </w:r>
      <w:r>
        <w:rPr>
          <w:rFonts w:ascii="Arial" w:cs="Arial" w:eastAsia="Arial" w:hAnsi="Arial"/>
          <w:sz w:val="18"/>
          <w:szCs w:val="18"/>
          <w:color w:val="auto"/>
        </w:rPr>
        <w:t>. The majority of the cost of product revenue consists of third-party contract manufacturers' costs and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 if applicable. Personnel costs include direct compensation and benefits.</w:t>
      </w:r>
    </w:p>
    <w:p>
      <w:pPr>
        <w:spacing w:after="0" w:line="186"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salaries, benefits and bonuses, as well as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 of service revenue also includes third-party repair and contract fulfillment, data center and cloud hosting, supplies and facility-related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profit as a percentage of revenue, or gross margin, has been and will continue to be affected by a variety of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average sales price of our products, product costs, the mix of products sold and the mix of revenue between products, software licenses and services and any excess inventory write-offs. Service revenue and software licenses have had a positive effect on our total gross margin given the higher gross margins compared to product gross margins. During 2018, service gross margin benefited from renewals and continued sales of hardware bundled with services and subscriptions, growing faster than related expenses. Product gross margin was negatively impacted by new product introductions. As a result, the service margin expansion was partially offset by a decline in product gross margin in 2018. Overall gross margin in 2019 will be impacted by service and product revenue mix, but we expect it to be comparable to overall gross margin in 2018.</w:t>
      </w:r>
    </w:p>
    <w:p>
      <w:pPr>
        <w:spacing w:after="0" w:line="178" w:lineRule="exact"/>
        <w:rPr>
          <w:sz w:val="20"/>
          <w:szCs w:val="20"/>
          <w:color w:val="auto"/>
        </w:rPr>
      </w:pPr>
    </w:p>
    <w:p>
      <w:pPr>
        <w:ind w:right="60" w:firstLine="531"/>
        <w:spacing w:after="0" w:line="31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Our operating expenses consist of research and development, sales and marketing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costs are the most significant component of operating expenses and consist primarily of salaries, benefits, bonuses, stock-based compensation, and sales commissions, as applicable. We expect personnel costs to continue to increase in absolute dollars as we expand our workforce.</w:t>
      </w:r>
    </w:p>
    <w:p>
      <w:pPr>
        <w:spacing w:after="0" w:line="147" w:lineRule="exact"/>
        <w:rPr>
          <w:sz w:val="20"/>
          <w:szCs w:val="20"/>
          <w:color w:val="auto"/>
        </w:rPr>
      </w:pPr>
    </w:p>
    <w:p>
      <w:pPr>
        <w:ind w:left="1300" w:right="40" w:hanging="644"/>
        <w:spacing w:after="0" w:line="25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ASIC and system prototypes and certification-related expenses, depreciation of property and equipment and facility-related expenses. The majority of our research and development is focused on both software development and the ongoing development of our hardware platform. We record all research and development expenses as incurred. Our research and development teams are primarily located in Canada and the United States.</w:t>
      </w:r>
    </w:p>
    <w:p>
      <w:pPr>
        <w:spacing w:after="0" w:line="188" w:lineRule="exact"/>
        <w:rPr>
          <w:rFonts w:ascii="Arial" w:cs="Arial" w:eastAsia="Arial" w:hAnsi="Arial"/>
          <w:sz w:val="18"/>
          <w:szCs w:val="18"/>
          <w:color w:val="auto"/>
        </w:rPr>
      </w:pPr>
    </w:p>
    <w:p>
      <w:pPr>
        <w:ind w:left="1300" w:right="160" w:hanging="644"/>
        <w:spacing w:after="0" w:line="30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is the largest component of our operating expenses and primarily consists of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Additional sales and marketing expenses include promotional lead generation and other marketing expenses, travel, depreciation of property and equipment and facility-related expenses. We intend to hire additional personnel focused on sales and marketing and expand our sales and marketing efforts worldwide in order to capture market share in the enterprise market.</w:t>
      </w:r>
    </w:p>
    <w:p>
      <w:pPr>
        <w:spacing w:after="0" w:line="154" w:lineRule="exact"/>
        <w:rPr>
          <w:rFonts w:ascii="Arial" w:cs="Arial" w:eastAsia="Arial" w:hAnsi="Arial"/>
          <w:sz w:val="16"/>
          <w:szCs w:val="16"/>
          <w:color w:val="auto"/>
        </w:rPr>
      </w:pPr>
    </w:p>
    <w:p>
      <w:pPr>
        <w:ind w:left="1300" w:right="240" w:hanging="644"/>
        <w:spacing w:after="0" w:line="259"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securities, certificates of deposit and term deposits, commercial paper, money market funds, and U.S. government and agency securities.</w:t>
      </w:r>
    </w:p>
    <w:p>
      <w:pPr>
        <w:spacing w:after="0" w:line="1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net</w:t>
      </w:r>
      <w:r>
        <w:rPr>
          <w:rFonts w:ascii="Arial" w:cs="Arial" w:eastAsia="Arial" w:hAnsi="Arial"/>
          <w:sz w:val="18"/>
          <w:szCs w:val="18"/>
          <w:color w:val="auto"/>
        </w:rPr>
        <w:t>. Other income (expense)—net consists primarily of foreign exchange gains and losses related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as well as the gain on the sale of an investment in a privately held company.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We are subject to income taxes in the United States, as well as other tax jurisdictions or countries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business. Earnings from our non-U.S. activities are subject to income taxes in a local country, which are generally lower than U.S. tax rates, and may be subject to U.S. income taxes. Our effective tax rate differs from the U.S. statutory rate primarily due to foreign income subject to different tax rates than in the U.S., federal research and development tax credit, withholding taxes, excess tax benefits related to stock-based compensation expense and the tax impacts of the 2017 Tax Act.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December 2017, the U.S. federal government enacted the 2017 Tax Act. The 2017 Tax Act reduced the federal corporate income tax rate from 35% to 21% and created a territorial tax system with a one-time mandatory tax on foreign earnings of U.S. subsidiaries not previously subject to U.S. income tax. In December 2017, the SEC staff issued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and reflected an additional $32.6 million increase related to transition tax in the 2018 income tax expense. We expect further guidance may be forthcoming from the FASB and the SEC, as well as regulations, interpretations and rulings from federal and state tax agencies, which could result in additional impacts. We will continue to monitor and assess the impact of the 2017 Tax Act and the ongoing guidance and accounting interpretations issued in response to the 2017 Tax Act. Our selection of an accounting policy for 2018 with respect to the Global Intangible Low-Taxed Income (“GILTI”) tax rules was to treat GILTI tax as a current period expense under the period cost method.</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effective tax rate approximates the federal corporate income tax rate and also includes the impact of state taxes, excess tax benefits related to stock-based compensation expense, federal research and development tax credit, foreign withholding tax, nondeductible stock-based compensation expense, foreign income subject to lower tax rates than income earned in the United States, book-to-tax basis differences and the tax impacts of the 2017 Tax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 2018, we adopted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ASC Topic 605 (“Topic 605”), Revenue Recognition.</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Beginning in 2018, revenues are recognized when control of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25"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320" w:hanging="320"/>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as to being distinct goods or services in a contract;</w:t>
      </w: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We evaluated the criteria to be distinct under Topic 606 and concluded that the hardware and software licenses were distinct and distinct in the context of a contract from the security subscription and technical support services, as a customer can benefit from the hardware and software licenses without the services and the services are separately identifiable within a contract. We allocate a transaction price to each performance obligation based on relative standalone selling price.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a service contract that fall within a reasonably range as a percentage of list price.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previous standard, Topic 605, revenue from contracts that contain products and services is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an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Costs and Commission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Beginning in 2018, we recognized commission expense based on Topic 606's guidance for contract costs. Under this new guidance, we recognize sales commissions related to product sales upfront while sales commissions for service contracts are deferred as deferred contract costs in the consolidated balance sheets and amortized over the applicable amortization period. Costs for initial contracts that are not commensurate with renewal commissions are amortized on a straight-line basis over the period of benefit, which we have determined to be five years and which is typically longer than the initial contract term. Significant estimates, assumptions, and judgments in accounting for deferred contract costs include, but are not limited to, identification of contract costs, anticipated billings and the expected period of benefit.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Inventory is recorded at the lower of cost or net realizable value. Cost is computed using the first-in, first-out method.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Liabilities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review significant new claims and litigation for the probability of an adverse outcome. Estimates can change as individual claims develop. The actual liability in any such matters may be materially different from our estimates, which could result in the need to adjust our liability and record additional expenses.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Effective January 1, 2018, the 2017 Tax Act reduced the federal corporate income tax rate from 35% to 21% and created a territorial tax system with a one-time transition tax on foreign earnings of U.S. subsidiaries not previously subject to U.S. income tax. We expect further guidance may be forthcoming from the FASB and the SEC, as well as regulations, interpretations and rulings from federal and state tax agencies, which could result in additional impacts. Our selection of an accounting policy for 2018 with respect to the GILTI tax rules was to treat GILTI tax as a current period expense under the period cost method.</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15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7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1,126.8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1,801.2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gross profit</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Restructuring charges</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72"/>
              <w:spacing w:after="0"/>
              <w:rPr>
                <w:sz w:val="20"/>
                <w:szCs w:val="20"/>
                <w:color w:val="auto"/>
              </w:rPr>
            </w:pPr>
            <w:r>
              <w:rPr>
                <w:rFonts w:ascii="Arial" w:cs="Arial" w:eastAsia="Arial" w:hAnsi="Arial"/>
                <w:sz w:val="18"/>
                <w:szCs w:val="18"/>
                <w:color w:val="auto"/>
              </w:rPr>
              <w:t>51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rPr>
              <w:t>2018</w:t>
            </w:r>
          </w:p>
        </w:tc>
        <w:tc>
          <w:tcPr>
            <w:tcW w:w="1840" w:type="dxa"/>
            <w:vAlign w:val="bottom"/>
            <w:gridSpan w:val="7"/>
          </w:tcPr>
          <w:p>
            <w:pPr>
              <w:jc w:val="center"/>
              <w:ind w:left="1111"/>
              <w:spacing w:after="0"/>
              <w:rPr>
                <w:sz w:val="20"/>
                <w:szCs w:val="20"/>
                <w:color w:val="auto"/>
              </w:rPr>
            </w:pPr>
            <w:r>
              <w:rPr>
                <w:rFonts w:ascii="Arial" w:cs="Arial" w:eastAsia="Arial" w:hAnsi="Arial"/>
                <w:sz w:val="16"/>
                <w:szCs w:val="16"/>
                <w:b w:val="1"/>
                <w:bCs w:val="1"/>
                <w:color w:val="auto"/>
                <w:w w:val="89"/>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89"/>
              </w:rPr>
              <w:t>(as percentage of revenue)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cost of revenue</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gross margin</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5"/>
            <w:shd w:val="clear" w:color="auto" w:fill="CCEEFF"/>
          </w:tcPr>
          <w:p>
            <w:pPr>
              <w:jc w:val="right"/>
              <w:ind w:right="13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5"/>
            <w:shd w:val="clear" w:color="auto" w:fill="CCEEFF"/>
          </w:tcPr>
          <w:p>
            <w:pPr>
              <w:jc w:val="right"/>
              <w:ind w:right="13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Provision for (benefit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2018 and 2017</w:t>
            </w: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7"/>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577.2</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97.2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306.3</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642.3</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120.6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298.0</w:t>
            </w:r>
          </w:p>
        </w:tc>
        <w:tc>
          <w:tcPr>
            <w:tcW w:w="1520" w:type="dxa"/>
            <w:vAlign w:val="bottom"/>
            <w:gridSpan w:val="5"/>
          </w:tcPr>
          <w:p>
            <w:pPr>
              <w:jc w:val="right"/>
              <w:ind w:right="1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62.3</w:t>
            </w:r>
          </w:p>
        </w:tc>
        <w:tc>
          <w:tcPr>
            <w:tcW w:w="1420" w:type="dxa"/>
            <w:vAlign w:val="bottom"/>
          </w:tcPr>
          <w:p>
            <w:pPr>
              <w:ind w:left="10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306.3</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 Revenue during 2018 under Topic 606 (As Reported) and 605 (Balances Without Adoption of Topic 606)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3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APAC</w:t>
            </w:r>
          </w:p>
        </w:tc>
        <w:tc>
          <w:tcPr>
            <w:tcW w:w="3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Total revenue increased by $306.3 million, or 20%, in 2018 compared to 2017. We continued to experience global diversification of revenue in 2018. Revenue from all our regions grew, with EMEA contributing the largest portion of our revenue growth both on an absolute dollar and on a percentage basis. Product revenue increased by $97.2 million, or 17%, in 2018 compared to 2017. Product revenue benefited from the adoption of Topic 606, primarily related to the change in accounting treatment under Topic 606 for some of our software products where revenue from these arrangements can now be recognized upfront instead of ratably over the contracted service term, and partially offset by the lost opportunity to recognize revenue that had been deferred and was written off to equity on the date of adoption. In addition, FortiGate unit shipments increased in 2018 compared to 2017 while sales of non-FortiGate products, such as the Fortinet Security Fabric hardware and software products, also grew significantly. Fortinet Security Fabric products were the fastest growing products compared to the remainder of our business. Service revenue increased by $209.1 million, or 23%, in 2018 compared to 2017. The increase in service revenue was primarily due to the recognition of revenue from our growing deferred revenue balance consisting of FortiGuard security subscription and FortiCare technical support and other contracts sold to a larger customer base, as well as the renewals of similar contracts sold in earlier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180" w:type="dxa"/>
            <w:vAlign w:val="bottom"/>
            <w:gridSpan w:val="4"/>
          </w:tcPr>
          <w:p>
            <w:pPr>
              <w:ind w:left="1060"/>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366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4"/>
          </w:tcPr>
          <w:p>
            <w:pPr>
              <w:ind w:left="800"/>
              <w:spacing w:after="0"/>
              <w:rPr>
                <w:sz w:val="20"/>
                <w:szCs w:val="20"/>
                <w:color w:val="auto"/>
              </w:rPr>
            </w:pPr>
            <w:r>
              <w:rPr>
                <w:rFonts w:ascii="Arial" w:cs="Arial" w:eastAsia="Arial" w:hAnsi="Arial"/>
                <w:sz w:val="16"/>
                <w:szCs w:val="16"/>
                <w:b w:val="1"/>
                <w:bCs w:val="1"/>
                <w:color w:val="auto"/>
                <w:w w:val="97"/>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jc w:val="right"/>
              <w:ind w:right="103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291.0</w:t>
            </w:r>
          </w:p>
        </w:tc>
        <w:tc>
          <w:tcPr>
            <w:tcW w:w="1300" w:type="dxa"/>
            <w:vAlign w:val="bottom"/>
            <w:gridSpan w:val="2"/>
          </w:tcPr>
          <w:p>
            <w:pPr>
              <w:jc w:val="center"/>
              <w:ind w:right="8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19%</w:t>
            </w: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159.4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13</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450.4</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center"/>
              <w:ind w:right="9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65.1</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17%</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702"/>
        </w:trPr>
        <w:tc>
          <w:tcPr>
            <w:tcW w:w="3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gridSpan w:val="2"/>
          </w:tcPr>
          <w:p>
            <w:pPr>
              <w:jc w:val="center"/>
              <w:ind w:right="874"/>
              <w:spacing w:after="0"/>
              <w:rPr>
                <w:sz w:val="20"/>
                <w:szCs w:val="20"/>
                <w:color w:val="auto"/>
              </w:rPr>
            </w:pPr>
            <w:r>
              <w:rPr>
                <w:rFonts w:ascii="Arial" w:cs="Arial" w:eastAsia="Arial" w:hAnsi="Arial"/>
                <w:sz w:val="18"/>
                <w:szCs w:val="18"/>
                <w:color w:val="auto"/>
                <w:w w:val="89"/>
              </w:rPr>
              <w:t>53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 Cost of revenue and gross margin during 2018 under Topic 606 (As Reported) and 605 (Balances Without Adoption of Topic 606)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Balances Without Adoption</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537"/>
              <w:spacing w:after="0"/>
              <w:rPr>
                <w:sz w:val="20"/>
                <w:szCs w:val="20"/>
                <w:color w:val="auto"/>
              </w:rPr>
            </w:pPr>
            <w:r>
              <w:rPr>
                <w:rFonts w:ascii="Arial" w:cs="Arial" w:eastAsia="Arial" w:hAnsi="Arial"/>
                <w:sz w:val="16"/>
                <w:szCs w:val="16"/>
                <w:b w:val="1"/>
                <w:bCs w:val="1"/>
                <w:color w:val="auto"/>
                <w:w w:val="92"/>
              </w:rPr>
              <w:t>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294"/>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ind w:right="451"/>
              <w:spacing w:after="0"/>
              <w:rPr>
                <w:sz w:val="20"/>
                <w:szCs w:val="20"/>
                <w:color w:val="auto"/>
              </w:rPr>
            </w:pPr>
            <w:r>
              <w:rPr>
                <w:rFonts w:ascii="Arial" w:cs="Arial" w:eastAsia="Arial" w:hAnsi="Arial"/>
                <w:sz w:val="16"/>
                <w:szCs w:val="16"/>
                <w:b w:val="1"/>
                <w:bCs w:val="1"/>
                <w:color w:val="auto"/>
              </w:rPr>
              <w:t>As Reported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537"/>
              <w:spacing w:after="0"/>
              <w:rPr>
                <w:sz w:val="20"/>
                <w:szCs w:val="20"/>
                <w:color w:val="auto"/>
              </w:rPr>
            </w:pPr>
            <w:r>
              <w:rPr>
                <w:rFonts w:ascii="Arial" w:cs="Arial" w:eastAsia="Arial" w:hAnsi="Arial"/>
                <w:sz w:val="16"/>
                <w:szCs w:val="16"/>
                <w:b w:val="1"/>
                <w:bCs w:val="1"/>
                <w:color w:val="auto"/>
                <w:w w:val="89"/>
              </w:rPr>
              <w:t>Topic 606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Increase (Decrease)</w:t>
            </w:r>
          </w:p>
        </w:tc>
      </w:tr>
      <w:tr>
        <w:trPr>
          <w:trHeight w:val="3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291.0</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289.6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450.4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449.0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Total gross margin increased by 0.8 percentage points in 2018 compared to 2017, driven by higher margin on higher service revenue. Service gross margin increased by 1.3 percentage points during 2018 as compared to 2017, due to the strength of our FortiCare technical support and other revenue growing 26%. FortiGuard security subscription revenue grew 20%, during 2018 compared to 2017, which outpaced the increase in the related personnel costs and headcount growth, resulting in higher margin. Cost of service revenue was comprised primarily of personnel costs. Product gross margin decreased by 0.9 percentage points in 2018 compared to 2017, as we continued to transition to our new product introductions. Total cost of product revenue was comprised primarily of direct and indirect cost of products sold, inventory reserves and other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3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074"/>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4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87.9</w:t>
            </w:r>
          </w:p>
        </w:tc>
        <w:tc>
          <w:tcPr>
            <w:tcW w:w="1500" w:type="dxa"/>
            <w:vAlign w:val="bottom"/>
            <w:gridSpan w:val="3"/>
          </w:tcPr>
          <w:p>
            <w:pPr>
              <w:jc w:val="right"/>
              <w:ind w:right="9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120.0</w:t>
            </w: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 Operating expenses during 2018 under Topic 606 (As Reported) and 605 (Balances Without Adoption of Topic 606)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3"/>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360"/>
              <w:spacing w:after="0"/>
              <w:rPr>
                <w:sz w:val="20"/>
                <w:szCs w:val="20"/>
                <w:color w:val="auto"/>
              </w:rPr>
            </w:pPr>
            <w:r>
              <w:rPr>
                <w:rFonts w:ascii="Arial" w:cs="Arial" w:eastAsia="Arial" w:hAnsi="Arial"/>
                <w:sz w:val="16"/>
                <w:szCs w:val="16"/>
                <w:b w:val="1"/>
                <w:bCs w:val="1"/>
                <w:color w:val="auto"/>
              </w:rPr>
              <w:t>As Reported</w:t>
            </w: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Research and development expense increased by $33.9 million, or 16%, in 2018 compared to 2017, primarily due to an increase of $28.7 million in personnel costs as a result of increased headcount to support the development of new products and continued enhancements of our existing products. In addition, depreciation and other occupancy-related costs increased by $2.8 million and product development costs, such as third-party testing and prototypes, increased by $1.2 million. We intend to continue to invest in our research and development organization, and expect research and development expense to increase in absolute dollars in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and marketing expense increased by $81.3 million, or 12%, in 2018 compared to 2017, primarily due to an increase of $64.9 million in personnel costs, including higher stock-based compensation expense of $17.6 million. Sales and marketing headcount increased in order to drive market share gains globally. The increase in personnel costs included a benefit of $45.5 million from the adoption of Topic 606 related to deferred contract costs. Under Topic 606, we capitalized certain commissions on service contracts and amortize the amount over a certain period. Prior to the adoption of this new standard, we expensed the commissions related to these service contracts. Our sales and marketing expense would have increased by $126.8 million, or 18%, under Topic 605. Refer to Note 1 in our notes to the consolidated financial statements for more information. In addition, depreciation expense and other occupancy-related expense increased by $6.7 million, travel and entertainment expense increased by $6.4 million and supplies expense increased by $2.0 million. As a percentage of total revenue, sales and marketing expense decreased primarily due to the benefit from the new accounting standard on deferred contract costs. Excluding this benefit, sales and marketing expense as a percentage of revenue would have been 46% of total revenue. We intend to continue to make investments in our sales resources and infrastructure and marketing strategy, which are critical to support growth, and expect sales and marketing expense to increase in absolute dollars in 2019.</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General and administrative expense increased by $5.1 million, or 6%, in 2018 compared to 2017. Personnel costs increased by $9.8 million as we continued to increase headcount in order to support our expanding business. The increase in expense was partially offset by a decrease in litigation costs of $1.2 million and a decrease in professional fees of $0.6 million. Certain facilities, depreciation, and information technology costs are allocated to other organizations based on headcount. We expect general and administrative expense to increase in absolute dollars in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generated operating income of $231.0 million in 2018, an increase of $121.2 million, or 110%, compared to $109.8 million in 2017. The improvement in operating income included the benefit from the adoption of Topic 606, along with revenue growth outpacing expense growth. Operating income as a percentage of revenue increased to 13% in 2018 compared to 7% in 2017. The increase in operating margin is primarily due to a decline in sales and marketing expenses as a percentage of total revenue to 43% in 2018 compared to 47% in 2017. Excluding the benefit from the adoption of Topic 606, sales and marketing expense as a percentage of revenue would have been 46% of total revenue. The adoption of Topic 606 resulted in an improvement of 3 percentage points in our operating margin. In addition, general and administrative expenses as a percentage of total revenue decreased by 1 percentage point and gross margin improved by 0.8 percentage points, contributing to the improvement in operating margin. Research and development expenses as a percentage of revenue remained consistent.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720" w:type="dxa"/>
            <w:vAlign w:val="bottom"/>
            <w:gridSpan w:val="4"/>
          </w:tcPr>
          <w:p>
            <w:pPr>
              <w:jc w:val="right"/>
              <w:ind w:right="85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13.0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2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21"/>
                <w:szCs w:val="21"/>
                <w:color w:val="auto"/>
              </w:rPr>
            </w:pPr>
          </w:p>
        </w:tc>
        <w:tc>
          <w:tcPr>
            <w:tcW w:w="1780" w:type="dxa"/>
            <w:vAlign w:val="bottom"/>
          </w:tcPr>
          <w:p>
            <w:pPr>
              <w:jc w:val="right"/>
              <w:ind w:right="293"/>
              <w:spacing w:after="0"/>
              <w:rPr>
                <w:sz w:val="20"/>
                <w:szCs w:val="20"/>
                <w:color w:val="auto"/>
              </w:rPr>
            </w:pPr>
            <w:r>
              <w:rPr>
                <w:rFonts w:ascii="Arial" w:cs="Arial" w:eastAsia="Arial" w:hAnsi="Arial"/>
                <w:sz w:val="18"/>
                <w:szCs w:val="18"/>
                <w:color w:val="auto"/>
              </w:rPr>
              <w:t>(7.3)</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(1,043)</w:t>
            </w:r>
          </w:p>
        </w:tc>
      </w:tr>
    </w:tbl>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income increased in 2018 as compared to 2017, primarily due to higher interest rates on invested balances of cash, cash equivalents and investments. Interest income varies depending on our average investment balances during the period, types and mix of investments, and market interest rates. The change in other income (expense)—net in 2018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compared to 2017 was the result of $9.3 million of foreign currency transaction and hedging losses recognized in 2018, offset by $2.2 million in gain on the sale of an investment in a privately held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240" w:type="dxa"/>
            <w:vAlign w:val="bottom"/>
            <w:gridSpan w:val="3"/>
          </w:tcPr>
          <w:p>
            <w:pPr>
              <w:jc w:val="right"/>
              <w:ind w:right="296"/>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36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2017</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20" w:type="dxa"/>
            <w:vAlign w:val="bottom"/>
            <w:gridSpan w:val="3"/>
          </w:tcPr>
          <w:p>
            <w:pPr>
              <w:ind w:left="860"/>
              <w:spacing w:after="0"/>
              <w:rPr>
                <w:sz w:val="20"/>
                <w:szCs w:val="20"/>
                <w:color w:val="auto"/>
              </w:rPr>
            </w:pPr>
            <w:r>
              <w:rPr>
                <w:rFonts w:ascii="Arial" w:cs="Arial" w:eastAsia="Arial" w:hAnsi="Arial"/>
                <w:sz w:val="16"/>
                <w:szCs w:val="16"/>
                <w:b w:val="1"/>
                <w:bCs w:val="1"/>
                <w:color w:val="auto"/>
                <w:w w:val="94"/>
              </w:rPr>
              <w:t>(in millions, except percentages)</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(81.3)</w:t>
            </w:r>
          </w:p>
        </w:tc>
        <w:tc>
          <w:tcPr>
            <w:tcW w:w="128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92.6</w:t>
            </w:r>
          </w:p>
        </w:tc>
        <w:tc>
          <w:tcPr>
            <w:tcW w:w="13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1"/>
              </w:rPr>
              <w:t>(173.9)</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Provision for income taxes during 2018 under Topic 606 (As Reported) and 605 (Balances Without Adoption of Topic 606)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Balances Without Adoption</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jc w:val="center"/>
              <w:ind w:right="414"/>
              <w:spacing w:after="0"/>
              <w:rPr>
                <w:sz w:val="20"/>
                <w:szCs w:val="20"/>
                <w:color w:val="auto"/>
              </w:rPr>
            </w:pPr>
            <w:r>
              <w:rPr>
                <w:rFonts w:ascii="Arial" w:cs="Arial" w:eastAsia="Arial" w:hAnsi="Arial"/>
                <w:sz w:val="16"/>
                <w:szCs w:val="16"/>
                <w:b w:val="1"/>
                <w:bCs w:val="1"/>
                <w:color w:val="auto"/>
                <w:w w:val="92"/>
              </w:rPr>
              <w:t>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0"/>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453"/>
              <w:spacing w:after="0"/>
              <w:rPr>
                <w:sz w:val="20"/>
                <w:szCs w:val="20"/>
                <w:color w:val="auto"/>
              </w:rPr>
            </w:pPr>
            <w:r>
              <w:rPr>
                <w:rFonts w:ascii="Arial" w:cs="Arial" w:eastAsia="Arial" w:hAnsi="Arial"/>
                <w:sz w:val="16"/>
                <w:szCs w:val="16"/>
                <w:b w:val="1"/>
                <w:bCs w:val="1"/>
                <w:color w:val="auto"/>
              </w:rPr>
              <w:t>As Reported</w:t>
            </w:r>
          </w:p>
        </w:tc>
        <w:tc>
          <w:tcPr>
            <w:tcW w:w="560" w:type="dxa"/>
            <w:vAlign w:val="bottom"/>
          </w:tcPr>
          <w:p>
            <w:pPr>
              <w:spacing w:after="0"/>
              <w:rPr>
                <w:sz w:val="18"/>
                <w:szCs w:val="18"/>
                <w:color w:val="auto"/>
              </w:rPr>
            </w:pPr>
          </w:p>
        </w:tc>
        <w:tc>
          <w:tcPr>
            <w:tcW w:w="1720" w:type="dxa"/>
            <w:vAlign w:val="bottom"/>
          </w:tcPr>
          <w:p>
            <w:pPr>
              <w:jc w:val="center"/>
              <w:ind w:right="414"/>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00" w:type="dxa"/>
            <w:vAlign w:val="bottom"/>
          </w:tcPr>
          <w:p>
            <w:pPr>
              <w:jc w:val="right"/>
              <w:ind w:right="194"/>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(81.3)</w:t>
            </w:r>
          </w:p>
        </w:tc>
        <w:tc>
          <w:tcPr>
            <w:tcW w:w="5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(92.2)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29" w:lineRule="exact"/>
        <w:rPr>
          <w:sz w:val="20"/>
          <w:szCs w:val="20"/>
          <w:color w:val="auto"/>
        </w:rPr>
      </w:pPr>
    </w:p>
    <w:p>
      <w:pPr>
        <w:ind w:firstLine="693"/>
        <w:spacing w:after="0" w:line="255" w:lineRule="auto"/>
        <w:rPr>
          <w:sz w:val="20"/>
          <w:szCs w:val="20"/>
          <w:color w:val="auto"/>
        </w:rPr>
      </w:pPr>
      <w:r>
        <w:rPr>
          <w:rFonts w:ascii="Arial" w:cs="Arial" w:eastAsia="Arial" w:hAnsi="Arial"/>
          <w:sz w:val="18"/>
          <w:szCs w:val="18"/>
          <w:color w:val="auto"/>
        </w:rPr>
        <w:t>Our provision for income taxes for 2018 reflects an effective tax rate benefit of (32)%, compared to an effective tax rate provision of 75% for 2017. The benefit from income taxes for 2018 was comprised primarily of impacts related to the 2017 Tax Act including a benefit of $164.0 million from the realignment of our tax structure and operations that resulted in a book-to-tax basis difference from previously taxed off-shore deferred revenue. These benefits were partially offset by a $32.6 million increase in the transition tax for finalization of the provisional estimates under SAB 118, a $20.5 million tax expense for the impact of the GILTI and a $29.6 million of tax expense related to U.S. federal and state taxes, other foreign income taxes, foreign withholding taxes and a decrease in tax reserves.</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Effective January 1, 2018, the 2017 Tax Act reduced the federal corporate income tax rate from 35% to 21%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 In December 2017, the SEC staff issued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and reflected an increase of an additional $32.6 million related to the transition tax in the 2018 income tax expense. We expect further guidance may be forthcoming from the FASB and the SEC, as well as regulations, interpretations and rulings from federal and state tax agencies, which could result in additional impacts.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2017, the effective tax rate was 75%, primarily resulting from the deferred tax assets remeasurement and a one-time transition tax due to the 2017 Tax Act. Excluding the tax impacts from the 2017 Tax Act, our 2017 effective tax rate would have been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577.2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548.1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219.5</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642.3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105.6</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298.0</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Total revenue increased by $219.5 million, or 17%, in 2017 compared to 2016. We continued to experience global diversification of revenue in 2017. Revenue from all our regions grew, with the Americas contributing the largest portion of our revenue growth both on an absolute dollar and on a percentage basis. Product revenue increased by $29.1 million, or 5%, in 2017 compared to 2016. The increase in product revenue was primarily driven by greater sales volume in our FortiGate product family across all product categories. Sales of non-FortiGate products, such as the Fortinet Security Fabric hardware and software products, and services, also grew significantly. Service revenue increased by $190.4 million, or 26%, in 2017 compared to 2016.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180" w:type="dxa"/>
            <w:vAlign w:val="bottom"/>
            <w:gridSpan w:val="4"/>
          </w:tcPr>
          <w:p>
            <w:pPr>
              <w:jc w:val="right"/>
              <w:ind w:right="234"/>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20"/>
                <w:szCs w:val="20"/>
                <w:color w:val="auto"/>
              </w:rPr>
            </w:pP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17%</w:t>
            </w: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10</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120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14%</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Total gross margin increased by 0.7 percentage points in 2017 compared to 2016, driven by higher margin on service revenue. During 2017, service gross margin benefited from the shift to higher-margin service revenue. Product gross margin was negatively impacted by longer term deals, resulting in lower product revenue recognized in 2017 and higher deferred revenue for services that was expected to be recognized in future periods, and as a result of product costs being recognized upon shipment. As a result, the service margin expansion was partially offset by a decline in product gross margin in 2017. Total cost of product revenue was comprised primarily of direct and indirect cost of products sold, inventory reserves and other charges. Cost of service revenue was comprised primarily of personnel costs.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1055"/>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percentages)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500" w:type="dxa"/>
            <w:vAlign w:val="bottom"/>
            <w:tcBorders>
              <w:bottom w:val="single" w:sz="8" w:color="CCEEFF"/>
            </w:tcBorders>
            <w:gridSpan w:val="3"/>
            <w:shd w:val="clear" w:color="auto" w:fill="CCEEFF"/>
          </w:tcPr>
          <w:p>
            <w:pPr>
              <w:jc w:val="right"/>
              <w:ind w:right="11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5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w:t>
            </w:r>
          </w:p>
        </w:tc>
        <w:tc>
          <w:tcPr>
            <w:tcW w:w="1500" w:type="dxa"/>
            <w:vAlign w:val="bottom"/>
            <w:gridSpan w:val="3"/>
          </w:tcPr>
          <w:p>
            <w:pPr>
              <w:jc w:val="right"/>
              <w:ind w:right="1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1500" w:type="dxa"/>
            <w:vAlign w:val="bottom"/>
            <w:gridSpan w:val="3"/>
          </w:tcPr>
          <w:p>
            <w:pPr>
              <w:jc w:val="right"/>
              <w:ind w:right="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105.1</w:t>
            </w: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Research and development expense increased by $27.5 million, or 15%, in 2017 compared to 2016, primarily due to an increase of $17.6 million in personnel costs as a result of increased headcount to support the development of new products and continued enhancements of our existing products. In addition, product development costs, such as third-party testing and prototypes, increased by $6.2 million and depreciation and other occupancy-related costs increased by $3.1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Sales and marketing expense increased by $74.5 million, or 12%, in 2017 compared to 2016, primarily due to an increase of $55.1 million in personnel costs as we continued to increase our sales and marketing headcount in order to drive continued market share gains globally. Marketing-related expense increased by $11.9 million as we invested significantly in marketing programs to drive broader market awareness, build lead generation programs and accelerate pipeline. In addition, depreciation expense and other occupancy-related expense increased by $6.8 million. As a percentage of total revenue, sales and marketing expense decreased as revenue grew at a higher pace compared to personnel costs.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General and administrative expense increased by $6.8 million, or 8%, in 2017 compared to 2016. Personnel costs increased by $8.5 million as we continued to increase headcount in order to support our expanding business. Professional fees increased by $10.6 million, primarily due to the implementation of a new revenue recognition system and a litigation settlement expense of $1.8 million. The increase in expense was partially offset by a decrease in third-party costs of $13.4 million related to the substantial completion of our ERP system implementation in 2016.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generated operating income of $109.8 million in 2017, an increase of $66.9 million, or 156%, compared to $42.9 million in 2016. The improvement in operating margin was primarily due to the improvement in gross margin, and the decline in sales and marketing expenses as a percentage of total revenue. As a percentage of total revenue, sales and marketing expenses decreased to 47% in 2017 from 49%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720" w:type="dxa"/>
            <w:vAlign w:val="bottom"/>
            <w:gridSpan w:val="4"/>
          </w:tcPr>
          <w:p>
            <w:pPr>
              <w:jc w:val="right"/>
              <w:ind w:right="85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(in millions, except percentages)</w:t>
            </w: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6.2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7.8</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(110)</w:t>
            </w: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Interest income increased in 2017 as compared to 2016, primarily due to higher interest rates on invested balances of cash, cash equivalents and investments. Interest income varies depending on our average investment balances during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period, types and mix of investments, and market interest rates. The change in other income (expense)—net in 2017 as compared to 2016 was the result of a gain of approximately $1.0 million for foreign currency exchange gains in 2017 compared to a loss of $6.6 million in 2016, due primarily to changes in the value of Euro relative to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240" w:type="dxa"/>
            <w:vAlign w:val="bottom"/>
            <w:gridSpan w:val="3"/>
          </w:tcPr>
          <w:p>
            <w:pPr>
              <w:jc w:val="right"/>
              <w:ind w:right="296"/>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240" w:type="dxa"/>
            <w:vAlign w:val="bottom"/>
          </w:tcPr>
          <w:p>
            <w:pPr>
              <w:jc w:val="right"/>
              <w:ind w:right="56"/>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1300" w:type="dxa"/>
            <w:vAlign w:val="bottom"/>
          </w:tcPr>
          <w:p>
            <w:pPr>
              <w:ind w:left="820"/>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spacing w:after="0"/>
              <w:rPr>
                <w:sz w:val="20"/>
                <w:szCs w:val="20"/>
                <w:color w:val="auto"/>
              </w:rPr>
            </w:pP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00" w:type="dxa"/>
            <w:vAlign w:val="bottom"/>
            <w:gridSpan w:val="3"/>
          </w:tcPr>
          <w:p>
            <w:pPr>
              <w:ind w:left="860"/>
              <w:spacing w:after="0"/>
              <w:rPr>
                <w:sz w:val="20"/>
                <w:szCs w:val="20"/>
                <w:color w:val="auto"/>
              </w:rPr>
            </w:pPr>
            <w:r>
              <w:rPr>
                <w:rFonts w:ascii="Arial" w:cs="Arial" w:eastAsia="Arial" w:hAnsi="Arial"/>
                <w:sz w:val="16"/>
                <w:szCs w:val="16"/>
                <w:b w:val="1"/>
                <w:bCs w:val="1"/>
                <w:color w:val="auto"/>
                <w:w w:val="97"/>
              </w:rPr>
              <w:t>(in millions, except percentages)</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92.6</w:t>
            </w:r>
          </w:p>
        </w:tc>
        <w:tc>
          <w:tcPr>
            <w:tcW w:w="130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81.7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29" w:lineRule="exact"/>
        <w:rPr>
          <w:sz w:val="20"/>
          <w:szCs w:val="20"/>
          <w:color w:val="auto"/>
        </w:rPr>
      </w:pPr>
    </w:p>
    <w:p>
      <w:pPr>
        <w:ind w:right="20" w:firstLine="693"/>
        <w:spacing w:after="0" w:line="264" w:lineRule="auto"/>
        <w:rPr>
          <w:sz w:val="20"/>
          <w:szCs w:val="20"/>
          <w:color w:val="auto"/>
        </w:rPr>
      </w:pPr>
      <w:r>
        <w:rPr>
          <w:rFonts w:ascii="Arial" w:cs="Arial" w:eastAsia="Arial" w:hAnsi="Arial"/>
          <w:sz w:val="18"/>
          <w:szCs w:val="18"/>
          <w:color w:val="auto"/>
        </w:rPr>
        <w:t>Our effective tax rate was 75% for 2017, compared to an effective tax rate of 25% for 2016. The provision for income taxes for 2017 was comprised primarily of U.S. federal and state taxes, other foreign income taxes, foreign withholding taxes, an increase in tax reserves, remeasurement of deferred tax assets and a one-time transition tax.</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2017, the U.S. federal government enacted the 2017 Tax Act. The 2017 Tax Act reduced the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SEC staff has issued SAB 118, which provides guidance on accounting for the tax effects of the 2017 Tax Act. SAB 118 provides a</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measurement period that should not extend beyond one year from the 2017 Tax Act enactment date for companies to complete the accounting under ASC</w:t>
      </w:r>
    </w:p>
    <w:p>
      <w:pPr>
        <w:spacing w:after="0" w:line="32"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accordance with SAB 118, a company must reflect the income tax effects of those aspects of the 2017 Tax Act for which the accounting under ASC</w:t>
      </w:r>
    </w:p>
    <w:p>
      <w:pPr>
        <w:spacing w:after="0" w:line="32" w:lineRule="exact"/>
        <w:rPr>
          <w:rFonts w:ascii="Arial" w:cs="Arial" w:eastAsia="Arial" w:hAnsi="Arial"/>
          <w:sz w:val="16"/>
          <w:szCs w:val="16"/>
          <w:color w:val="auto"/>
        </w:rPr>
      </w:pPr>
    </w:p>
    <w:p>
      <w:pPr>
        <w:ind w:right="160" w:firstLine="8"/>
        <w:spacing w:after="0" w:line="254"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Act.</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increase in the effective tax rate in 2017 was primarily due to the deferred tax assets remeasurement and a one-time transition tax due to the 2017 Tax Act. Excluding the tax impact from the 2017 Tax Act, the 2017 effective tax rate would have been 24%, which was relatively consistent with 2016. In 2016, due to the early adoption of ASU 2016-09, approximately $10.8 million of excess tax benefits were recognized in the income tax provision. In 2017, $13.5 million of excess tax benefits was included in the income tax provision.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income data for the last eight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10"/>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1"/>
              <w:spacing w:after="0"/>
              <w:rPr>
                <w:sz w:val="20"/>
                <w:szCs w:val="20"/>
                <w:color w:val="auto"/>
              </w:rPr>
            </w:pPr>
            <w:r>
              <w:rPr>
                <w:rFonts w:ascii="Arial" w:cs="Arial" w:eastAsia="Arial" w:hAnsi="Arial"/>
                <w:sz w:val="16"/>
                <w:szCs w:val="16"/>
                <w:b w:val="1"/>
                <w:bCs w:val="1"/>
                <w:color w:val="auto"/>
              </w:rPr>
              <w:t>Dec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16"/>
              <w:spacing w:after="0"/>
              <w:rPr>
                <w:sz w:val="20"/>
                <w:szCs w:val="20"/>
                <w:color w:val="auto"/>
              </w:rPr>
            </w:pPr>
            <w:r>
              <w:rPr>
                <w:rFonts w:ascii="Arial" w:cs="Arial" w:eastAsia="Arial" w:hAnsi="Arial"/>
                <w:sz w:val="16"/>
                <w:szCs w:val="16"/>
                <w:b w:val="1"/>
                <w:bCs w:val="1"/>
                <w:color w:val="auto"/>
                <w:w w:val="91"/>
              </w:rPr>
              <w:t>Sept 30,</w:t>
            </w:r>
          </w:p>
        </w:tc>
        <w:tc>
          <w:tcPr>
            <w:tcW w:w="120" w:type="dxa"/>
            <w:vAlign w:val="bottom"/>
          </w:tcPr>
          <w:p>
            <w:pPr>
              <w:spacing w:after="0"/>
              <w:rPr>
                <w:sz w:val="18"/>
                <w:szCs w:val="18"/>
                <w:color w:val="auto"/>
              </w:rPr>
            </w:pPr>
          </w:p>
        </w:tc>
        <w:tc>
          <w:tcPr>
            <w:tcW w:w="1000" w:type="dxa"/>
            <w:vAlign w:val="bottom"/>
            <w:gridSpan w:val="5"/>
          </w:tcPr>
          <w:p>
            <w:pPr>
              <w:ind w:left="200"/>
              <w:spacing w:after="0"/>
              <w:rPr>
                <w:sz w:val="20"/>
                <w:szCs w:val="20"/>
                <w:color w:val="auto"/>
              </w:rPr>
            </w:pPr>
            <w:r>
              <w:rPr>
                <w:rFonts w:ascii="Arial" w:cs="Arial" w:eastAsia="Arial" w:hAnsi="Arial"/>
                <w:sz w:val="16"/>
                <w:szCs w:val="16"/>
                <w:b w:val="1"/>
                <w:bCs w:val="1"/>
                <w:color w:val="auto"/>
              </w:rPr>
              <w:t>Jun 30,</w:t>
            </w: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7"/>
              </w:rPr>
              <w:t>Mar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89"/>
              </w:rPr>
              <w:t>Dec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1"/>
              </w:rPr>
              <w:t>Sept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1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17"/>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17"/>
          </w:tcPr>
          <w:p>
            <w:pPr>
              <w:jc w:val="right"/>
              <w:ind w:right="580"/>
              <w:spacing w:after="0"/>
              <w:rPr>
                <w:sz w:val="20"/>
                <w:szCs w:val="20"/>
                <w:color w:val="auto"/>
              </w:rPr>
            </w:pPr>
            <w:r>
              <w:rPr>
                <w:rFonts w:ascii="Arial" w:cs="Arial" w:eastAsia="Arial" w:hAnsi="Arial"/>
                <w:sz w:val="16"/>
                <w:szCs w:val="16"/>
                <w:b w:val="1"/>
                <w:bCs w:val="1"/>
                <w:color w:val="auto"/>
                <w:w w:val="93"/>
              </w:rPr>
              <w:t>(in millions, except per share 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Statements of Income Data: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200.8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164.5</w:t>
            </w:r>
          </w:p>
        </w:tc>
        <w:tc>
          <w:tcPr>
            <w:tcW w:w="38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w w:val="88"/>
              </w:rPr>
              <w:t>142.8</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162.1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6"/>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37"/>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8"/>
                <w:szCs w:val="18"/>
                <w:color w:val="auto"/>
                <w:w w:val="88"/>
              </w:rPr>
              <w:t>256.2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ind w:right="19"/>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507.0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w w:val="88"/>
              </w:rPr>
              <w:t>399.0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(1)(2)</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69.6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18"/>
                <w:szCs w:val="18"/>
                <w:color w:val="auto"/>
                <w:vertAlign w:val="superscript"/>
              </w:rPr>
              <w:t>(1)(2)</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5"/>
              </w:rPr>
              <w:t>35.8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3"/>
              </w:rPr>
              <w:t>Total cost of revenue</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128.5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7"/>
        </w:trPr>
        <w:tc>
          <w:tcPr>
            <w:tcW w:w="2420" w:type="dxa"/>
            <w:vAlign w:val="bottom"/>
          </w:tcPr>
          <w:p>
            <w:pPr>
              <w:ind w:left="820"/>
              <w:spacing w:after="0"/>
              <w:rPr>
                <w:sz w:val="20"/>
                <w:szCs w:val="20"/>
                <w:color w:val="auto"/>
              </w:rPr>
            </w:pPr>
            <w:r>
              <w:rPr>
                <w:rFonts w:ascii="Arial" w:cs="Arial" w:eastAsia="Arial" w:hAnsi="Arial"/>
                <w:sz w:val="18"/>
                <w:szCs w:val="18"/>
                <w:color w:val="auto"/>
              </w:rPr>
              <w:t>Total gross profit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378.5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w w:val="88"/>
              </w:rPr>
              <w:t>301.8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280.6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gridSpan w:val="2"/>
          </w:tcPr>
          <w:p>
            <w:pPr>
              <w:ind w:left="380"/>
              <w:spacing w:after="0"/>
              <w:rPr>
                <w:sz w:val="20"/>
                <w:szCs w:val="20"/>
                <w:color w:val="auto"/>
              </w:rPr>
            </w:pPr>
            <w:r>
              <w:rPr>
                <w:rFonts w:ascii="Arial" w:cs="Arial" w:eastAsia="Arial" w:hAnsi="Arial"/>
                <w:sz w:val="18"/>
                <w:szCs w:val="18"/>
                <w:color w:val="auto"/>
                <w:w w:val="93"/>
              </w:rPr>
              <w:t xml:space="preserve">Research and development </w:t>
            </w:r>
            <w:r>
              <w:rPr>
                <w:rFonts w:ascii="Arial" w:cs="Arial" w:eastAsia="Arial" w:hAnsi="Arial"/>
                <w:sz w:val="18"/>
                <w:szCs w:val="18"/>
                <w:color w:val="auto"/>
                <w:w w:val="93"/>
                <w:vertAlign w:val="superscript"/>
              </w:rPr>
              <w:t>(1)</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36"/>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3"/>
          </w:tcPr>
          <w:p>
            <w:pPr>
              <w:jc w:val="right"/>
              <w:ind w:right="37"/>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w w:val="85"/>
              </w:rPr>
              <w:t>54.7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(1)(2)</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w w:val="88"/>
              </w:rPr>
              <w:t>185.3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62"/>
        </w:trPr>
        <w:tc>
          <w:tcPr>
            <w:tcW w:w="2640" w:type="dxa"/>
            <w:vAlign w:val="bottom"/>
            <w:gridSpan w:val="2"/>
          </w:tcPr>
          <w:p>
            <w:pPr>
              <w:ind w:left="380"/>
              <w:spacing w:after="0"/>
              <w:rPr>
                <w:sz w:val="20"/>
                <w:szCs w:val="20"/>
                <w:color w:val="auto"/>
              </w:rPr>
            </w:pPr>
            <w:r>
              <w:rPr>
                <w:rFonts w:ascii="Arial" w:cs="Arial" w:eastAsia="Arial" w:hAnsi="Arial"/>
                <w:sz w:val="18"/>
                <w:szCs w:val="18"/>
                <w:color w:val="auto"/>
                <w:w w:val="95"/>
              </w:rPr>
              <w:t xml:space="preserve">General and administrative </w:t>
            </w:r>
            <w:r>
              <w:rPr>
                <w:rFonts w:ascii="Arial" w:cs="Arial" w:eastAsia="Arial" w:hAnsi="Arial"/>
                <w:sz w:val="18"/>
                <w:szCs w:val="18"/>
                <w:color w:val="auto"/>
                <w:w w:val="95"/>
                <w:vertAlign w:val="superscript"/>
              </w:rPr>
              <w:t>(1)</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3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3"/>
          </w:tcPr>
          <w:p>
            <w:pPr>
              <w:jc w:val="right"/>
              <w:ind w:right="37"/>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w w:val="85"/>
              </w:rPr>
              <w:t>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8"/>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2640" w:type="dxa"/>
            <w:vAlign w:val="bottom"/>
            <w:gridSpan w:val="2"/>
          </w:tcPr>
          <w:p>
            <w:pPr>
              <w:ind w:left="820"/>
              <w:spacing w:after="0"/>
              <w:rPr>
                <w:sz w:val="20"/>
                <w:szCs w:val="20"/>
                <w:color w:val="auto"/>
              </w:rPr>
            </w:pPr>
            <w:r>
              <w:rPr>
                <w:rFonts w:ascii="Arial" w:cs="Arial" w:eastAsia="Arial" w:hAnsi="Arial"/>
                <w:sz w:val="18"/>
                <w:szCs w:val="18"/>
                <w:color w:val="auto"/>
                <w:w w:val="89"/>
              </w:rPr>
              <w:t>Total operating expenses</w:t>
            </w: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293.4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w w:val="88"/>
              </w:rPr>
              <w:t>269.4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income (expense)—net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5"/>
              </w:rPr>
              <w:t>45.0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5"/>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182.6</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1"/>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0.33</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9"/>
                <w:szCs w:val="9"/>
                <w:color w:val="auto"/>
              </w:rPr>
              <w:t>_______________________________________________</w:t>
            </w: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60" w:type="dxa"/>
            <w:vAlign w:val="bottom"/>
            <w:gridSpan w:val="4"/>
          </w:tcPr>
          <w:p>
            <w:pPr>
              <w:spacing w:after="0"/>
              <w:rPr>
                <w:sz w:val="20"/>
                <w:szCs w:val="20"/>
                <w:color w:val="auto"/>
              </w:rPr>
            </w:pPr>
            <w:r>
              <w:rPr>
                <w:rFonts w:ascii="Arial" w:cs="Arial" w:eastAsia="Arial" w:hAnsi="Arial"/>
                <w:sz w:val="14"/>
                <w:szCs w:val="14"/>
                <w:color w:val="auto"/>
              </w:rPr>
              <w:t>(1) Includes stock-based compensation as follows: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8"/>
          </w:tcPr>
          <w:p>
            <w:pPr>
              <w:jc w:val="center"/>
              <w:ind w:left="197"/>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Sept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left="16"/>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Mar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74"/>
              <w:spacing w:after="0"/>
              <w:rPr>
                <w:sz w:val="20"/>
                <w:szCs w:val="20"/>
                <w:color w:val="auto"/>
              </w:rPr>
            </w:pPr>
            <w:r>
              <w:rPr>
                <w:rFonts w:ascii="Arial" w:cs="Arial" w:eastAsia="Arial" w:hAnsi="Arial"/>
                <w:sz w:val="16"/>
                <w:szCs w:val="16"/>
                <w:b w:val="1"/>
                <w:bCs w:val="1"/>
                <w:color w:val="auto"/>
              </w:rPr>
              <w:t>Dec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87"/>
              </w:rPr>
              <w:t>Sept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120" w:type="dxa"/>
            <w:vAlign w:val="bottom"/>
            <w:gridSpan w:val="5"/>
          </w:tcPr>
          <w:p>
            <w:pPr>
              <w:jc w:val="right"/>
              <w:ind w:right="15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center"/>
              <w:ind w:right="134"/>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5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780" w:type="dxa"/>
            <w:vAlign w:val="bottom"/>
            <w:tcBorders>
              <w:bottom w:val="single" w:sz="8" w:color="CCEEFF"/>
            </w:tcBorders>
            <w:gridSpan w:val="3"/>
            <w:shd w:val="clear" w:color="auto" w:fill="CCEEFF"/>
          </w:tcPr>
          <w:p>
            <w:pPr>
              <w:jc w:val="right"/>
              <w:ind w:right="37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40" w:type="dxa"/>
            <w:vAlign w:val="bottom"/>
            <w:tcBorders>
              <w:bottom w:val="single" w:sz="8" w:color="CCEEFF"/>
            </w:tcBorders>
            <w:gridSpan w:val="3"/>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Cost of service revenue</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9"/>
              </w:rPr>
              <w:t>26.0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19.6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0"/>
        </w:trPr>
        <w:tc>
          <w:tcPr>
            <w:tcW w:w="2420" w:type="dxa"/>
            <w:vAlign w:val="bottom"/>
          </w:tcPr>
          <w:p>
            <w:pPr>
              <w:ind w:left="380"/>
              <w:spacing w:after="0"/>
              <w:rPr>
                <w:sz w:val="20"/>
                <w:szCs w:val="20"/>
                <w:color w:val="auto"/>
              </w:rPr>
            </w:pPr>
            <w:r>
              <w:rPr>
                <w:rFonts w:ascii="Arial" w:cs="Arial" w:eastAsia="Arial" w:hAnsi="Arial"/>
                <w:sz w:val="16"/>
                <w:szCs w:val="16"/>
                <w:color w:val="auto"/>
              </w:rPr>
              <w:t>Total stock-based</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6"/>
                <w:szCs w:val="16"/>
                <w:color w:val="auto"/>
              </w:rPr>
              <w:t>42.6</w:t>
            </w:r>
          </w:p>
        </w:tc>
        <w:tc>
          <w:tcPr>
            <w:tcW w:w="10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6"/>
                <w:szCs w:val="16"/>
                <w:color w:val="auto"/>
                <w:w w:val="89"/>
              </w:rPr>
              <w:t>43.2</w:t>
            </w:r>
          </w:p>
        </w:tc>
        <w:tc>
          <w:tcPr>
            <w:tcW w:w="8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58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3"/>
              </w:rPr>
              <w:t>34.4</w:t>
            </w:r>
          </w:p>
        </w:tc>
        <w:tc>
          <w:tcPr>
            <w:tcW w:w="10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7"/>
                <w:szCs w:val="17"/>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9"/>
        </w:trPr>
        <w:tc>
          <w:tcPr>
            <w:tcW w:w="2420" w:type="dxa"/>
            <w:vAlign w:val="bottom"/>
          </w:tcPr>
          <w:p>
            <w:pPr>
              <w:ind w:left="380"/>
              <w:spacing w:after="0"/>
              <w:rPr>
                <w:sz w:val="20"/>
                <w:szCs w:val="20"/>
                <w:color w:val="auto"/>
              </w:rPr>
            </w:pPr>
            <w:r>
              <w:rPr>
                <w:rFonts w:ascii="Arial" w:cs="Arial" w:eastAsia="Arial" w:hAnsi="Arial"/>
                <w:sz w:val="16"/>
                <w:szCs w:val="16"/>
                <w:color w:val="auto"/>
              </w:rPr>
              <w:t>compensation expense</w:t>
            </w:r>
          </w:p>
        </w:tc>
        <w:tc>
          <w:tcPr>
            <w:tcW w:w="2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(2) Total amortization included in product costs, service costs, and sales and marketing expense are as follows:</w:t>
      </w:r>
    </w:p>
    <w:p>
      <w:pPr>
        <w:spacing w:after="0" w:line="330"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37465</wp:posOffset>
            </wp:positionV>
            <wp:extent cx="5720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 31,</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Sept 30,</w:t>
            </w:r>
          </w:p>
        </w:tc>
        <w:tc>
          <w:tcPr>
            <w:tcW w:w="20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 30,</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Mar 31,</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Dec 31,</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 30,</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 30,</w:t>
            </w:r>
          </w:p>
        </w:tc>
        <w:tc>
          <w:tcPr>
            <w:tcW w:w="180" w:type="dxa"/>
            <w:vAlign w:val="bottom"/>
          </w:tcPr>
          <w:p>
            <w:pPr>
              <w:spacing w:after="0"/>
              <w:rPr>
                <w:sz w:val="17"/>
                <w:szCs w:val="17"/>
                <w:color w:val="auto"/>
              </w:rPr>
            </w:pPr>
          </w:p>
        </w:tc>
        <w:tc>
          <w:tcPr>
            <w:tcW w:w="84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Mar 31,</w:t>
            </w: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buying, followed by an increase in buying in the second quarter. The third quarter is often consistent with the second quarter.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9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Consistent with the seasonality note above, our total quarterly revenue over the past eight quarters has generally increased sequentially in each quarter, except in the first and third quarters of 2018 and 2017. Product revenue, in each quarter in 2018, increased as compared to the same quarter in 2017, which we believe was due to investments we made in our sales and marketing organizations, continued product innovation and a robust security market. We continue to see a shift from product revenue to higher-margin, recurring service revenue, which is a result of our growing customer base.</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gross margin has fluctuated on a quarterly basis primarily due to seasonality of product sales and seasonality of cost increases. Product gross margin varies based on the types of products sold and the average selling prices of our products. In 2018, product gross margin was impacted by new product introductions and the mix of high-end, mid-range and entry-level products. Service gross margin benefited from the growth of our customer base and renewals.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601.5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1,310.5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real estate and other capital expenditures, proceeds associated with stock option exercises and issuances of common stock under our equity incentive plans, payment of taxes in connection with the net settlement of equity awards and business acquisitions. In recent years, we have received significant capital resources as a result of increases in our deferred revenue and the proceeds from exercise of stock options and purchases under our equity incentive plans. Additional increases in deferred revenue may depend on a number of factors including our billing growth rate, service contract renewal rates and length of initial and renewals service contracts. We expect proceeds from the issuance of stock options in future years to be impacted by the increased mix of restricted stock units versus stock options granted and also to vary based on our share price. As of December 31, 2018, $733.8 million remained available for future share repurchase under the Repurchase Program.</w:t>
      </w:r>
    </w:p>
    <w:p>
      <w:pPr>
        <w:spacing w:after="0" w:line="19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Construction to our new headquarters building started in the fourth quarter of 2018 and related spending will continue in 2019 and until project completion. We estimate 2019 spending on the project to be between $60.0 million to $80.0 million dollars.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December 31, 2018, our cash, cash equivalents and investments of $1.72 billion were invested primarily in corporate debt securities, certificates of deposit and term deposits, commercial paper, money market funds, and U.S. government and agency securities. It is our investment policy to invest excess cash in a manner that preserves capital, provides liquidity and maximizes return without significantly increasing risk. We do not enter into investments for trading or speculative purposes.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amount of cash, cash equivalents and investments held by our international subsidiaries was $956.6 million as of December 31, 2018. Under the 2017 Tax Act signed into law in December 2017,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were previously deemed indefinitely reinvested. For those investments from which we were able to make a reasonable estimate of the tax effects of such repatriation, we have recorded a provisional estimate for withholding and state taxes. Most of our off-shore cash is located in Singapore.</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in connection with the adoption of Topic 606, depreciation of property and equipment, amortization of intangible assets and amortization of investment premiums.</w:t>
      </w:r>
    </w:p>
    <w:p>
      <w:pPr>
        <w:spacing w:after="0" w:line="18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operating activities during 2018 provided $638.9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26% as of December 31, 2018 compared to the same period last year to $1.69 billion.</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operating activities during 2017 provided $594.4 million in cash as a result of our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which was partially offset by an increase in accounts receivable. We continued to see a shift from product revenues to higher-margin, recurring service revenues and longer duration contracts. Our total revenue grew 17% in 2017 compared to 2016 and our total deferred revenue balance grew 29%.</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operating activities during 2016 provided $345.7 million in cash as a result of our continued growth of our business and the ability to successfully manage our working capital. Changes in operating assets and liabilities primarily resulted from an increase in sales of our FortiGuard security subscription and FortiCare technical supports to new and existing customers, as reflected by an increase in our deferred revenue, which was partially offset by an increase in accounts receivable and payments for inventory purchases. We also started to see a shift from product revenues to higher-margin, recurring service revenues. Our total revenue grew 26% in 2016 compared to 2015, while our total deferred revenue balance grew 31%.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and payments made in connection with business acquisitions. Historically, in making a lease versus purchase decision related to our larger facilities, we have considered various factors including financial metrics and the impact on our employees. In certain cases, we have elected to purchase the facility if we believed that purchasing rather than leasing is more in line with our long-term strategy. We expect to make similar decisions in the future.</w:t>
      </w:r>
    </w:p>
    <w:p>
      <w:pPr>
        <w:spacing w:after="0" w:line="154"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During 2018, cash used in investing activities was primarily due to $60.2 million spent for purchases of our investments, net of maturities and sales of investments, $53.0 million spent on capital expenditures and $21.7 million used for the acquisitions of Bradford and ZoneFox, net of cash acquired.</w:t>
      </w:r>
    </w:p>
    <w:p>
      <w:pPr>
        <w:spacing w:after="0" w:line="12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During 2017, cash used in investing activities was primarily due to $135.3 million we spent on capital expenditures, including our purchases of real estate properties in Canada and Sunnyvale, California, for total cash of $107.2 million. The outflow of cash was partially offset by positive cash flow due to maturities and sales, net of purchases, from our investments of $58.5 million.</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During 2016, cash used in investing activities was primarily due to $67.2 million we spent on capital expenditures, including our purchases of a warehouse in Union City, California, for total cash of $18.5 million, and a $22.1 million payment for the acquisition of AccelOps. The outflow of cash was partially offset by positive cash flow due to maturities and sales, net of purchases, from our investments of $15.1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proceeds from the issuance of common stock under our equity incentive plans, taxes paid related to net share settlement of equity awards and payments of debt assumed in business combinations.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2018, cash used in financing activities was $202.6 million, primarily due to $211.8 million used to repurchase our common stock and $10.1 million of payments of the debt assumed in business combinations. This was partially offset by $19.3 million of proceeds from the issuance of common stock, net of tax withholding.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2017, cash used in financing activities was $415.6 million, primarily due to $446.3 million used to repurchase our common stock. This was partially offset by $30.7 million of proceeds from the issuance of common stock, net of tax withholding.</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2016, cash used in financing activities was $105.9 million, primarily due to $110.8 million used to repurchase our common stock. This was partially offset by $6.5 million of proceeds from the issuance of common stock, net of tax withholding.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2018:</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gridSpan w:val="6"/>
          </w:tcPr>
          <w:p>
            <w:pPr>
              <w:jc w:val="center"/>
              <w:ind w:left="532"/>
              <w:spacing w:after="0"/>
              <w:rPr>
                <w:sz w:val="20"/>
                <w:szCs w:val="20"/>
                <w:color w:val="auto"/>
              </w:rPr>
            </w:pPr>
            <w:r>
              <w:rPr>
                <w:rFonts w:ascii="Arial" w:cs="Arial" w:eastAsia="Arial" w:hAnsi="Arial"/>
                <w:sz w:val="16"/>
                <w:szCs w:val="16"/>
                <w:b w:val="1"/>
                <w:bCs w:val="1"/>
                <w:color w:val="auto"/>
                <w:w w:val="90"/>
              </w:rPr>
              <w:t>Payments Due by Period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6"/>
                <w:szCs w:val="16"/>
                <w:b w:val="1"/>
                <w:bCs w:val="1"/>
                <w:color w:val="auto"/>
                <w:w w:val="97"/>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 than 1 year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1 - 3 years</w:t>
            </w: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3 - 5 years</w:t>
            </w:r>
          </w:p>
        </w:tc>
        <w:tc>
          <w:tcPr>
            <w:tcW w:w="160" w:type="dxa"/>
            <w:vAlign w:val="bottom"/>
          </w:tcPr>
          <w:p>
            <w:pPr>
              <w:spacing w:after="0"/>
              <w:rPr>
                <w:sz w:val="18"/>
                <w:szCs w:val="18"/>
                <w:color w:val="auto"/>
              </w:rPr>
            </w:pPr>
          </w:p>
        </w:tc>
        <w:tc>
          <w:tcPr>
            <w:tcW w:w="1080" w:type="dxa"/>
            <w:vAlign w:val="bottom"/>
          </w:tcPr>
          <w:p>
            <w:pPr>
              <w:jc w:val="right"/>
              <w:ind w:right="35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Inventory purchase commitments </w:t>
            </w:r>
            <w:r>
              <w:rPr>
                <w:rFonts w:ascii="Arial" w:cs="Arial" w:eastAsia="Arial" w:hAnsi="Arial"/>
                <w:sz w:val="18"/>
                <w:szCs w:val="18"/>
                <w:color w:val="auto"/>
                <w:vertAlign w:val="superscript"/>
              </w:rPr>
              <w:t>(2)</w:t>
            </w:r>
          </w:p>
        </w:tc>
        <w:tc>
          <w:tcPr>
            <w:tcW w:w="2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700" w:type="dxa"/>
            <w:vAlign w:val="bottom"/>
            <w:vMerge w:val="restart"/>
          </w:tcPr>
          <w:p>
            <w:pPr>
              <w:jc w:val="right"/>
              <w:ind w:right="2450"/>
              <w:spacing w:after="0"/>
              <w:rPr>
                <w:sz w:val="20"/>
                <w:szCs w:val="20"/>
                <w:color w:val="auto"/>
              </w:rPr>
            </w:pPr>
            <w:r>
              <w:rPr>
                <w:rFonts w:ascii="Arial" w:cs="Arial" w:eastAsia="Arial" w:hAnsi="Arial"/>
                <w:sz w:val="18"/>
                <w:szCs w:val="18"/>
                <w:color w:val="auto"/>
                <w:w w:val="89"/>
              </w:rPr>
              <w:t>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w:t>
      </w:r>
    </w:p>
    <w:p>
      <w:pPr>
        <w:spacing w:after="0" w:line="156"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addition to commitments with contract manufacturers, we have open purchase orders and contractual obligations in the ordinary course of business for which we have not received goods or services. As of December 31, 2018, we had $14.3 million in other contractual commitments having a remaining term in excess of one year that may not be cancelable.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of December 31, 2018, we had $77.5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During 2018, 2017 and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certificates of deposit and term deposits, commercial paper, money market funds, and U.S. government and agency securities. The risk associated with fluctuating interest rates is limited to our investment portfolio. A 10% decrease in interest rates in 2018, 2017 and 2016 would have resulted in an insignificant decrease in our interest income in each of these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income (expense)—net in the consolidated statements of income. We recognized an expense of $9.3 million in 2018 due to foreign currency transaction and hedging losses.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$6.2 million change in the value of our foreign currency cash balances as of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Income</w:t>
              </w:r>
            </w:hyperlink>
          </w:p>
        </w:tc>
        <w:tc>
          <w:tcPr>
            <w:tcW w:w="8140" w:type="dxa"/>
            <w:vAlign w:val="bottom"/>
            <w:gridSpan w:val="6"/>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supplementary financial information required by this Item 8 is included in Part II, Item 7 of this Annual Report on Form 10-K under the caption “Management’s Discussion and Analysis of Financial Condition and Results of Operations—Quarterly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2018 and 2017, the related consolidated statements of income, comprehensive income, stockholders’ equity, and cash flows for each of the three years in the period ended December 31, 2018, and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26, 2019,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revenue in fiscal 2018 due to adoption of the new revenue standard.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2" w:right="2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440.3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Accounts receivable—Net of reserves for doubtful accounts of $0.9 million at December 31, 2018 and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of reserves for sales returns and doubtful accounts of $14.5 million at December 31, 2017</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3,078.0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2,257.9</w:t>
            </w:r>
          </w:p>
        </w:tc>
      </w:tr>
      <w:tr>
        <w:trPr>
          <w:trHeight w:val="176"/>
        </w:trPr>
        <w:tc>
          <w:tcPr>
            <w:tcW w:w="1020" w:type="dxa"/>
            <w:vAlign w:val="bottom"/>
            <w:shd w:val="clear" w:color="auto" w:fill="CCEEFF"/>
          </w:tcPr>
          <w:p>
            <w:pPr>
              <w:spacing w:after="0"/>
              <w:rPr>
                <w:sz w:val="15"/>
                <w:szCs w:val="15"/>
                <w:color w:val="auto"/>
              </w:rPr>
            </w:pPr>
          </w:p>
        </w:tc>
        <w:tc>
          <w:tcPr>
            <w:tcW w:w="7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793.8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gridSpan w:val="2"/>
          </w:tcPr>
          <w:p>
            <w:pPr>
              <w:ind w:left="500"/>
              <w:spacing w:after="0"/>
              <w:rPr>
                <w:sz w:val="20"/>
                <w:szCs w:val="20"/>
                <w:color w:val="auto"/>
              </w:rPr>
            </w:pPr>
            <w:r>
              <w:rPr>
                <w:rFonts w:ascii="Arial" w:cs="Arial" w:eastAsia="Arial" w:hAnsi="Arial"/>
                <w:sz w:val="18"/>
                <w:szCs w:val="18"/>
                <w:color w:val="auto"/>
                <w:w w:val="89"/>
              </w:rPr>
              <w:t>Common stock, $0.001 par value—300 shares authorized; 169.8 and 167.9 shares issued and outstanding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December 31, 2018 and 2017,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2,257.9</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14"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1,126.8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1,801.2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1,350.8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1,119.8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9):</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w w:val="99"/>
              </w:rPr>
              <w:t>Tax provision (benefit) related to change in unrealized gains (losses) on investments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9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Earnings</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2015</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Cumulative-effect adjustment from adoption of ASU 2016-09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unrealized gain on investments - net of tax</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BALANCE—December 31, 2016</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800.6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837.7</w:t>
            </w:r>
          </w:p>
        </w:tc>
        <w:tc>
          <w:tcPr>
            <w:tcW w:w="0" w:type="dxa"/>
            <w:vAlign w:val="bottom"/>
          </w:tcPr>
          <w:p>
            <w:pPr>
              <w:spacing w:after="0"/>
              <w:rPr>
                <w:sz w:val="1"/>
                <w:szCs w:val="1"/>
                <w:color w:val="auto"/>
              </w:rPr>
            </w:pPr>
          </w:p>
        </w:tc>
      </w:tr>
      <w:tr>
        <w:trPr>
          <w:trHeight w:val="163"/>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BALANCE—December 31, 2017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163"/>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Cumulative effect adjustments from adoption of Topic 606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BALANCE—December 31, 2018</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1,068.3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2" w:right="29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332.2</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122.4</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55.7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48.5</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163"/>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w w:val="98"/>
              </w:rPr>
              <w:t>Changes in operating assets and liabilities, net of assets acquired and liabilities assumed in business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acquisitions: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352.1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243.0</w:t>
            </w:r>
          </w:p>
        </w:tc>
      </w:tr>
      <w:tr>
        <w:trPr>
          <w:trHeight w:val="270"/>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8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638.9</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(473.6)</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578.8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460.5</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Payments made in connection with business acquisitions, net of cash acquired</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56"/>
        </w:trPr>
        <w:tc>
          <w:tcPr>
            <w:tcW w:w="70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8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44.8</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Payments of debt assumed in connection with business acquisitions</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70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840" w:type="dxa"/>
            <w:vAlign w:val="bottom"/>
          </w:tcPr>
          <w:p>
            <w:pPr>
              <w:spacing w:after="0"/>
              <w:rPr>
                <w:sz w:val="21"/>
                <w:szCs w:val="21"/>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301.4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165.7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8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811.0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543.3</w:t>
            </w:r>
          </w:p>
        </w:tc>
      </w:tr>
      <w:tr>
        <w:trPr>
          <w:trHeight w:val="283"/>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EQUIVALENTS—End of year</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89"/>
              </w:rPr>
              <w:t>1,112.4</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811.0</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709.0</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8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Pr>
          <w:p>
            <w:pPr>
              <w:ind w:left="500"/>
              <w:spacing w:after="0"/>
              <w:rPr>
                <w:sz w:val="20"/>
                <w:szCs w:val="20"/>
                <w:color w:val="auto"/>
              </w:rPr>
            </w:pPr>
            <w:r>
              <w:rPr>
                <w:rFonts w:ascii="Arial" w:cs="Arial" w:eastAsia="Arial" w:hAnsi="Arial"/>
                <w:sz w:val="14"/>
                <w:szCs w:val="14"/>
                <w:color w:val="auto"/>
              </w:rPr>
              <w:t>Cash paid for income taxes—net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26.6</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8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w:t>
            </w:r>
          </w:p>
        </w:tc>
      </w:tr>
      <w:tr>
        <w:trPr>
          <w:trHeight w:val="21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20"/>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360" w:firstLine="648"/>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—Fortinet, Inc. (“Fortinet”) was incorporated in Delaware in November 2000 and is a global leader in broad, integrated and automated</w:t>
      </w:r>
      <w:r>
        <w:rPr>
          <w:rFonts w:ascii="Arial" w:cs="Arial" w:eastAsia="Arial" w:hAnsi="Arial"/>
          <w:sz w:val="17"/>
          <w:szCs w:val="17"/>
          <w:b w:val="1"/>
          <w:bCs w:val="1"/>
          <w:color w:val="auto"/>
        </w:rPr>
        <w:t xml:space="preserve"> </w:t>
      </w:r>
      <w:r>
        <w:rPr>
          <w:rFonts w:ascii="Arial" w:cs="Arial" w:eastAsia="Arial" w:hAnsi="Arial"/>
          <w:sz w:val="17"/>
          <w:szCs w:val="17"/>
          <w:color w:val="auto"/>
        </w:rPr>
        <w:t>cybersecurity solutions. Fortinet provides high performance cybersecurity solutions to a wide variety of businesses, such as enterprises, communication service providers and small businesses. Fortinet’s cybersecurity solutions are designed to provide broad visibility and segmentation of the digital attack surface, through our integrated Security Fabric Platform with automated protection, detection and responses.</w:t>
      </w:r>
    </w:p>
    <w:p>
      <w:pPr>
        <w:spacing w:after="0" w:line="16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 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in accordance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amounts reported in the consolidated financial statements and accompanying notes. Such management estimates include, but are not limited to, the standalone selling price for each distinct performance obligation included in customer contracts with multiple performance obligations, the period of benefit for deferred contract costs for commissions, stock-based compensation, inventory valuation, fair value of assets acquired and liabilities assumed in business combinations, measurement of liabilities for uncertain tax positions and deferred tax assets and liabilities, assessment of recoverability of our goodwill and other long-lived assets, sales returns reserve and contingent liabilities. We base our estimates on historical experience and also on assumptions that we believe are reasonable. Actual results could differ from those estimates.</w:t>
      </w:r>
    </w:p>
    <w:p>
      <w:pPr>
        <w:spacing w:after="0" w:line="17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investments and accounts receivable. Our cash balances are maintained as deposits with various large financial institutions in the United States and around the world. Balances in the United States typically exceed the amount of insurance provided on such deposits. We maintain our cash equivalents and investments in money market funds, commercial paper and fixed income securities with major financial institutions that our management believes are financially sound.</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accounts receivables are primarily derived from our channel partners in various geographic locations. We perform ongoing credit evaluations of our customers. We generally do not require collateral on accounts receivable, and we maintain reserves for estimated potential credit losses. In July 2017, Exclusive Networks Group (“Exclusive”), which distributes our solutions to a large group of resellers and end-customers, acquired the U.S. division of Fine Tec Computers (“Fine Tec U.S.”). Fine Tec U.S.’s revenue and accounts receivable have been combined with Exclusive’s from the date of acquisition. As of December 31, 2018 and 2017 Exclusive accounted for 38% and 35% of total net accounts receivable, respectively.</w:t>
      </w:r>
    </w:p>
    <w:p>
      <w:pPr>
        <w:spacing w:after="0" w:line="17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During 2018, Exclusive and Ingram Micro Inc. accounted for 30% and 10% of total revenue, respectively. During 2017 and 2016, Exclusive accounted for 25% and 20% of total revenue, respectively.</w:t>
      </w:r>
    </w:p>
    <w:p>
      <w:pPr>
        <w:spacing w:after="0" w:line="166"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t>
      </w:r>
      <w:r>
        <w:rPr>
          <w:rFonts w:ascii="Arial" w:cs="Arial" w:eastAsia="Arial" w:hAnsi="Arial"/>
          <w:sz w:val="16"/>
          <w:szCs w:val="16"/>
          <w:color w:val="333333"/>
        </w:rPr>
        <w:t>We define fair value as the price that would be received from selling an asset, or paid to transfer a liability,</w:t>
      </w:r>
      <w:r>
        <w:rPr>
          <w:rFonts w:ascii="Arial" w:cs="Arial" w:eastAsia="Arial" w:hAnsi="Arial"/>
          <w:sz w:val="16"/>
          <w:szCs w:val="16"/>
          <w:b w:val="1"/>
          <w:bCs w:val="1"/>
          <w:color w:val="auto"/>
        </w:rPr>
        <w:t xml:space="preserve"> </w:t>
      </w:r>
      <w:r>
        <w:rPr>
          <w:rFonts w:ascii="Arial" w:cs="Arial" w:eastAsia="Arial" w:hAnsi="Arial"/>
          <w:sz w:val="16"/>
          <w:szCs w:val="16"/>
          <w:color w:val="333333"/>
        </w:rPr>
        <w:t xml:space="preserve">in an orderly transaction between market participants at the measurement date. </w:t>
      </w:r>
      <w:r>
        <w:rPr>
          <w:rFonts w:ascii="Arial" w:cs="Arial" w:eastAsia="Arial" w:hAnsi="Arial"/>
          <w:sz w:val="16"/>
          <w:szCs w:val="16"/>
          <w:color w:val="000000"/>
        </w:rPr>
        <w:t>When determining the fair value measurements for assets and liabilities which</w:t>
      </w:r>
      <w:r>
        <w:rPr>
          <w:rFonts w:ascii="Arial" w:cs="Arial" w:eastAsia="Arial" w:hAnsi="Arial"/>
          <w:sz w:val="16"/>
          <w:szCs w:val="16"/>
          <w:color w:val="333333"/>
        </w:rPr>
        <w:t xml:space="preserve"> </w:t>
      </w:r>
      <w:r>
        <w:rPr>
          <w:rFonts w:ascii="Arial" w:cs="Arial" w:eastAsia="Arial" w:hAnsi="Arial"/>
          <w:sz w:val="16"/>
          <w:szCs w:val="16"/>
          <w:color w:val="000000"/>
        </w:rPr>
        <w:t>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15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unrealized gains and losses on available-for-sale investments and the related tax impact.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80" w:firstLine="648"/>
        <w:spacing w:after="0" w:line="258" w:lineRule="auto"/>
        <w:rPr>
          <w:sz w:val="20"/>
          <w:szCs w:val="20"/>
          <w:color w:val="auto"/>
        </w:rPr>
      </w:pPr>
      <w:r>
        <w:rPr>
          <w:rFonts w:ascii="Arial" w:cs="Arial" w:eastAsia="Arial" w:hAnsi="Arial"/>
          <w:sz w:val="18"/>
          <w:szCs w:val="18"/>
          <w:b w:val="1"/>
          <w:bCs w:val="1"/>
          <w:color w:val="auto"/>
        </w:rPr>
        <w:t>Foreign Currency and Transaction Gains and Losses</w:t>
      </w:r>
      <w:r>
        <w:rPr>
          <w:rFonts w:ascii="Arial" w:cs="Arial" w:eastAsia="Arial" w:hAnsi="Arial"/>
          <w:sz w:val="18"/>
          <w:szCs w:val="18"/>
          <w:color w:val="auto"/>
        </w:rPr>
        <w:t>—The functional currency of our foreign subsidiaries is the U.S. dollar.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assets and liabilities denominated in foreign currencies have been remeasured into U.S. dollars using the exchange rates in effect at the balance sheet dates. Foreign currency denominated income and expenses have been remeasured using the exchange rates in effect during each period. Foreign currency remeasurement gains (losses) of $(8.2) million, $1.0 million and $(6.6) million are included in other income (expense)—net for 2018, 2017 and 2016, respectively.</w:t>
      </w:r>
    </w:p>
    <w:p>
      <w:pPr>
        <w:spacing w:after="0" w:line="184"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commercial paper, term deposits and corporate debt.</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or net realizable value. Cost is computed using the first-in, first-out method. In assessing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30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30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to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—Investments in privately held companies where we own less than 20% of the voting stock and have no indicators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over operating and financial policies of those companies are included in other assets in the consolidated balance sheets. As of December 31, 2017, these investments were accounted for under the cost method. As of December 31, 2018, with the adoption of the ASU 2016-01—Financial Instruments— Overall (Subtopic 825-10): Recognition and Measurement of Financial Assets and Financial Liabilities, these investments are accounted for at cost, adjusted for changes in observable prices minus impairment. Adoption of ASU 2016-01 did not have an impact on our consolidated financial statements. For these non-quoted investments, we regularly review the assumptions underlying the operating performance and cash flow forecasts as well as current fundraising activities and valuations based on information provided by these privately held companies. If it is determined that an other-than-temporary decline or increase in value exists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an investment without readily determinable value, we adjust the value of the investment to its fair value and record the related impairment or increase in value as an investment loss or gain in our consolidated statements of income.</w:t>
      </w:r>
    </w:p>
    <w:p>
      <w:pPr>
        <w:spacing w:after="0" w:line="16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—We include the results of operations of the businesses that we acquire as of the respective dates of acquisition. We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amounts are recorded in the period in which they are identified.</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purchase consideration over the estimated fair value of net assets of businesses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unit’s goodwill over its fair value is recognized as an impairment loss, limited to the total amount of goodwill allocated to that reporting unit.</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performed our annual goodwill impairment analysis and did not identify any impairment indicators as a result of the review. As of December 31, 2018, we had one reporting unit.</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Other Intangible Assets</w:t>
      </w:r>
      <w:r>
        <w:rPr>
          <w:rFonts w:ascii="Arial" w:cs="Arial" w:eastAsia="Arial" w:hAnsi="Arial"/>
          <w:sz w:val="18"/>
          <w:szCs w:val="18"/>
          <w:color w:val="auto"/>
        </w:rPr>
        <w:t>—Intangible assets with finite lives are carried at cost, less accumulated amortization. Amortization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or accelerated method over the estimated economic lives of the assets, which range from three to five years.</w:t>
      </w:r>
    </w:p>
    <w:p>
      <w:pPr>
        <w:spacing w:after="0" w:line="162" w:lineRule="exact"/>
        <w:rPr>
          <w:sz w:val="20"/>
          <w:szCs w:val="20"/>
          <w:color w:val="auto"/>
        </w:rPr>
      </w:pPr>
    </w:p>
    <w:p>
      <w:pPr>
        <w:jc w:val="both"/>
        <w:ind w:right="160" w:firstLine="648"/>
        <w:spacing w:after="0" w:line="347" w:lineRule="auto"/>
        <w:rPr>
          <w:sz w:val="20"/>
          <w:szCs w:val="20"/>
          <w:color w:val="auto"/>
        </w:rPr>
      </w:pPr>
      <w:r>
        <w:rPr>
          <w:rFonts w:ascii="Arial" w:cs="Arial" w:eastAsia="Arial" w:hAnsi="Arial"/>
          <w:sz w:val="16"/>
          <w:szCs w:val="16"/>
          <w:b w:val="1"/>
          <w:bCs w:val="1"/>
          <w:color w:val="auto"/>
        </w:rPr>
        <w:t>Deferred Revenue</w:t>
      </w:r>
      <w:r>
        <w:rPr>
          <w:rFonts w:ascii="Arial" w:cs="Arial" w:eastAsia="Arial" w:hAnsi="Arial"/>
          <w:sz w:val="16"/>
          <w:szCs w:val="16"/>
          <w:color w:val="auto"/>
        </w:rPr>
        <w:t>—Deferred revenue consists of amounts that have been invoiced but that have not yet been recognized as revenue. The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deferred revenue is comprised of security subscription and technical support services which are invoiced upfront and delivered over 12 months or longer.</w:t>
      </w:r>
    </w:p>
    <w:p>
      <w:pPr>
        <w:spacing w:after="0" w:line="11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recognize tax benefits from an uncertain tax positions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77" w:lineRule="exact"/>
        <w:rPr>
          <w:sz w:val="20"/>
          <w:szCs w:val="20"/>
          <w:color w:val="auto"/>
        </w:rPr>
      </w:pPr>
    </w:p>
    <w:p>
      <w:pPr>
        <w:jc w:val="both"/>
        <w:ind w:right="240" w:firstLine="648"/>
        <w:spacing w:after="0" w:line="289"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fair value of restricted stock units (“RSUs”) is based on the closing market price of our common stock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grant. We have elected to use the Black-Scholes-Merton (“Black-Scholes”) pricing model to determine the fair value of our employee stock options and our equity incentive plans. Stock-based compensation expense is amortized on a straight-line basis over the service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rent certain facilities under operating lease agreements and recognize related rent expense on a straight-line basis over the term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15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Deferred Contract Costs and Commission Expense</w:t>
      </w:r>
      <w:r>
        <w:rPr>
          <w:rFonts w:ascii="Arial" w:cs="Arial" w:eastAsia="Arial" w:hAnsi="Arial"/>
          <w:sz w:val="18"/>
          <w:szCs w:val="18"/>
          <w:color w:val="auto"/>
        </w:rPr>
        <w:t>—In 2017, we recognized commission expense on both product sales and service contracts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sale. Beginning on January 1, 2018, we recognize sales commissions related to product sales upfront while sales commissions for service contracts are deferred as Deferred contract costs in the consolidated balance sheets and amortized over the applicable amortization period. Costs for initial contracts that are not commensurate with renewal commissions are amortized on a straight-line basis over the period of benefit, which we have determined to be five years and which is typically longer than the initial contract term.</w:t>
      </w:r>
    </w:p>
    <w:p>
      <w:pPr>
        <w:spacing w:after="0" w:line="184" w:lineRule="exact"/>
        <w:rPr>
          <w:sz w:val="20"/>
          <w:szCs w:val="20"/>
          <w:color w:val="auto"/>
        </w:rPr>
      </w:pPr>
    </w:p>
    <w:p>
      <w:pPr>
        <w:jc w:val="both"/>
        <w:ind w:right="56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2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—On January 1, 2018 we adopted Accounting Standards Update (“ASU”) 2014-09, Revenue from Contracts with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(Topic 606)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ASU 2009-13, Revenue Recognition (Topic 605) (“Topic 605”). The details of significant changes and quantitative impact of the changes are discussed below.</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Beginning in 2018, revenues are recognized when control of these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52" w:lineRule="exact"/>
        <w:rPr>
          <w:sz w:val="20"/>
          <w:szCs w:val="20"/>
          <w:color w:val="auto"/>
        </w:rPr>
      </w:pPr>
    </w:p>
    <w:p>
      <w:pPr>
        <w:ind w:left="1360" w:hanging="380"/>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440" w:hanging="320"/>
        <w:spacing w:after="0" w:line="26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and evaluating the distinct goods or services in a contract,</w:t>
      </w:r>
    </w:p>
    <w:p>
      <w:pPr>
        <w:spacing w:after="0" w:line="1" w:lineRule="exact"/>
        <w:rPr>
          <w:rFonts w:ascii="Arial" w:cs="Arial" w:eastAsia="Arial" w:hAnsi="Arial"/>
          <w:sz w:val="18"/>
          <w:szCs w:val="18"/>
          <w:color w:val="auto"/>
        </w:rPr>
      </w:pPr>
    </w:p>
    <w:p>
      <w:pPr>
        <w:ind w:left="1360" w:hanging="380"/>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We derive a majority of product sales from our FortiGate products. Our FortiGate products include a broad set of built-in security and networking features and functionalities including firewall, SD-WAN, data leak prevention, VPN, switch and wireless controller and WAN acceleration, among others.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previously recognized product revenue for sales to distributors that had no general right of return and direct sales to end-customers upon shipment, based on general revenue recognition accounting guidance once all other revenue recognition criteria were met. Certain distributors are granted stock rotation rights, limited rights of return or rebates for sales of our products. The arrangement fee for this group of distributors was not fixed or determinable when products were shipped and revenue was therefore deferred and recognized upon sell-through. Under Topic 606, we recognize product revenue upon shipment when control of the promised goods is transferred to the customer. We recognize revenue from term licenses upon electronic transfer of the license key to a customer. Previously, term licenses were recognized over the license period.</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Service revenue relates to sales of our FortiGuard security subscription, FortiCare technical support services and other services. Our typical subscription and contractual support term is one to three years, and to a lesser extent, five years. Our revenue recognition for service arrangements did not significantly change under Topic 606. We continue to recognize revenue from these services ratably over the contractual service period because of continuous transfer of control to the customer over the support period. Revenue related to subsequent renewals of these services are recognized over the support term of the renewal agreement. We also generate a small portion of our revenue from other services consisting of professional services, training and software-as-a-service (“SaaS”) which is either hosted or cloud-based services.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17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We evaluated the criteria to be distinct under Topic 606 and concluded that the hardware and software license were distinct and distinct in the context of the contract from the security subscription and technical support services, as the customer can benefit from the hardware and license without the services and the services are separately identifiable within the contract. We allocate the transaction price to each performance obligation based on relative standalone selling price.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the service contract that fall within a reasonably range as a percentage of list price. Revenue is reported net of sales tax.</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Topic 605, revenue from contracts that contain our products and services were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the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at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sales return reserve was $20.8 million as of December 31, 2018 and is included in current liabilities in our consolidated balance sheet. Under Topic 605, the sales return reserve of $13.6 million was presented as a reduction to accounts receivable as of December 31, 2017.</w:t>
      </w:r>
    </w:p>
    <w:p>
      <w:pPr>
        <w:spacing w:after="0" w:line="19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generally invoice at the time of our sale for the total price of the hardware, software licenses, security and technical support and other services, and the invoice is payable within 30 to 45 days. We also invoice certain services on a monthly basis. Amounts billed and due from our customers are classified as receivables on the balance sheet and do not bear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interest. Our deferred revenue primarily consists of amounts that have been invoiced but have not been recognized as revenue as of period end.</w:t>
      </w:r>
    </w:p>
    <w:p>
      <w:pPr>
        <w:spacing w:after="0" w:line="237"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Shipping and handling fees charged to our customers are recognized as revenue in the period shipped and the related costs for providing these services are recorded in cost of revenue. Shipping and handling fees recognized were not significant during 2018 and 2017.</w:t>
      </w:r>
    </w:p>
    <w:p>
      <w:pPr>
        <w:spacing w:after="0" w:line="143"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most hardware products and a 90-day warranty on software. We also provide extended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In the event we change our warranty reserve estimates, the resulting charge against future cost of revenue or reversal of previously recorded charges may materially affect our gross margins and operating results. Accrued warranty was not significant as of December 31, 2018 and 2017.</w:t>
      </w:r>
    </w:p>
    <w:p>
      <w:pPr>
        <w:spacing w:after="0" w:line="1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Contingent Liabilities</w:t>
      </w:r>
      <w:r>
        <w:rPr>
          <w:rFonts w:ascii="Arial" w:cs="Arial" w:eastAsia="Arial" w:hAnsi="Arial"/>
          <w:sz w:val="17"/>
          <w:szCs w:val="17"/>
          <w:color w:val="auto"/>
        </w:rPr>
        <w:t>—From time to time, we are involved in disputes, litigation, and other legal actions. However, there are many uncertainties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such legal action, and these actions or other third-party claims against us may cause us to incur substantial settlement charges, which are inherently difficult to estimate and could adversely affect our results of operations. We review significant new claims and litigation for the probability of an adverse outcome. Estimates can change as individual claims develop. The actual liability in any such matters may be materially different from our estimates, which could result in the need to adjust our liability and record additional expenses.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January 2016, the FASB issued ASU 2016-01—Financial Instruments—Overall (Subtopic 825-10): Recognition and Measurement of Financial Assets and Financial Liabilities, with further clarifications made recently with the issuance of ASU 2018-03—Technical Corrections and Improvements to Financial Instruments—Overall (Subtopic 825-10): Recognition and Measurement of Financial Assets and Financial Liabilities, which requires most equity investments to be measured at fair value, with subsequent changes in fair value recognized in net income. A practicality exception applies to those equity investments that do not have a readily determinable fair value. These investments may be measured at cost, adjusted for changes in observable prices minus impairment. ASU 2016-01 was effective prospectively for us beginning on January 1, 2018 for our equity investments, which were previously accounted for under the cost-method. We adopted ASU 2016-01 on January 1, 2018. There was no material impact on our consolidated financial statements as of the adoption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May 2014, the FASB issued Topic 606, which supersedes the revenue recognition requirements in Topic 605 and requires entities to recognize revenue when control of the promised goods or services is transferred to customers at an amount that reflects the consideration to which the entity expects to be entitled in exchange for those goods or services. We adopted Topic 606 as of January 1, 2018 using the modified retrospective transition method. The comparative information has not been restated and continues to be reported under the accounting standards in effect for those periods.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recorded a net reduction to our accumulated deficit as of January 1, 2018 of $117.3 million due to the cumulative impact of adopting Topic 606. The primary impact of adopting Topic 606 relates to the deferral of our incremental contract costs, which are comprised of sales commissions. Prior to January 1, 2018, we expensed all sales commissions upfront. Beginning on January 1, 2018, we continue to expense sales commissions related to product sales upfront, but capitalize and then amortize certain sales commissions on service contracts over the applicable amortization period. The deferred contract costs for capitalized sales commissions related to the initial service contracts are deferred and then amortized as expense on a straight-line basis over the period of benefit which we have determined to be five years. Sales commissions for renewal contracts are deferred and then amortized on a straight-line basis over the contractual period of the underlying contracts. The deferral of contract costs generated a deferred tax liability of $23.8 million, of which $18.0 million was recorded against deferred tax assets and the remaining $5.8 million was recorded in other long-term liabilities on our consolidated balance sheet. The impact on deferred revenue as of January 1, 2018 was $4.1 million, which primarily relates to certain changes in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recognition on software license sales and the acceleration of revenue from U.S.-based channel partners which were previously deferred until the product was sold through. Beginning on January 1, 2018, our sales returns reserve is now included on the balance sheet in accrued liabilities and no longer as a reduction to our accounts receivable. See above significant accounting policies for further details.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cumulative effects of the changes made to our January 1, 2018 consolidated balance sheet for the adoption of Topic 606 were as follows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24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Adjustments due to</w:t>
            </w:r>
          </w:p>
        </w:tc>
        <w:tc>
          <w:tcPr>
            <w:tcW w:w="280" w:type="dxa"/>
            <w:vAlign w:val="bottom"/>
          </w:tcPr>
          <w:p>
            <w:pPr>
              <w:spacing w:after="0"/>
              <w:rPr>
                <w:sz w:val="17"/>
                <w:szCs w:val="17"/>
                <w:color w:val="auto"/>
              </w:rPr>
            </w:pPr>
          </w:p>
        </w:tc>
        <w:tc>
          <w:tcPr>
            <w:tcW w:w="1660" w:type="dxa"/>
            <w:vAlign w:val="bottom"/>
          </w:tcPr>
          <w:p>
            <w:pPr>
              <w:jc w:val="right"/>
              <w:ind w:right="512"/>
              <w:spacing w:after="0"/>
              <w:rPr>
                <w:sz w:val="20"/>
                <w:szCs w:val="20"/>
                <w:color w:val="auto"/>
              </w:rPr>
            </w:pPr>
            <w:r>
              <w:rPr>
                <w:rFonts w:ascii="Arial" w:cs="Arial" w:eastAsia="Arial" w:hAnsi="Arial"/>
                <w:sz w:val="16"/>
                <w:szCs w:val="16"/>
                <w:b w:val="1"/>
                <w:bCs w:val="1"/>
                <w:color w:val="auto"/>
              </w:rPr>
              <w:t>Balance at</w:t>
            </w: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December 31, 2017</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80" w:type="dxa"/>
            <w:vAlign w:val="bottom"/>
          </w:tcPr>
          <w:p>
            <w:pPr>
              <w:spacing w:after="0"/>
              <w:rPr>
                <w:sz w:val="18"/>
                <w:szCs w:val="18"/>
                <w:color w:val="auto"/>
              </w:rPr>
            </w:pPr>
          </w:p>
        </w:tc>
        <w:tc>
          <w:tcPr>
            <w:tcW w:w="1660" w:type="dxa"/>
            <w:vAlign w:val="bottom"/>
          </w:tcPr>
          <w:p>
            <w:pPr>
              <w:jc w:val="right"/>
              <w:ind w:right="312"/>
              <w:spacing w:after="0"/>
              <w:rPr>
                <w:sz w:val="20"/>
                <w:szCs w:val="20"/>
                <w:color w:val="auto"/>
              </w:rPr>
            </w:pPr>
            <w:r>
              <w:rPr>
                <w:rFonts w:ascii="Arial" w:cs="Arial" w:eastAsia="Arial" w:hAnsi="Arial"/>
                <w:sz w:val="16"/>
                <w:szCs w:val="16"/>
                <w:b w:val="1"/>
                <w:bCs w:val="1"/>
                <w:color w:val="auto"/>
              </w:rPr>
              <w:t>January 1, 2018</w:t>
            </w:r>
          </w:p>
        </w:tc>
      </w:tr>
      <w:tr>
        <w:trPr>
          <w:trHeight w:val="33"/>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361.8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128.9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costs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r>
      <w:tr>
        <w:trPr>
          <w:trHeight w:val="297"/>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63.6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538.1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97"/>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(202.3)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Topic 350, Intangibles—Goodwill and Other, to determine which implementation costs to capitalize as assets or expense as incurred. ASU 2018-15 is effective for us beginning January 1, 2020, and early adoption is permitted. We are currently evaluating the impact of ASU 2018-15 on our consolidated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We are currently assessing the impact the new guidance will have on our disclosures.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ASU 2018-07 expands the scope of ASC Topic 718, Compensation—Stock Compensation (“ASC 718”), to include share-based payments granted to nonemployees in exchange for goods or services used or consumed in an entity’s own operations and supersedes the guidance in ASC 505, Equity, by moving it to ASC 718. This amendment was effective for us beginning January 1, 2019. The adoption of this standard will not have a material impact on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2017 Tax Act, from accumulated other comprehensive income to retained earnings. ASU 2018-02 also requires certain new disclosures regardless of the election. ASU 2018-02 was effective for us beginning January 1, 2019. We are currently assessing the impact of ASU 2018-02 on our consolidated financial statements and we expect the standard will not have a material impact on our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2016, the FASB issued ASU 2016-13—Financial Instruments—Credit Losses (Topic 326): Measurement of Credit Losses on Financial Instruments, which requires a financial asset (or a group of financial assets) to be measured at an amortized cost basis to be presented at the net amount expected to be collected. The new approach to estimating credit losses (referred to as the current expected credit losses model) applies to most financial assets measured at amortized cost and certain other instruments, including trade and other receivables, loans and held-to-maturity debt securities. ASU 2016-13 is effective for us beginning on January 1, 2020, and early adoption is permitted. We are currently assessing the impact of ASU 2016-13 on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February 2016, the FASB issued ASU 2016-02—Leases (Topic 842), which requires the recognition of right-of-use assets and lease liabilities on the consolidated balance sheet for substantially all leases. ASU 2016-02 includes a number of optional practical expedients that entities may elect to apply. ASU 2016-02 will also require significant additional disclosures about the amount, timing and uncertainty of cash flows from leases. In July 2018, the FASB issued ASU 2018-10—Codification Improvements to Topic 842, Leases, and ASU 2018-11—Leases (Topic 842): Targeted Improvements, which address questions about how to apply certain aspects for the adoption of Topic 842. The clarifications address the rate implicit in the lease, impairment of the net investment in the lease, lessee reassessment of lease classification, lessor reassessment of lease term and purchase options and variable payments that depend on an index or rate, and provide an alternative transition approach that allows companies to initially apply the new leases standard by recognizing a cumulative-effect adjustment on adoption date. ASU 2016-02 was effective for us beginning on January 1, 2019, and we expect to apply a modified retrospective transition approach through a cumulative-effect adjustment at the beginning of the first quarter of 2019. Based on our current lease portfolio, we currently estimate that the value of leased assets and liabilities that may be recognized to be at least $40.0 million. We are continuing to evaluate the impact of ASU 2016-02 and our estimate is subject to change. We do not believe that ASU 2016-02 will have a material impact on our consolidated statements of income and cash flows. Upon adoption, we expect to expand our disclosures in the notes to consolidated financial statements to include more details on our leases, significant judgments and lease-related amounts recognized in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Years Ended</w:t>
            </w:r>
          </w:p>
        </w:tc>
        <w:tc>
          <w:tcPr>
            <w:tcW w:w="16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Pr>
          <w:p>
            <w:pPr>
              <w:spacing w:after="0"/>
              <w:rPr>
                <w:sz w:val="18"/>
                <w:szCs w:val="18"/>
                <w:color w:val="auto"/>
              </w:rPr>
            </w:pPr>
          </w:p>
        </w:tc>
        <w:tc>
          <w:tcPr>
            <w:tcW w:w="1600" w:type="dxa"/>
            <w:vAlign w:val="bottom"/>
          </w:tcPr>
          <w:p>
            <w:pPr>
              <w:jc w:val="right"/>
              <w:ind w:right="473"/>
              <w:spacing w:after="0"/>
              <w:rPr>
                <w:sz w:val="20"/>
                <w:szCs w:val="20"/>
                <w:color w:val="auto"/>
              </w:rPr>
            </w:pPr>
            <w:r>
              <w:rPr>
                <w:rFonts w:ascii="Arial" w:cs="Arial" w:eastAsia="Arial" w:hAnsi="Arial"/>
                <w:sz w:val="16"/>
                <w:szCs w:val="16"/>
                <w:b w:val="1"/>
                <w:bCs w:val="1"/>
                <w:color w:val="auto"/>
                <w:w w:val="97"/>
              </w:rPr>
              <w:t>December 31,</w:t>
            </w:r>
          </w:p>
        </w:tc>
      </w:tr>
      <w:tr>
        <w:trPr>
          <w:trHeight w:val="243"/>
        </w:trPr>
        <w:tc>
          <w:tcPr>
            <w:tcW w:w="70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Service:</w:t>
            </w: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Security 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504.8</w:t>
            </w:r>
          </w:p>
        </w:tc>
      </w:tr>
      <w:tr>
        <w:trPr>
          <w:trHeight w:val="270"/>
        </w:trPr>
        <w:tc>
          <w:tcPr>
            <w:tcW w:w="708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Technical support and other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412.9</w:t>
            </w:r>
          </w:p>
        </w:tc>
      </w:tr>
      <w:tr>
        <w:trPr>
          <w:trHeight w:val="264"/>
        </w:trPr>
        <w:tc>
          <w:tcPr>
            <w:tcW w:w="7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service revenue</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917.7</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220" w:hanging="185"/>
        <w:spacing w:after="0"/>
        <w:tabs>
          <w:tab w:leader="none" w:pos="22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Prior period amounts have not been adjusted under the modified retrospective method.</w:t>
      </w:r>
    </w:p>
    <w:p>
      <w:pPr>
        <w:spacing w:after="0" w:line="55" w:lineRule="exact"/>
        <w:rPr>
          <w:rFonts w:ascii="Arial" w:cs="Arial" w:eastAsia="Arial" w:hAnsi="Arial"/>
          <w:sz w:val="22"/>
          <w:szCs w:val="22"/>
          <w:color w:val="auto"/>
          <w:vertAlign w:val="superscript"/>
        </w:rPr>
      </w:pPr>
    </w:p>
    <w:p>
      <w:pPr>
        <w:ind w:left="40" w:right="80" w:hanging="5"/>
        <w:spacing w:after="0" w:line="262" w:lineRule="auto"/>
        <w:tabs>
          <w:tab w:leader="none" w:pos="218"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During 2018, the amounts previously reported as professional services and training have been combined with the amounts previously reported as technical support. The combined amounts are now being presented as technical support and other. The professional service and training amounts are not material, and the reclassification did not have any impact on our service revenue or total revenue.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-738505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December 31, 2018, the aggregate amount of the transaction price allocated to remaining performance obligations was $1.69 billion, which was substantially comprised of deferred security subscription and technical support services. We expect to recognize revenue on approximately 80% of these remaining performance obligations over the next one to two years, with the remaining balance to be recognized in three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Trade accounts receivable are recorded at the invoiced amount. Trade accounts receivable is reduced by allowance for doubtful accounts which is determined based on our assessment of the collectability of customer accounts. The allowance for doubtful accounts was $0.9 million as of December 31, 2018 and December 31, 2017. As of December 31, 2017, accounts receivable was also reduced by sales return reserve of $13.6 million, which we reclassified to accrued liabilities account as of January 1, 2018 in accordance with the adoption of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We did not have contract assets as of December 31, 2018 and January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Sales commissions for the sale of products and software licenses are recognized at the time of sale. Sales commissions for initial service contracts are deferred and then amortized as an expense on a straight-line basis over the period of benefit which we have determined to be five years. We determined the period of benefit taking into consideration our customer contracts, our technology and other factors. Sales commissions for renewal contracts are deferred and then amortized on a straight-line basis over the contractual period of the underlying contracts which ranges from one to three years and, to a lesser extent, five years. The amortization of deferred contract costs is included in sales and marketing expense in our consolidated statement of income. Amortization of deferred contract costs during 2018 was $90.9 million. No impairment loss was recognized during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deferred revenue consists of amounts that have been invoiced but have not been recognized as revenue as of period end. During 2018, we recognized $753.3 million in revenue that was included in the deferred revenue balance as of January 1, 2018.</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elected to use the contract modification practical expedient. This practical expedient allows for all contract modifications before January 1, 2018 to be aggregated and evaluated at adoption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Consolidated Financial Statements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tables summarize the impact of adopting Topic 606 on our consolidated financial statements as of and for 2018 (in millions). These tables do not represent the full consolidated financial statements as they only reflect the accounts impacted by the adoption of Topic 606.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As of December 31, 2018</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4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Adoption of</w:t>
            </w:r>
          </w:p>
        </w:tc>
        <w:tc>
          <w:tcPr>
            <w:tcW w:w="140" w:type="dxa"/>
            <w:vAlign w:val="bottom"/>
          </w:tcPr>
          <w:p>
            <w:pPr>
              <w:spacing w:after="0"/>
              <w:rPr>
                <w:sz w:val="17"/>
                <w:szCs w:val="17"/>
                <w:color w:val="auto"/>
              </w:rPr>
            </w:pPr>
          </w:p>
        </w:tc>
        <w:tc>
          <w:tcPr>
            <w:tcW w:w="1560" w:type="dxa"/>
            <w:vAlign w:val="bottom"/>
          </w:tcPr>
          <w:p>
            <w:pPr>
              <w:jc w:val="right"/>
              <w:ind w:right="191"/>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351"/>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Topic 606</w:t>
            </w:r>
          </w:p>
        </w:tc>
        <w:tc>
          <w:tcPr>
            <w:tcW w:w="140" w:type="dxa"/>
            <w:vAlign w:val="bottom"/>
          </w:tcPr>
          <w:p>
            <w:pPr>
              <w:spacing w:after="0"/>
              <w:rPr>
                <w:sz w:val="18"/>
                <w:szCs w:val="18"/>
                <w:color w:val="auto"/>
              </w:rPr>
            </w:pPr>
          </w:p>
        </w:tc>
        <w:tc>
          <w:tcPr>
            <w:tcW w:w="156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4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444.5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contract costs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Deferred revenue, current</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non-current</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 non-current</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97"/>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169.9</w:t>
            </w:r>
          </w:p>
        </w:tc>
      </w:tr>
      <w:tr>
        <w:trPr>
          <w:trHeight w:val="702"/>
        </w:trPr>
        <w:tc>
          <w:tcPr>
            <w:tcW w:w="410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 2018</w:t>
            </w:r>
          </w:p>
        </w:tc>
        <w:tc>
          <w:tcPr>
            <w:tcW w:w="156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Adoption of</w:t>
            </w:r>
          </w:p>
        </w:tc>
        <w:tc>
          <w:tcPr>
            <w:tcW w:w="140" w:type="dxa"/>
            <w:vAlign w:val="bottom"/>
          </w:tcPr>
          <w:p>
            <w:pPr>
              <w:spacing w:after="0"/>
              <w:rPr>
                <w:sz w:val="17"/>
                <w:szCs w:val="17"/>
                <w:color w:val="auto"/>
              </w:rPr>
            </w:pPr>
          </w:p>
        </w:tc>
        <w:tc>
          <w:tcPr>
            <w:tcW w:w="1560" w:type="dxa"/>
            <w:vAlign w:val="bottom"/>
          </w:tcPr>
          <w:p>
            <w:pPr>
              <w:jc w:val="right"/>
              <w:ind w:right="191"/>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Topic 606</w:t>
            </w:r>
          </w:p>
        </w:tc>
        <w:tc>
          <w:tcPr>
            <w:tcW w:w="140" w:type="dxa"/>
            <w:vAlign w:val="bottom"/>
          </w:tcPr>
          <w:p>
            <w:pPr>
              <w:spacing w:after="0"/>
              <w:rPr>
                <w:sz w:val="18"/>
                <w:szCs w:val="18"/>
                <w:color w:val="auto"/>
              </w:rPr>
            </w:pPr>
          </w:p>
        </w:tc>
        <w:tc>
          <w:tcPr>
            <w:tcW w:w="156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Pr>
          <w:p>
            <w:pPr>
              <w:ind w:left="520"/>
              <w:spacing w:after="0" w:line="270" w:lineRule="exact"/>
              <w:rPr>
                <w:sz w:val="20"/>
                <w:szCs w:val="20"/>
                <w:color w:val="auto"/>
              </w:rPr>
            </w:pPr>
            <w:r>
              <w:rPr>
                <w:rFonts w:ascii="Arial" w:cs="Arial" w:eastAsia="Arial" w:hAnsi="Arial"/>
                <w:sz w:val="18"/>
                <w:szCs w:val="18"/>
                <w:color w:val="auto"/>
              </w:rPr>
              <w:t xml:space="preserve">Product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0"/>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52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Sales and marketing expenses</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63.5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63.5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8"/>
        <w:spacing w:after="0" w:line="292" w:lineRule="auto"/>
        <w:tabs>
          <w:tab w:leader="none" w:pos="178"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Product revenue during 2018 included a $19.5 million benefit from the adoption of Topic 606, which primarily related to the change in accounting treatment under Topic 606 for some of our software products such that revenue from these arrangements is now recognized upfront instead of ratably over the contracted service term, net of the lost opportunity to recognize revenue that had been deferred and was written off to equity on the date of adoption.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 2018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Balances Without</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17"/>
                <w:szCs w:val="17"/>
                <w:color w:val="auto"/>
              </w:rPr>
            </w:pPr>
          </w:p>
        </w:tc>
        <w:tc>
          <w:tcPr>
            <w:tcW w:w="156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274"/>
              <w:spacing w:after="0"/>
              <w:rPr>
                <w:sz w:val="20"/>
                <w:szCs w:val="20"/>
                <w:color w:val="auto"/>
              </w:rPr>
            </w:pPr>
            <w:r>
              <w:rPr>
                <w:rFonts w:ascii="Arial" w:cs="Arial" w:eastAsia="Arial" w:hAnsi="Arial"/>
                <w:sz w:val="16"/>
                <w:szCs w:val="16"/>
                <w:b w:val="1"/>
                <w:bCs w:val="1"/>
                <w:color w:val="auto"/>
              </w:rPr>
              <w:t>As Reported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18"/>
                <w:szCs w:val="18"/>
                <w:color w:val="auto"/>
              </w:rPr>
            </w:pPr>
          </w:p>
        </w:tc>
        <w:tc>
          <w:tcPr>
            <w:tcW w:w="156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Increase (Decrease)</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332.2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7"/>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52.6</w:t>
            </w:r>
          </w:p>
        </w:tc>
      </w:tr>
      <w:tr>
        <w:trPr>
          <w:trHeight w:val="27"/>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5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4860" w:type="dxa"/>
            <w:vAlign w:val="bottom"/>
            <w:gridSpan w:val="2"/>
          </w:tcPr>
          <w:p>
            <w:pPr>
              <w:ind w:left="600"/>
              <w:spacing w:after="0"/>
              <w:rPr>
                <w:sz w:val="20"/>
                <w:szCs w:val="20"/>
                <w:color w:val="auto"/>
              </w:rPr>
            </w:pPr>
            <w:r>
              <w:rPr>
                <w:rFonts w:ascii="Arial" w:cs="Arial" w:eastAsia="Arial" w:hAnsi="Arial"/>
                <w:sz w:val="18"/>
                <w:szCs w:val="18"/>
                <w:color w:val="auto"/>
              </w:rPr>
              <w:t>Amortization of deferred contract costs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1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Deferred contract costs</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1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(127.8)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1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1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3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638.9</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w:t>
            </w:r>
          </w:p>
        </w:tc>
        <w:tc>
          <w:tcPr>
            <w:tcW w:w="486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INSTRUMENTS AND FAIR VALUE</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w w:val="92"/>
              </w:rPr>
              <w:t>The following tables summarize our investments (in millions):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8"/>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w w:val="94"/>
              </w:rPr>
              <w:t>December 31,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8"/>
                <w:szCs w:val="18"/>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1"/>
              <w:spacing w:after="0"/>
              <w:rPr>
                <w:sz w:val="20"/>
                <w:szCs w:val="20"/>
                <w:color w:val="auto"/>
              </w:rPr>
            </w:pPr>
            <w:r>
              <w:rPr>
                <w:rFonts w:ascii="Arial" w:cs="Arial" w:eastAsia="Arial" w:hAnsi="Arial"/>
                <w:sz w:val="16"/>
                <w:szCs w:val="16"/>
                <w:b w:val="1"/>
                <w:bCs w:val="1"/>
                <w:color w:val="auto"/>
              </w:rPr>
              <w:t>Fair</w:t>
            </w:r>
          </w:p>
        </w:tc>
      </w:tr>
      <w:tr>
        <w:trPr>
          <w:trHeight w:val="210"/>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51"/>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102.5</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20" w:type="dxa"/>
            <w:vAlign w:val="bottom"/>
            <w:shd w:val="clear" w:color="auto" w:fill="CCEEFF"/>
          </w:tcPr>
          <w:p>
            <w:pPr>
              <w:spacing w:after="0"/>
              <w:rPr>
                <w:sz w:val="23"/>
                <w:szCs w:val="23"/>
                <w:color w:val="auto"/>
              </w:rPr>
            </w:pPr>
          </w:p>
        </w:tc>
        <w:tc>
          <w:tcPr>
            <w:tcW w:w="48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57.6</w:t>
            </w:r>
          </w:p>
        </w:tc>
      </w:tr>
      <w:tr>
        <w:trPr>
          <w:trHeight w:val="27"/>
        </w:trPr>
        <w:tc>
          <w:tcPr>
            <w:tcW w:w="3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604.2</w:t>
            </w:r>
          </w:p>
        </w:tc>
      </w:tr>
      <w:tr>
        <w:trPr>
          <w:trHeight w:val="20"/>
        </w:trPr>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w w:val="94"/>
              </w:rPr>
              <w:t>December 31, 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8"/>
                <w:szCs w:val="18"/>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1"/>
              <w:spacing w:after="0"/>
              <w:rPr>
                <w:sz w:val="20"/>
                <w:szCs w:val="20"/>
                <w:color w:val="auto"/>
              </w:rPr>
            </w:pPr>
            <w:r>
              <w:rPr>
                <w:rFonts w:ascii="Arial" w:cs="Arial" w:eastAsia="Arial" w:hAnsi="Arial"/>
                <w:sz w:val="16"/>
                <w:szCs w:val="16"/>
                <w:b w:val="1"/>
                <w:bCs w:val="1"/>
                <w:color w:val="auto"/>
              </w:rPr>
              <w:t>Fair</w:t>
            </w:r>
          </w:p>
        </w:tc>
      </w:tr>
      <w:tr>
        <w:trPr>
          <w:trHeight w:val="210"/>
        </w:trPr>
        <w:tc>
          <w:tcPr>
            <w:tcW w:w="3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51"/>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389.8</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74.2</w:t>
            </w:r>
          </w:p>
        </w:tc>
      </w:tr>
      <w:tr>
        <w:trPr>
          <w:trHeight w:val="27"/>
        </w:trPr>
        <w:tc>
          <w:tcPr>
            <w:tcW w:w="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20" w:type="dxa"/>
            <w:vAlign w:val="bottom"/>
            <w:shd w:val="clear" w:color="auto" w:fill="CCEEFF"/>
          </w:tcPr>
          <w:p>
            <w:pPr>
              <w:spacing w:after="0"/>
              <w:rPr>
                <w:sz w:val="23"/>
                <w:szCs w:val="23"/>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r>
      <w:tr>
        <w:trPr>
          <w:trHeight w:val="243"/>
        </w:trPr>
        <w:tc>
          <w:tcPr>
            <w:tcW w:w="32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3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20" w:type="dxa"/>
            <w:vAlign w:val="bottom"/>
            <w:shd w:val="clear" w:color="auto" w:fill="CCEEFF"/>
          </w:tcPr>
          <w:p>
            <w:pPr>
              <w:spacing w:after="0"/>
              <w:rPr>
                <w:sz w:val="22"/>
                <w:szCs w:val="22"/>
                <w:color w:val="auto"/>
              </w:rPr>
            </w:pPr>
          </w:p>
        </w:tc>
        <w:tc>
          <w:tcPr>
            <w:tcW w:w="4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538.3</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45"/>
        <w:spacing w:after="0"/>
        <w:tabs>
          <w:tab w:leader="none" w:pos="180" w:val="left"/>
        </w:tabs>
        <w:numPr>
          <w:ilvl w:val="0"/>
          <w:numId w:val="42"/>
        </w:numPr>
        <w:rPr>
          <w:rFonts w:ascii="Arial" w:cs="Arial" w:eastAsia="Arial" w:hAnsi="Arial"/>
          <w:sz w:val="17"/>
          <w:szCs w:val="17"/>
          <w:color w:val="auto"/>
          <w:vertAlign w:val="superscript"/>
        </w:rPr>
      </w:pPr>
      <w:r>
        <w:rPr>
          <w:rFonts w:ascii="Arial" w:cs="Arial" w:eastAsia="Arial" w:hAnsi="Arial"/>
          <w:sz w:val="17"/>
          <w:szCs w:val="17"/>
          <w:color w:val="auto"/>
        </w:rPr>
        <w:t>The majority of our certificates of deposit and term deposits are foreign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 2018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80" w:type="dxa"/>
            <w:vAlign w:val="bottom"/>
            <w:gridSpan w:val="6"/>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Unrealized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Losses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 2017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80" w:type="dxa"/>
            <w:vAlign w:val="bottom"/>
            <w:gridSpan w:val="6"/>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Unrealized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Losses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560" w:type="dxa"/>
            <w:vAlign w:val="bottom"/>
            <w:gridSpan w:val="7"/>
          </w:tcPr>
          <w:p>
            <w:pPr>
              <w:ind w:left="660"/>
              <w:spacing w:after="0"/>
              <w:rPr>
                <w:sz w:val="20"/>
                <w:szCs w:val="20"/>
                <w:color w:val="auto"/>
              </w:rPr>
            </w:pPr>
            <w:r>
              <w:rPr>
                <w:rFonts w:ascii="Arial" w:cs="Arial" w:eastAsia="Arial" w:hAnsi="Arial"/>
                <w:sz w:val="18"/>
                <w:szCs w:val="18"/>
                <w:color w:val="auto"/>
                <w:w w:val="99"/>
              </w:rPr>
              <w:t>The contractual maturities of our investments were as follows (in millions):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537.2</w:t>
            </w:r>
          </w:p>
        </w:tc>
        <w:tc>
          <w:tcPr>
            <w:tcW w:w="66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1"/>
              </w:rPr>
              <w:t>67.0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604.2</w:t>
            </w:r>
          </w:p>
        </w:tc>
        <w:tc>
          <w:tcPr>
            <w:tcW w:w="6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insignificant in the periods presented and are included in Other income (expense)—net in our consolidated statements of income.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2018.</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December 31, 2018 and 2017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ind w:left="24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December 31, 2017</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7"/>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6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6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6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2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9"/>
                <w:szCs w:val="19"/>
                <w:color w:val="auto"/>
              </w:rPr>
            </w:pPr>
          </w:p>
        </w:tc>
        <w:tc>
          <w:tcPr>
            <w:tcW w:w="980" w:type="dxa"/>
            <w:vAlign w:val="bottom"/>
          </w:tcPr>
          <w:p>
            <w:pPr>
              <w:jc w:val="center"/>
              <w:ind w:right="82"/>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299.3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9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Certificates of deposit and term</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98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years ended December 31, 2018 and December 31,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4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60" w:type="dxa"/>
            <w:vAlign w:val="bottom"/>
            <w:tcBorders>
              <w:bottom w:val="single" w:sz="8" w:color="CCEEFF"/>
            </w:tcBorders>
            <w:shd w:val="clear" w:color="auto" w:fill="CCEEFF"/>
          </w:tcPr>
          <w:p>
            <w:pPr>
              <w:jc w:val="right"/>
              <w:ind w:right="12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4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7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6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Inventory includes materials at contract manufacturers of $2.4 million and $2.6 million as of December 31, 2018 and 2017, respectively.</w:t>
      </w:r>
    </w:p>
    <w:p>
      <w:pPr>
        <w:spacing w:after="0" w:line="206"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$46.7 million, $46.9 million and $39.2 million in 2018, 2017 and 2016, respectively.</w:t>
      </w:r>
    </w:p>
    <w:p>
      <w:pPr>
        <w:spacing w:after="0" w:line="221"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investments in the equity securities of privately held companies totaled $9.1 million and $12.1 million as of December 31, 2018 and 2017, respectively. These investments, which were previously accounted for at cost, are now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on our consolidated balance sheets and would be measured at fair value if indicators of an increase in value or impairment existed. During the third quarter of 2018, we sold equity securities of a privately held company for $5.2 million and recognized a gain of $2.2 million as other income in our consolidated statements of income. As of December 31, 2018, no events have occurred that would affect the carrying value of these investments.</w:t>
      </w:r>
    </w:p>
    <w:p>
      <w:pPr>
        <w:spacing w:after="0" w:line="174"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ZoneFox Holdings Limited</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October 22, 2018, we acquired all outstanding shares of ZoneFox Holdings Limited (“ZoneFox”), a privately held cloud-based insider threat detection and response company headquartered in Edinburgh, Scotland. We expect the ZoneFox acquisition will allow us to provide additional user and entity behavior analytics features.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Under the business combination method of accounting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total preliminary purchase price was allocated to ZoneFox’s identifiable tangible and intangible assets acquired and liabilities assumed based on their estimated fair values using management’s best estimates and assumptions to assign fair value as of the acquisition date, and our estimates and assumptions are subject to change within the measurement period. The allocation of the purchase price for this acquisition has been prepared on a preliminary basis and changes to the allocation of certain assets and liabilities may occur as additional information becomes available. The primary area that remains preliminary relates to finalization of valuation analyses pertaining to intangible assets acquired and tax liabilities assumed. The preliminary purchase price for ZoneFox was $16.1 million, of which $12.5 million was allocated to goodwill that was non-deductible for tax purposes, and $6.8 million was allocated to identifiable intangible assets the majority of which was developed technology offset by $3.2 million of net liabilities assumed. Acquisition-related costs related to the ZoneFox acquisition were not material. Goodwill recorded in connection with this acquisition represents the value we expect to be created through expansion into markets within our existing business, and potential cost savings and synergies.</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December 31, 2018, no fair value was assigned to the contingent consideration based on the estimated probability of attainment of the target.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 We believe that this acquisition will extend the Fortinet Security Fabric to include network access control and provide for the security assessment and response related to devices accessing the network, including Internet of Things devices.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business combination method of accounting in accordance with ASC 805, the total purchase price was allocated to Bradford’s identifiable tangible and intangible assets acquired and liabilities assumed based on their estimated fair values using management's best estimates and assumptions to assign fair value as of the acquisition date.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 Acquisition-related costs related to the Bradford acquisition were not material. Goodwill recorded in connection with this acquisition represents the value we expect to be created through expansion into markets within our existing business, and potential cost savings and synergies.</w:t>
      </w:r>
    </w:p>
    <w:p>
      <w:pPr>
        <w:spacing w:after="0" w:line="16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December 31, 2018, no fair value was assigned to the contingent consideration based on the estimated probability of attainment of the target.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AccelOps,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7, 2016, we completed our acquisition of AccelOps, Inc. (“AccelOps”), a provider of network security monitoring and analytics solutions.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acquisition extended the Fortinet Security Fabric.</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acquisition of AccelOps was accounted as a business combination in accordance with ASC 805, and we used our best estimates and assumptions to assign fair value to the tangible and intangible assets acquired and liabilities assumed at the acquisition date. The total purchase price for AccelOps was $22.3 million, of which $9.9 million was allocated to goodwill that was non-deductible for tax purposes, and $16.5 million was allocated to identifiable intangible assets with average estimated lives of approximately two to four years, offset by $4.1 million of net liabilities assumed.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Acquisition-Related Information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operating results of the acquired companies are included in our consolidated statements of income from the respective dates of acquisition. Pro forma results of operations have not been presented because the effects of these acquisitions, individually and in the aggregate, were not material to our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ind w:left="5020"/>
              <w:spacing w:after="0"/>
              <w:rPr>
                <w:sz w:val="20"/>
                <w:szCs w:val="20"/>
                <w:color w:val="auto"/>
              </w:rPr>
            </w:pPr>
            <w:r>
              <w:rPr>
                <w:rFonts w:ascii="Arial" w:cs="Arial" w:eastAsia="Arial" w:hAnsi="Arial"/>
                <w:sz w:val="18"/>
                <w:szCs w:val="18"/>
                <w:b w:val="1"/>
                <w:bCs w:val="1"/>
                <w:color w:val="auto"/>
              </w:rPr>
              <w:t>FORTINET, INC.</w:t>
            </w: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948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891"/>
        </w:trPr>
        <w:tc>
          <w:tcPr>
            <w:tcW w:w="9480" w:type="dxa"/>
            <w:vAlign w:val="bottom"/>
          </w:tcPr>
          <w:p>
            <w:pPr>
              <w:spacing w:after="0"/>
              <w:rPr>
                <w:sz w:val="20"/>
                <w:szCs w:val="20"/>
                <w:color w:val="auto"/>
              </w:rPr>
            </w:pPr>
            <w:r>
              <w:rPr>
                <w:rFonts w:ascii="Arial" w:cs="Arial" w:eastAsia="Arial" w:hAnsi="Arial"/>
                <w:sz w:val="18"/>
                <w:szCs w:val="18"/>
                <w:b w:val="1"/>
                <w:bCs w:val="1"/>
                <w:color w:val="auto"/>
              </w:rPr>
              <w:t>8.  GOODWILL AND OTHER INTANGIBLE ASSETS—Net</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48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88"/>
        </w:trPr>
        <w:tc>
          <w:tcPr>
            <w:tcW w:w="9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jc w:val="right"/>
              <w:ind w:right="592"/>
              <w:spacing w:after="0"/>
              <w:rPr>
                <w:sz w:val="20"/>
                <w:szCs w:val="20"/>
                <w:color w:val="auto"/>
              </w:rPr>
            </w:pPr>
            <w:r>
              <w:rPr>
                <w:rFonts w:ascii="Arial" w:cs="Arial" w:eastAsia="Arial" w:hAnsi="Arial"/>
                <w:sz w:val="16"/>
                <w:szCs w:val="16"/>
                <w:b w:val="1"/>
                <w:bCs w:val="1"/>
                <w:color w:val="auto"/>
              </w:rPr>
              <w:t>Amount</w:t>
            </w:r>
          </w:p>
        </w:tc>
      </w:tr>
      <w:tr>
        <w:trPr>
          <w:trHeight w:val="33"/>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Additions due to business combinations</w:t>
            </w:r>
          </w:p>
        </w:tc>
        <w:tc>
          <w:tcPr>
            <w:tcW w:w="4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2018, 2017, 2016 or any previous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December 31, 2018 and 2017 (in millions, except years):</w:t>
      </w:r>
    </w:p>
    <w:p>
      <w:pPr>
        <w:spacing w:after="0" w:line="200" w:lineRule="exact"/>
        <w:rPr>
          <w:sz w:val="20"/>
          <w:szCs w:val="20"/>
          <w:color w:val="auto"/>
        </w:rPr>
      </w:pPr>
    </w:p>
    <w:p>
      <w:pPr>
        <w:spacing w:after="0" w:line="20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project related to in-process research and development intangible asset of $1.6 million was completed in the first quarter of 2018. Upon completion, the cost was transferred to developed technology and is amortized over the estimated useful life of four years. Amortization expense of finite-lived intangible assets was $9.0 million, $8.6 million and $9.3 million in 2018, 2017, and 2016, respectively. The following table summarizes estimated future amortization expense of finite-lived intangible assets—net (in millions):</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RSUs, stock options and our Employee Stock Purchase Plan (the “ESPP”). Dilutive shares of common stock are determined by applying the treasury stock method.</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311"/>
        </w:trPr>
        <w:tc>
          <w:tcPr>
            <w:tcW w:w="538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169.1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1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169.1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RSUs</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ESPP</w:t>
            </w: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1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174.2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5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vMerge w:val="restart"/>
          </w:tcPr>
          <w:p>
            <w:pPr>
              <w:jc w:val="right"/>
              <w:ind w:right="1192"/>
              <w:spacing w:after="0"/>
              <w:rPr>
                <w:sz w:val="20"/>
                <w:szCs w:val="20"/>
                <w:color w:val="auto"/>
              </w:rPr>
            </w:pPr>
            <w:r>
              <w:rPr>
                <w:rFonts w:ascii="Arial" w:cs="Arial" w:eastAsia="Arial" w:hAnsi="Arial"/>
                <w:sz w:val="18"/>
                <w:szCs w:val="18"/>
                <w:color w:val="auto"/>
              </w:rPr>
              <w:t>90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72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December 31, 2018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6"/>
                <w:szCs w:val="16"/>
                <w:b w:val="1"/>
                <w:bCs w:val="1"/>
                <w:color w:val="auto"/>
                <w:w w:val="94"/>
              </w:rPr>
              <w:t>Thereafter</w:t>
            </w: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$17.1 million, $16.7 million and $18.9 million for 2018, 2017 and 2016, respectively. Rent expense is recognized using the straight-line method over the term of a lease.</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2018, we had $177.3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December 31, 2018, we had $14.3 million in other contractual commitments having a remaining term in excess of one year that may not be cancelable.</w:t>
      </w:r>
    </w:p>
    <w:p>
      <w:pPr>
        <w:spacing w:after="0" w:line="15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Contingencies, issued by the FASB, we accrue for contingencies when we believe that a loss is probable and that we can reasonably estimate the amount of any such loss.</w:t>
      </w:r>
    </w:p>
    <w:p>
      <w:pPr>
        <w:spacing w:after="0" w:line="1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relating to events from over two years ago related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172" w:lineRule="exact"/>
        <w:rPr>
          <w:sz w:val="20"/>
          <w:szCs w:val="20"/>
          <w:color w:val="auto"/>
        </w:rPr>
      </w:pPr>
    </w:p>
    <w:p>
      <w:pPr>
        <w:ind w:left="660" w:right="8180" w:hanging="652"/>
        <w:spacing w:after="0" w:line="533" w:lineRule="auto"/>
        <w:tabs>
          <w:tab w:leader="none" w:pos="452"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right="640" w:firstLine="648"/>
        <w:spacing w:after="0" w:line="277" w:lineRule="auto"/>
        <w:rPr>
          <w:sz w:val="20"/>
          <w:szCs w:val="20"/>
          <w:color w:val="auto"/>
        </w:rPr>
      </w:pPr>
      <w:r>
        <w:rPr>
          <w:rFonts w:ascii="Arial" w:cs="Arial" w:eastAsia="Arial" w:hAnsi="Arial"/>
          <w:sz w:val="18"/>
          <w:szCs w:val="18"/>
          <w:color w:val="auto"/>
        </w:rPr>
        <w:t>Our stock-based compensation plans include the 2000 Stock Plan (the “2000 Plan”), the 2008 Stock Plan (the “2008 Plan”), the 2009 Equity Incentive Plan (the “2009 Plan”) and the ESPP. Under these plans, we have granted stock options and RSUs.</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Stock Plans</w:t>
      </w:r>
      <w:r>
        <w:rPr>
          <w:rFonts w:ascii="Arial" w:cs="Arial" w:eastAsia="Arial" w:hAnsi="Arial"/>
          <w:sz w:val="18"/>
          <w:szCs w:val="18"/>
          <w:color w:val="auto"/>
        </w:rPr>
        <w:t>—Our board of directors adopted the 2000 Plan in 2000 and the 2008 Plan in 2008. During 2018, 2017 and 2016, we issued no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under these plans. As of December 31, 2015, no shares remain available for grant under these plans.</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2009 Equity Incentive Plan</w:t>
      </w:r>
      <w:r>
        <w:rPr>
          <w:rFonts w:ascii="Arial" w:cs="Arial" w:eastAsia="Arial" w:hAnsi="Arial"/>
          <w:sz w:val="16"/>
          <w:szCs w:val="16"/>
          <w:color w:val="auto"/>
        </w:rPr>
        <w:t>—In 2009, our board of directors approved the 2009 Plan, which includes awards of stock options, stock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restricted stock, RSUs and performance stock units. The maximum aggregate number of shares that may be issued under the 2009 Plan is 9.0 million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 million shares. The shares may be authorized but unissued or reacquired common stock. The number of shares available for issuance under the 2009 Plan is increased on the first day of each year beginning with 2011, in an amount equal to the lesser of (i) 14.0 million shares (as adjusted in connection with the stock split effected in June 2011), (ii) 5% of the outstanding shares on the last day of the immediately preceding year or (iii) such number of shares determined by our board of directors. Under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2011 Employee Stock Purchase Plan</w:t>
      </w:r>
      <w:r>
        <w:rPr>
          <w:rFonts w:ascii="Arial" w:cs="Arial" w:eastAsia="Arial" w:hAnsi="Arial"/>
          <w:sz w:val="17"/>
          <w:szCs w:val="17"/>
          <w:color w:val="auto"/>
        </w:rPr>
        <w:t>—In June 2011, our stockholders approved the ESPP. The ESPP permitted eligible employees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 Our board of directors voluntarily determined to terminate the ESPP, effective February 2019 at the completion of the prior offering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there were a total of 54,512,197 shares of common stock available for grant under our stock-based compensation plans.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1"/>
              <w:spacing w:after="0"/>
              <w:rPr>
                <w:sz w:val="20"/>
                <w:szCs w:val="20"/>
                <w:color w:val="auto"/>
              </w:rPr>
            </w:pPr>
            <w:r>
              <w:rPr>
                <w:rFonts w:ascii="Arial" w:cs="Arial" w:eastAsia="Arial" w:hAnsi="Arial"/>
                <w:sz w:val="16"/>
                <w:szCs w:val="16"/>
                <w:b w:val="1"/>
                <w:bCs w:val="1"/>
                <w:color w:val="auto"/>
                <w:w w:val="97"/>
              </w:rPr>
              <w:t>Date Fair Value per</w:t>
            </w:r>
          </w:p>
        </w:tc>
      </w:tr>
      <w:tr>
        <w:trPr>
          <w:trHeight w:val="210"/>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tcPr>
          <w:p>
            <w:pPr>
              <w:jc w:val="right"/>
              <w:ind w:right="631"/>
              <w:spacing w:after="0"/>
              <w:rPr>
                <w:sz w:val="20"/>
                <w:szCs w:val="20"/>
                <w:color w:val="auto"/>
              </w:rPr>
            </w:pPr>
            <w:r>
              <w:rPr>
                <w:rFonts w:ascii="Arial" w:cs="Arial" w:eastAsia="Arial" w:hAnsi="Arial"/>
                <w:sz w:val="16"/>
                <w:szCs w:val="16"/>
                <w:b w:val="1"/>
                <w:bCs w:val="1"/>
                <w:color w:val="auto"/>
              </w:rPr>
              <w:t>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27.96</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30.45</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37.60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29.42</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57.37</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34.67</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46.07</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2018, total compensation expense related to unvested RSUs granted to employees and non-employees under the 2009 Plan, but not yet recognized, was $306.1 million. This expense is expected to be amortized on a straight-line basis over a weighted-average vesting period of 2.70 years.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 Total payment of the employees’ tax obligations to the tax authorities is reflected as a financing activity within the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pacing w:after="0" w:line="14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our common stock is the closing sales price of the common stock effective on the date of grant.</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Pr>
          <w:p>
            <w:pPr>
              <w:spacing w:after="0"/>
              <w:rPr>
                <w:sz w:val="18"/>
                <w:szCs w:val="18"/>
                <w:color w:val="auto"/>
              </w:rPr>
            </w:pPr>
          </w:p>
        </w:tc>
      </w:tr>
      <w:tr>
        <w:trPr>
          <w:trHeight w:val="33"/>
        </w:trPr>
        <w:tc>
          <w:tcPr>
            <w:tcW w:w="6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460" w:type="dxa"/>
            <w:vAlign w:val="bottom"/>
            <w:gridSpan w:val="2"/>
          </w:tcPr>
          <w:p>
            <w:pPr>
              <w:ind w:left="708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2016</w:t>
            </w:r>
          </w:p>
        </w:tc>
      </w:tr>
      <w:tr>
        <w:trPr>
          <w:trHeight w:val="33"/>
        </w:trPr>
        <w:tc>
          <w:tcPr>
            <w:tcW w:w="6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6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vest—December 31, 2018</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105.6</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2018</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66.3</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December 31, 2018, for all in-the-money stock options. As of December 31, 2018, total compensation expense related to unvested stock options granted to employees but not yet recognized was $16.5 million. This expense is expected to be amortized on a straight-line basis over a weighted-average period of 2.60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2018, as follows (in millions, except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Options Outstanding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w:t>
            </w:r>
          </w:p>
        </w:tc>
        <w:tc>
          <w:tcPr>
            <w:tcW w:w="1800" w:type="dxa"/>
            <w:vAlign w:val="bottom"/>
          </w:tcPr>
          <w:p>
            <w:pPr>
              <w:jc w:val="right"/>
              <w:ind w:right="5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w:t>
            </w:r>
          </w:p>
        </w:tc>
        <w:tc>
          <w:tcPr>
            <w:tcW w:w="1840" w:type="dxa"/>
            <w:vAlign w:val="bottom"/>
          </w:tcPr>
          <w:p>
            <w:pPr>
              <w:jc w:val="right"/>
              <w:ind w:right="392"/>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Life (Years)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tcPr>
          <w:p>
            <w:pPr>
              <w:jc w:val="right"/>
              <w:ind w:right="41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$19.94–24.92</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9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23.37</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26.49–33.31</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920" w:type="dxa"/>
            <w:vAlign w:val="bottom"/>
            <w:gridSpan w:val="2"/>
          </w:tcPr>
          <w:p>
            <w:pPr>
              <w:jc w:val="right"/>
              <w:ind w:right="17"/>
              <w:spacing w:after="0"/>
              <w:rPr>
                <w:sz w:val="20"/>
                <w:szCs w:val="20"/>
                <w:color w:val="auto"/>
              </w:rPr>
            </w:pPr>
            <w:r>
              <w:rPr>
                <w:rFonts w:ascii="Arial" w:cs="Arial" w:eastAsia="Arial" w:hAnsi="Arial"/>
                <w:sz w:val="18"/>
                <w:szCs w:val="18"/>
                <w:color w:val="auto"/>
              </w:rPr>
              <w:t>28.90</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36.70–39.49</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9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37.50</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48.83–49.06</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920" w:type="dxa"/>
            <w:vAlign w:val="bottom"/>
            <w:gridSpan w:val="2"/>
          </w:tcPr>
          <w:p>
            <w:pPr>
              <w:jc w:val="right"/>
              <w:ind w:right="17"/>
              <w:spacing w:after="0"/>
              <w:rPr>
                <w:sz w:val="20"/>
                <w:szCs w:val="20"/>
                <w:color w:val="auto"/>
              </w:rPr>
            </w:pPr>
            <w:r>
              <w:rPr>
                <w:rFonts w:ascii="Arial" w:cs="Arial" w:eastAsia="Arial" w:hAnsi="Arial"/>
                <w:sz w:val="18"/>
                <w:szCs w:val="18"/>
                <w:color w:val="auto"/>
              </w:rPr>
              <w:t>48.85</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58.29–76.22</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determining the fair value of the ESPP, which was terminated in February 2019, we use the Black-Scholes option pricing model that employs the following weighted-average assumptions:</w:t>
      </w:r>
    </w:p>
    <w:p>
      <w:pPr>
        <w:spacing w:after="0" w:line="32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7180"/>
              <w:spacing w:after="0"/>
              <w:rPr>
                <w:sz w:val="20"/>
                <w:szCs w:val="20"/>
                <w:color w:val="auto"/>
              </w:rPr>
            </w:pPr>
            <w:r>
              <w:rPr>
                <w:rFonts w:ascii="Arial" w:cs="Arial" w:eastAsia="Arial" w:hAnsi="Arial"/>
                <w:sz w:val="18"/>
                <w:szCs w:val="18"/>
                <w:b w:val="1"/>
                <w:bCs w:val="1"/>
                <w:color w:val="auto"/>
                <w:w w:val="94"/>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28.9%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millions,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4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22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2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322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r>
      <w:tr>
        <w:trPr>
          <w:trHeight w:val="675"/>
        </w:trPr>
        <w:tc>
          <w:tcPr>
            <w:tcW w:w="448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95</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equity award grants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Outstanding stock options and RSUs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ESPP issuances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common stock reserved for future issuances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ind w:left="660"/>
              <w:spacing w:after="0"/>
              <w:rPr>
                <w:sz w:val="20"/>
                <w:szCs w:val="20"/>
                <w:color w:val="auto"/>
              </w:rPr>
            </w:pPr>
            <w:r>
              <w:rPr>
                <w:rFonts w:ascii="Arial" w:cs="Arial" w:eastAsia="Arial" w:hAnsi="Arial"/>
                <w:sz w:val="18"/>
                <w:szCs w:val="18"/>
                <w:color w:val="auto"/>
                <w:w w:val="92"/>
              </w:rPr>
              <w:t>Stock-based compensation expense is included in costs and expenses as follows (in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162.9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143.9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162.9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122.4</w:t>
            </w: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income is as follows (in millions):</w:t>
      </w:r>
    </w:p>
    <w:p>
      <w:pPr>
        <w:spacing w:after="0" w:line="1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January 2016, our board of directors approved the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In July 2018, our board of directors approved a $500.0 million increase in the authorized stock repurchase under the Repurchase program and extended the term of the Repurchase Program to December 31, 2019, bringing the aggregate amount authorized to be repurchased to $1.5 billion of our outstanding common stock through December 31, 2019.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2018, we repurchased 3.8 million shares of common stock under the Repurchase Program in open market</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transactions for an aggregate purchase price of $209.1 million. As of December 31, 2018, $733.8 million remained available for future share repurchases under the Repurchase Program.</w:t>
      </w:r>
    </w:p>
    <w:p>
      <w:pPr>
        <w:spacing w:after="0" w:line="16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consisted of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92.8</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250.9</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(benefit from) income taxes consisted of the following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20" w:type="dxa"/>
            <w:vAlign w:val="bottom"/>
          </w:tcPr>
          <w:p>
            <w:pPr>
              <w:spacing w:after="0"/>
              <w:rPr>
                <w:sz w:val="20"/>
                <w:szCs w:val="20"/>
                <w:color w:val="auto"/>
              </w:rPr>
            </w:pPr>
          </w:p>
        </w:tc>
        <w:tc>
          <w:tcPr>
            <w:tcW w:w="3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Federal</w:t>
            </w:r>
          </w:p>
        </w:tc>
        <w:tc>
          <w:tcPr>
            <w:tcW w:w="30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2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30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Deferred:</w:t>
            </w:r>
          </w:p>
        </w:tc>
        <w:tc>
          <w:tcPr>
            <w:tcW w:w="20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30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(125.5)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20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32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20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511"/>
              <w:spacing w:after="0"/>
              <w:rPr>
                <w:sz w:val="20"/>
                <w:szCs w:val="20"/>
                <w:color w:val="auto"/>
              </w:rPr>
            </w:pPr>
            <w:r>
              <w:rPr>
                <w:rFonts w:ascii="Arial" w:cs="Arial" w:eastAsia="Arial" w:hAnsi="Arial"/>
                <w:sz w:val="18"/>
                <w:szCs w:val="18"/>
                <w:color w:val="auto"/>
              </w:rPr>
              <w:t>97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provision for (benefit from) income taxes differs from the amount computed by applying the statutory federal income tax rate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tax rate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taxes—net of federal benefit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distribution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Impact of the 2017 Tax Act:</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Deferred tax asset remeasurement due to reduction in the federal corporate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rate</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One-time transition tax</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Global Intangible Low-Taxed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Book-to-Tax Basis differences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There are permanent differences that arise from the portion of stock-based compensation expense that is not expected to generate a tax deduction, such as stock-based compensation expense on stock grants to certain foreign employees, this is offset by the actual tax benefits in the current periods from shares held by our U.S. employees. In 2018, this excess tax benefit was greater than the non-deductible stock-based compensation expense.</w:t>
      </w:r>
    </w:p>
    <w:p>
      <w:pPr>
        <w:spacing w:after="0" w:line="14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We have realigned our tax structure in order to maximize the tax efficiency of our group structure and better align with our business operations as a result of the Tax Cuts and Jobs Act (the “2017 Tax Act”). This realignment resulted in a book-to-tax basis difference for previously taxed off-shore deferred revenue as well as other book-to-tax difference. The basis differences resulted in a $164.0 million benefit to the 2018 tax provision.</w:t>
      </w:r>
    </w:p>
    <w:p>
      <w:pPr>
        <w:spacing w:after="0" w:line="14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December 2017, the U.S. federal government enacted the 2017 Tax Act. The 2017 Tax Act reduced the U.S.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 In December 2017, the staff of the Securities and Exchange Commission (the “SEC”) issued Staff Accounting Bulletin No. 118, Income Tax Accounting Implications of the Tax Cuts and Jobs Act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and reflected an additional $32.6 million increase related to the transition tax in the 2018 income tax expense. We expect further guidance may be forthcoming from the FASB and the SEC, as well as regulations, interpretations and rulings from federal and state tax agencies, which could result in additional impacts. The 2017 Tax Act also creates a new requirement that Global Intangible Low-Taxed Income (“GILTI”) earned by controlled foreign corporations (“CFCs”) must be included currently in the gross income of a CFC’s U.S. shareholder. In 2018, there was also a $20.5 million expense for the GILTI tax regime that was introduced by the 2017 Tax Act.</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GAAP, we are allowed to make an accounting policy choice of either (i) treating taxes due on future U.S. inclusions in taxable income related to GILTI as a current-period expense when incurred (the “period cost method”) or (ii) factoring such amounts into a company’s measurement of its deferred taxes. Our selection of an accounting policy for 2018 with respect to the GILTI tax rules was to treat GILTI tax as a current period expense under the period cost method.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Reserves and accruals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 except for California research and development (“R&amp;D”) credits carryforward. We anticipate having sufficient current year generated California R&amp;D credits to cover the same year California tax liability for tax year 2018 and subsequent years. As a result, we recorded a valuation allowance of $14.9 million against California R&amp;D credits carryforwards (net of the unrecognized tax benefits), as it is more likely than not these deferred tax assets will not be realized.</w:t>
      </w:r>
    </w:p>
    <w:p>
      <w:pPr>
        <w:spacing w:after="0" w:line="16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2018, we had $47.3 million in federal net operating loss carryforwards to offset future income, which is limited by Section 382 of the Internal Revenue Code (“Section 382”) due to the acquisition of Meru, AccelOps and Bradford. With the acquisition of Meru, we had $22.6 million in federal net operating loss carryforwards which is limited by Section 382 available from year 2020. With the acquisition of AccelOps, we had $19.9 million in federal net operating loss carryforwards from 2016 and that are limited by Section 382. With the acquisition of Bradford, we had $8.6 million in federal net operating loss carryforwards from 2018 and that are limited by Section 382 available from July 2018. In 2018, it is estimated that the NOL carryforwards of $3.0 million from AccelOps and $0.8 million from Bradford will be utilized. We had $7.8 million federal tax credits to offset future federal taxes. As of December 31, 2018, we had $36.7 million in California net operating loss carryforwards including $22.1 million from Meru and $14.6 million from AccelOps, both of which are limited by Section 382. We had state tax credit carryforwards of $24.0 million available to offset our future state taxes. The state credits carry forward indefinitely.</w:t>
      </w:r>
    </w:p>
    <w:p>
      <w:pPr>
        <w:spacing w:after="0" w:line="19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the 2017 Tax Act,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For those investments from which we were not able to make a reasonable estimate, we have not recorded any deferred taxes.</w:t>
      </w:r>
    </w:p>
    <w:p>
      <w:pPr>
        <w:spacing w:after="0" w:line="17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operate under a tax incentive agreement in Singapore, which is effective through December 31, 2021, and may be extended if certain additional requirements are satisfied. The tax incentive agreement is conditional upon our meeting certain employment and investment thresholds.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2018, we had $63.5 million of unrecognized tax benefits, of which, if recognized, $58.8 million would favorably affect our effective tax rate. Our policy is to include accrued interest and penalties related to uncertain tax benefits in income tax expense. As of December 31, 2018, 2017 and 2016, accrued interest and penalties were $11.6 million, $13.5 million and $9.5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current year</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the current year</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prior year</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prior year</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decreases for tax positions related to prior year audit settlements</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year</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65.5</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2018, 2017 and 2016, $77.5 million, $90.2 million and $68.6 million, respectively, of the amounts reflected above were recorded as Income tax liabilities—non-current in our consolidated balance sheet.</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a net decrease of gross unrecognized tax benefits of approximately $9.0 million during the year ended December 31, 2018. The net decrease was primarily due to the reversal of gross unrecognized tax benefit in connection with the lapse of statutes of limitations in foreign jurisdictions and the audit settlement, offset by the increases related to 2018 gross unrecognized tax benefits.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It is reasonably possible that our gross unrecognized tax benefits will decrease by up to $10.1 million in the next 12 months, primarily due to the lapse of the statute of limitations. These adjustments, if recognized, would positively impact our effective tax rate, and would be recognized as additional tax benefits.</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2015. We have closed the Internal Revenue Service audit for tax years 2012, 2013 and 2014 at the field level. In March 2018, we received a refund of $6.8 million for a carry-back claim approved in this audit. In October 2018, the French tax authorities notified us that they had closed the permanent establishment audits of Fortinet, Inc. and Fortinet Singapore for tax years from 2007 to 2015 with no tax adjustments. We currently have ongoing tax audits in the United Kingdom, Israel, India and Italy. The focus of these audits is the inter-company profit allocation.</w:t>
      </w:r>
    </w:p>
    <w:p>
      <w:pPr>
        <w:spacing w:after="0" w:line="25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July 24, 2018, the U.S. Court of Appeals for the Ninth Circuit overturned the U.S. Tax Court’s unanimous 2015 decision in Altera Corp v. Commissioner, holding that the IRS did not violate the rulemaking procedures required by the Administrative Procedures Act. On August 7, 2018, the Ninth Circuit withdrew the opinions filed July 24, 2018 to allow time for the reconstituted panel to confer on the appeal. In the Altera case, the taxpayer challenged IRS regulations that required participants in qualified cost sharing arrangements to share stock-based compensation costs. We continue to treat our stock-based compensation expense in accordance with Tax Court Opinion. We also continue to monitor developments in this case and any impact it could have on our tax provision.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U.S.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2018, 2017 and 2016 were $5.7 million, $4.7 million and $4.4 million, respectively.</w:t>
      </w:r>
    </w:p>
    <w:p>
      <w:pPr>
        <w:spacing w:after="0" w:line="16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distributors and direct customer. The following tables set forth revenue and property and equipment—net by geographic region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80" w:type="dxa"/>
            <w:vAlign w:val="bottom"/>
            <w:gridSpan w:val="4"/>
          </w:tcPr>
          <w:p>
            <w:pPr>
              <w:ind w:left="40"/>
              <w:spacing w:after="0"/>
              <w:rPr>
                <w:sz w:val="20"/>
                <w:szCs w:val="20"/>
                <w:color w:val="auto"/>
              </w:rPr>
            </w:pPr>
            <w:r>
              <w:rPr>
                <w:rFonts w:ascii="Arial" w:cs="Arial" w:eastAsia="Arial" w:hAnsi="Arial"/>
                <w:sz w:val="16"/>
                <w:szCs w:val="16"/>
                <w:b w:val="1"/>
                <w:bCs w:val="1"/>
                <w:color w:val="auto"/>
              </w:rPr>
              <w:t>Revenue</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2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577.2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Latin America (“LATAM”)</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Canada</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43"/>
        </w:trPr>
        <w:tc>
          <w:tcPr>
            <w:tcW w:w="438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2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4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20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4380" w:type="dxa"/>
            <w:vAlign w:val="bottom"/>
            <w:gridSpan w:val="4"/>
            <w:vMerge w:val="continue"/>
          </w:tcPr>
          <w:p>
            <w:pPr>
              <w:spacing w:after="0"/>
              <w:rPr>
                <w:sz w:val="15"/>
                <w:szCs w:val="15"/>
                <w:color w:val="auto"/>
              </w:rPr>
            </w:pPr>
          </w:p>
        </w:tc>
        <w:tc>
          <w:tcPr>
            <w:tcW w:w="2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LATAM</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438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2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40" w:type="dxa"/>
            <w:vAlign w:val="bottom"/>
            <w:gridSpan w:val="3"/>
          </w:tcPr>
          <w:p>
            <w:pPr>
              <w:ind w:left="460"/>
              <w:spacing w:after="0"/>
              <w:rPr>
                <w:sz w:val="20"/>
                <w:szCs w:val="20"/>
                <w:color w:val="auto"/>
              </w:rPr>
            </w:pPr>
            <w:r>
              <w:rPr>
                <w:rFonts w:ascii="Arial" w:cs="Arial" w:eastAsia="Arial" w:hAnsi="Arial"/>
                <w:sz w:val="18"/>
                <w:szCs w:val="18"/>
                <w:color w:val="auto"/>
              </w:rPr>
              <w:t>Total property and equipment—net</w:t>
            </w:r>
          </w:p>
        </w:tc>
        <w:tc>
          <w:tcPr>
            <w:tcW w:w="2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vMerge w:val="restart"/>
          </w:tcPr>
          <w:p>
            <w:pPr>
              <w:jc w:val="right"/>
              <w:ind w:right="47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for 2017 (in millions):</w:t>
      </w:r>
    </w:p>
    <w:p>
      <w:pPr>
        <w:spacing w:after="0" w:line="38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Tax benefit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(provision)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to unrealized gains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or 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unrealized gains or losses on investments are recorded in Other income (expense)—net and in Provision for income taxes, respectively. We do not have any material changes to accumulated other comprehensive income during 2018.</w:t>
      </w:r>
    </w:p>
    <w:p>
      <w:pPr>
        <w:spacing w:after="0" w:line="17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Subsequent to December 31, 2018, through the filing of this Annual Report on Form 10-K, we repurchased 0.8 million shares of our common stock, for an aggregate purchase price of $56.3 million at an average price of $72.19 per share, under the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Employee Stock Purchase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of directors voluntarily determined to terminate the ESPP, effective February 2019 at the completion of the prior offering period.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2018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2018. Management reviewed the results of its assessment with our Audit Committee. The effectiveness of our internal control over financial reporting as of December 31, 2018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January 2018, we implemented certain internal controls over financial reporting in connection with our adoption of Topic 606. There were no other changes in our internal control over financial reporting (as defined in Rules 13a-15(f) or 15d-15(f) under the Exchange Act) during 2018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121" w:right="31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Fortinet, Inc. and subsidiaries (the “Company”) as of December 31, 2018,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26, 2019, expressed an unqualified opinion on those financial statements and included an explanatory paragraph related to the Company’s change in its method of accounting for revenue due to adoption of the new revenue standard.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2019 Annual Meeting of Stockholders to be filed with the SEC within 120 days after the end of the fiscal year covered by this Annual Report on Form 10-K.</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2019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2019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2019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2019 Annual Meeting of Stockholders to be filed with the SEC within 120 days after the end of the fiscal year covered by this Annual Report on Form 10-K.</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122" w:right="29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2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The following financial statement schedule of Fortinet, Inc., for the fiscal years ended December 31,</w:t>
      </w:r>
    </w:p>
    <w:p>
      <w:pPr>
        <w:spacing w:after="0" w:line="34" w:lineRule="exact"/>
        <w:rPr>
          <w:rFonts w:ascii="Arial" w:cs="Arial" w:eastAsia="Arial" w:hAnsi="Arial"/>
          <w:sz w:val="17"/>
          <w:szCs w:val="17"/>
          <w:i w:val="1"/>
          <w:iCs w:val="1"/>
          <w:color w:val="auto"/>
        </w:rPr>
      </w:pPr>
    </w:p>
    <w:p>
      <w:pPr>
        <w:ind w:left="130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2018, 2017 and 2016, is filed as part of this Annual Report on Form 10-K and should be read in conjunction with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121" w:right="27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17"/>
        </w:trPr>
        <w:tc>
          <w:tcPr>
            <w:tcW w:w="6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 and Allowance for Doubtful Accounts: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Beginning balance</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Charged to costs and expenses, net of deductions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70"/>
        </w:trPr>
        <w:tc>
          <w:tcPr>
            <w:tcW w:w="64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Reclassification due to adoption of Topic 606 </w:t>
            </w:r>
            <w:r>
              <w:rPr>
                <w:rFonts w:ascii="Arial" w:cs="Arial" w:eastAsia="Arial" w:hAnsi="Arial"/>
                <w:sz w:val="25"/>
                <w:szCs w:val="25"/>
                <w:color w:val="auto"/>
                <w:vertAlign w:val="superscript"/>
              </w:rPr>
              <w:t>(1)</w:t>
            </w:r>
          </w:p>
        </w:tc>
        <w:tc>
          <w:tcPr>
            <w:tcW w:w="1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bl>
    <w:p>
      <w:pPr>
        <w:spacing w:after="0" w:line="13" w:lineRule="exact"/>
        <w:rPr>
          <w:sz w:val="20"/>
          <w:szCs w:val="20"/>
          <w:color w:val="auto"/>
        </w:rPr>
      </w:pPr>
    </w:p>
    <w:p>
      <w:pPr>
        <w:ind w:left="40" w:right="180" w:hanging="5"/>
        <w:spacing w:after="0" w:line="297" w:lineRule="auto"/>
        <w:tabs>
          <w:tab w:leader="none" w:pos="211" w:val="left"/>
        </w:tabs>
        <w:numPr>
          <w:ilvl w:val="0"/>
          <w:numId w:val="56"/>
        </w:numPr>
        <w:rPr>
          <w:rFonts w:ascii="Arial" w:cs="Arial" w:eastAsia="Arial" w:hAnsi="Arial"/>
          <w:sz w:val="19"/>
          <w:szCs w:val="19"/>
          <w:color w:val="auto"/>
          <w:vertAlign w:val="superscript"/>
        </w:rPr>
      </w:pPr>
      <w:r>
        <w:rPr>
          <w:rFonts w:ascii="Arial" w:cs="Arial" w:eastAsia="Arial" w:hAnsi="Arial"/>
          <w:sz w:val="16"/>
          <w:szCs w:val="16"/>
          <w:color w:val="auto"/>
        </w:rPr>
        <w:t>Effective January 1, 2018, we reclassified our sales returns reserve in the amount of $13.6 million from accounts receivable to accrued liabilities, in connection with the adoption of Topic 606. The ending balance for the year ended December 31, 2018 consists only of the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-314960</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preceding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preceding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Incorporated by reference herein</w:t>
            </w:r>
          </w:p>
        </w:tc>
        <w:tc>
          <w:tcPr>
            <w:tcW w:w="0" w:type="dxa"/>
            <w:vAlign w:val="bottom"/>
          </w:tcPr>
          <w:p>
            <w:pPr>
              <w:spacing w:after="0"/>
              <w:rPr>
                <w:sz w:val="1"/>
                <w:szCs w:val="1"/>
                <w:color w:val="auto"/>
              </w:rPr>
            </w:pPr>
          </w:p>
        </w:tc>
      </w:tr>
      <w:tr>
        <w:trPr>
          <w:trHeight w:val="192"/>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-223520</wp:posOffset>
            </wp:positionV>
            <wp:extent cx="15779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8820" w:space="700"/>
            <w:col w:w="1700"/>
          </w:cols>
          <w:pgMar w:left="240" w:top="121" w:right="439" w:bottom="1440" w:gutter="0" w:footer="0" w:header="0"/>
        </w:sectPr>
      </w:pPr>
    </w:p>
    <w:tbl>
      <w:tblPr>
        <w:tblLayout w:type="fixed"/>
        <w:tblInd w:w="40" w:type="dxa"/>
        <w:tblCellMar>
          <w:top w:w="0" w:type="dxa"/>
          <w:left w:w="0" w:type="dxa"/>
          <w:bottom w:w="0" w:type="dxa"/>
          <w:right w:w="0" w:type="dxa"/>
        </w:tblCellMar>
      </w:tblPr>
      <w:tr>
        <w:trPr>
          <w:trHeight w:val="161"/>
        </w:trPr>
        <w:tc>
          <w:tcPr>
            <w:tcW w:w="200" w:type="dxa"/>
            <w:vAlign w:val="bottom"/>
            <w:tcBorders>
              <w:bottom w:val="single" w:sz="8" w:color="0000FF"/>
            </w:tcBorders>
            <w:gridSpan w:val="2"/>
          </w:tcPr>
          <w:p>
            <w:pPr>
              <w:spacing w:after="0"/>
              <w:rPr>
                <w:rFonts w:ascii="Arial" w:cs="Arial" w:eastAsia="Arial" w:hAnsi="Arial"/>
                <w:sz w:val="14"/>
                <w:szCs w:val="14"/>
                <w:color w:val="0000FF"/>
                <w:w w:val="92"/>
              </w:rPr>
            </w:pPr>
            <w:hyperlink r:id="rId22">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Amended and Restated Certificate of Incorporation</w:t>
            </w:r>
          </w:p>
        </w:tc>
      </w:tr>
      <w:tr>
        <w:trPr>
          <w:trHeight w:val="372"/>
        </w:trPr>
        <w:tc>
          <w:tcPr>
            <w:tcW w:w="200" w:type="dxa"/>
            <w:vAlign w:val="bottom"/>
            <w:tcBorders>
              <w:bottom w:val="single" w:sz="8" w:color="0000FF"/>
            </w:tcBorders>
            <w:gridSpan w:val="2"/>
          </w:tcPr>
          <w:p>
            <w:pPr>
              <w:spacing w:after="0"/>
              <w:rPr>
                <w:rFonts w:ascii="Arial" w:cs="Arial" w:eastAsia="Arial" w:hAnsi="Arial"/>
                <w:sz w:val="14"/>
                <w:szCs w:val="14"/>
                <w:color w:val="0000FF"/>
                <w:w w:val="92"/>
              </w:rPr>
            </w:pPr>
            <w:hyperlink r:id="rId23">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Amended and Restated Bylaws</w:t>
            </w:r>
          </w:p>
        </w:tc>
      </w:tr>
      <w:tr>
        <w:trPr>
          <w:trHeight w:val="372"/>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24">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Specimen common stock certificate of the Company</w:t>
            </w:r>
          </w:p>
        </w:tc>
      </w:tr>
      <w:tr>
        <w:trPr>
          <w:trHeight w:val="453"/>
        </w:trPr>
        <w:tc>
          <w:tcPr>
            <w:tcW w:w="640" w:type="dxa"/>
            <w:vAlign w:val="bottom"/>
            <w:gridSpan w:val="5"/>
          </w:tcPr>
          <w:p>
            <w:pPr>
              <w:spacing w:after="0"/>
              <w:rPr>
                <w:rFonts w:ascii="Arial" w:cs="Arial" w:eastAsia="Arial" w:hAnsi="Arial"/>
                <w:sz w:val="14"/>
                <w:szCs w:val="14"/>
                <w:color w:val="0000FF"/>
              </w:rPr>
            </w:pPr>
            <w:hyperlink r:id="rId25">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5"/>
              </w:rPr>
              <w:t>Forms of Indemnification Agreement between the Company and</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 and officers</w:t>
            </w:r>
          </w:p>
        </w:tc>
      </w:tr>
      <w:tr>
        <w:trPr>
          <w:trHeight w:val="290"/>
        </w:trPr>
        <w:tc>
          <w:tcPr>
            <w:tcW w:w="640" w:type="dxa"/>
            <w:vAlign w:val="bottom"/>
            <w:gridSpan w:val="5"/>
          </w:tcPr>
          <w:p>
            <w:pPr>
              <w:spacing w:after="0"/>
              <w:rPr>
                <w:rFonts w:ascii="Arial" w:cs="Arial" w:eastAsia="Arial" w:hAnsi="Arial"/>
                <w:sz w:val="14"/>
                <w:szCs w:val="14"/>
                <w:color w:val="0000FF"/>
              </w:rPr>
            </w:pPr>
            <w:hyperlink r:id="rId26">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2000 Stock Plan and forms of agreement thereunder</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27">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2008 Stock Plan and forms of agreement thereunder</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28">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2009 Equity Incentive Plan and forms of restricted stock unit</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award and restricted stock agreement thereunder</w:t>
            </w:r>
          </w:p>
        </w:tc>
      </w:tr>
      <w:tr>
        <w:trPr>
          <w:trHeight w:val="290"/>
        </w:trPr>
        <w:tc>
          <w:tcPr>
            <w:tcW w:w="640" w:type="dxa"/>
            <w:vAlign w:val="bottom"/>
            <w:gridSpan w:val="5"/>
          </w:tcPr>
          <w:p>
            <w:pPr>
              <w:spacing w:after="0"/>
              <w:rPr>
                <w:rFonts w:ascii="Arial" w:cs="Arial" w:eastAsia="Arial" w:hAnsi="Arial"/>
                <w:sz w:val="14"/>
                <w:szCs w:val="14"/>
                <w:color w:val="0000FF"/>
              </w:rPr>
            </w:pPr>
            <w:hyperlink r:id="rId29">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Forms of stock option agreement under 2009 Equity Incentive</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Plan</w:t>
            </w:r>
          </w:p>
        </w:tc>
      </w:tr>
      <w:tr>
        <w:trPr>
          <w:trHeight w:val="290"/>
        </w:trPr>
        <w:tc>
          <w:tcPr>
            <w:tcW w:w="640" w:type="dxa"/>
            <w:vAlign w:val="bottom"/>
            <w:gridSpan w:val="5"/>
          </w:tcPr>
          <w:p>
            <w:pPr>
              <w:spacing w:after="0"/>
              <w:rPr>
                <w:rFonts w:ascii="Arial" w:cs="Arial" w:eastAsia="Arial" w:hAnsi="Arial"/>
                <w:sz w:val="14"/>
                <w:szCs w:val="14"/>
                <w:color w:val="0000FF"/>
              </w:rPr>
            </w:pPr>
            <w:hyperlink r:id="rId30">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 of performance stock unit award agreement under 2009</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Equity Incentive Plan</w:t>
            </w:r>
          </w:p>
        </w:tc>
      </w:tr>
      <w:tr>
        <w:trPr>
          <w:trHeight w:val="290"/>
        </w:trPr>
        <w:tc>
          <w:tcPr>
            <w:tcW w:w="640" w:type="dxa"/>
            <w:vAlign w:val="bottom"/>
            <w:gridSpan w:val="5"/>
          </w:tcPr>
          <w:p>
            <w:pPr>
              <w:spacing w:after="0"/>
              <w:rPr>
                <w:rFonts w:ascii="Arial" w:cs="Arial" w:eastAsia="Arial" w:hAnsi="Arial"/>
                <w:sz w:val="14"/>
                <w:szCs w:val="14"/>
                <w:color w:val="0000FF"/>
              </w:rPr>
            </w:pPr>
            <w:hyperlink r:id="rId31">
              <w:r>
                <w:rPr>
                  <w:rFonts w:ascii="Arial" w:cs="Arial" w:eastAsia="Arial" w:hAnsi="Arial"/>
                  <w:sz w:val="14"/>
                  <w:szCs w:val="14"/>
                  <w:color w:val="0000FF"/>
                </w:rPr>
                <w:t>10.</w:t>
              </w:r>
              <w:r>
                <w:rPr>
                  <w:rFonts w:ascii="Arial" w:cs="Arial" w:eastAsia="Arial" w:hAnsi="Arial"/>
                  <w:sz w:val="14"/>
                  <w:szCs w:val="14"/>
                  <w:u w:val="single" w:color="auto"/>
                  <w:color w:val="0000FF"/>
                </w:rPr>
                <w:t>7</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6"/>
              </w:rPr>
              <w:t>Forms of restricted stock unit award and performance stock unit</w:t>
            </w:r>
          </w:p>
        </w:tc>
      </w:tr>
      <w:tr>
        <w:trPr>
          <w:trHeight w:val="123"/>
        </w:trPr>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w w:val="97"/>
              </w:rPr>
              <w:t>award agreement under 2009 Equity Incentive Plan (Additional</w:t>
            </w:r>
          </w:p>
        </w:tc>
      </w:tr>
      <w:tr>
        <w:trPr>
          <w:trHeight w:val="182"/>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Forms)</w:t>
            </w:r>
          </w:p>
        </w:tc>
      </w:tr>
      <w:tr>
        <w:trPr>
          <w:trHeight w:val="296"/>
        </w:trPr>
        <w:tc>
          <w:tcPr>
            <w:tcW w:w="640" w:type="dxa"/>
            <w:vAlign w:val="bottom"/>
            <w:gridSpan w:val="5"/>
          </w:tcPr>
          <w:p>
            <w:pPr>
              <w:spacing w:after="0"/>
              <w:rPr>
                <w:rFonts w:ascii="Arial" w:cs="Arial" w:eastAsia="Arial" w:hAnsi="Arial"/>
                <w:sz w:val="14"/>
                <w:szCs w:val="14"/>
                <w:color w:val="0000FF"/>
              </w:rPr>
            </w:pPr>
            <w:hyperlink r:id="rId32">
              <w:r>
                <w:rPr>
                  <w:rFonts w:ascii="Arial" w:cs="Arial" w:eastAsia="Arial" w:hAnsi="Arial"/>
                  <w:sz w:val="14"/>
                  <w:szCs w:val="14"/>
                  <w:color w:val="0000FF"/>
                </w:rPr>
                <w:t>10.</w:t>
              </w:r>
              <w:r>
                <w:rPr>
                  <w:rFonts w:ascii="Arial" w:cs="Arial" w:eastAsia="Arial" w:hAnsi="Arial"/>
                  <w:sz w:val="14"/>
                  <w:szCs w:val="14"/>
                  <w:u w:val="single" w:color="auto"/>
                  <w:color w:val="0000FF"/>
                </w:rPr>
                <w:t>8</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2011 Employee Stock Purchase Plan</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33">
              <w:r>
                <w:rPr>
                  <w:rFonts w:ascii="Arial" w:cs="Arial" w:eastAsia="Arial" w:hAnsi="Arial"/>
                  <w:sz w:val="14"/>
                  <w:szCs w:val="14"/>
                  <w:color w:val="0000FF"/>
                </w:rPr>
                <w:t>10.</w:t>
              </w:r>
              <w:r>
                <w:rPr>
                  <w:rFonts w:ascii="Arial" w:cs="Arial" w:eastAsia="Arial" w:hAnsi="Arial"/>
                  <w:sz w:val="14"/>
                  <w:szCs w:val="14"/>
                  <w:u w:val="single" w:color="auto"/>
                  <w:color w:val="0000FF"/>
                </w:rPr>
                <w:t>9</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Meru Networks, Inc. 2010 Equity Incentive Plan</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4">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3"/>
              </w:rPr>
              <w:t>Meru Networks, Inc. 2013 New Employee Stock Inducement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5">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Forms of Fortinet, Inc. Restricted Stock Unit Assumption</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Agreement</w:t>
            </w:r>
          </w:p>
        </w:tc>
      </w:tr>
      <w:tr>
        <w:trPr>
          <w:trHeight w:val="439"/>
        </w:trPr>
        <w:tc>
          <w:tcPr>
            <w:tcW w:w="640" w:type="dxa"/>
            <w:vAlign w:val="bottom"/>
            <w:gridSpan w:val="5"/>
          </w:tcPr>
          <w:p>
            <w:pPr>
              <w:spacing w:after="0"/>
              <w:rPr>
                <w:rFonts w:ascii="Arial" w:cs="Arial" w:eastAsia="Arial" w:hAnsi="Arial"/>
                <w:sz w:val="14"/>
                <w:szCs w:val="14"/>
                <w:color w:val="0000FF"/>
              </w:rPr>
            </w:pPr>
            <w:hyperlink r:id="rId36">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Bonus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7">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Cash and Equity Incentive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Form of Change of Control Agreement between the Company and</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w:t>
            </w:r>
          </w:p>
        </w:tc>
      </w:tr>
      <w:tr>
        <w:trPr>
          <w:trHeight w:val="290"/>
        </w:trPr>
        <w:tc>
          <w:tcPr>
            <w:tcW w:w="640" w:type="dxa"/>
            <w:vAlign w:val="bottom"/>
            <w:gridSpan w:val="5"/>
          </w:tcPr>
          <w:p>
            <w:pPr>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Ken Xie</w:t>
            </w:r>
          </w:p>
        </w:tc>
      </w:tr>
      <w:tr>
        <w:trPr>
          <w:trHeight w:val="290"/>
        </w:trPr>
        <w:tc>
          <w:tcPr>
            <w:tcW w:w="640" w:type="dxa"/>
            <w:vAlign w:val="bottom"/>
            <w:gridSpan w:val="5"/>
          </w:tcPr>
          <w:p>
            <w:pPr>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Michael Xie</w:t>
            </w:r>
          </w:p>
        </w:tc>
      </w:tr>
      <w:tr>
        <w:trPr>
          <w:trHeight w:val="290"/>
        </w:trPr>
        <w:tc>
          <w:tcPr>
            <w:tcW w:w="640" w:type="dxa"/>
            <w:vAlign w:val="bottom"/>
            <w:gridSpan w:val="5"/>
          </w:tcPr>
          <w:p>
            <w:pPr>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John Whittle</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20"/>
                <w:szCs w:val="20"/>
                <w:color w:val="auto"/>
              </w:rPr>
            </w:pPr>
            <w:r>
              <w:rPr>
                <w:rFonts w:ascii="Arial" w:cs="Arial" w:eastAsia="Arial" w:hAnsi="Arial"/>
                <w:sz w:val="14"/>
                <w:szCs w:val="14"/>
                <w:color w:val="auto"/>
              </w:rPr>
              <w:t>June 28, 2018</w:t>
            </w:r>
          </w:p>
        </w:tc>
        <w:tc>
          <w:tcPr>
            <w:tcW w:w="580" w:type="dxa"/>
            <w:vAlign w:val="bottom"/>
          </w:tcPr>
          <w:p>
            <w:pPr>
              <w:ind w:left="260"/>
              <w:spacing w:after="0"/>
              <w:rPr>
                <w:sz w:val="20"/>
                <w:szCs w:val="20"/>
                <w:color w:val="auto"/>
              </w:rPr>
            </w:pPr>
            <w:r>
              <w:rPr>
                <w:rFonts w:ascii="Arial" w:cs="Arial" w:eastAsia="Arial" w:hAnsi="Arial"/>
                <w:sz w:val="14"/>
                <w:szCs w:val="14"/>
                <w:color w:val="auto"/>
              </w:rPr>
              <w:t>3.1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June 28, 2018</w:t>
            </w:r>
          </w:p>
        </w:tc>
        <w:tc>
          <w:tcPr>
            <w:tcW w:w="580" w:type="dxa"/>
            <w:vAlign w:val="bottom"/>
          </w:tcPr>
          <w:p>
            <w:pPr>
              <w:ind w:left="260"/>
              <w:spacing w:after="0"/>
              <w:rPr>
                <w:sz w:val="20"/>
                <w:szCs w:val="20"/>
                <w:color w:val="auto"/>
              </w:rPr>
            </w:pPr>
            <w:r>
              <w:rPr>
                <w:rFonts w:ascii="Arial" w:cs="Arial" w:eastAsia="Arial" w:hAnsi="Arial"/>
                <w:sz w:val="14"/>
                <w:szCs w:val="14"/>
                <w:color w:val="auto"/>
              </w:rPr>
              <w:t>3.2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580" w:type="dxa"/>
            <w:vAlign w:val="bottom"/>
          </w:tcPr>
          <w:p>
            <w:pPr>
              <w:ind w:left="260"/>
              <w:spacing w:after="0"/>
              <w:rPr>
                <w:sz w:val="20"/>
                <w:szCs w:val="20"/>
                <w:color w:val="auto"/>
              </w:rPr>
            </w:pPr>
            <w:r>
              <w:rPr>
                <w:rFonts w:ascii="Arial" w:cs="Arial" w:eastAsia="Arial" w:hAnsi="Arial"/>
                <w:sz w:val="14"/>
                <w:szCs w:val="14"/>
                <w:color w:val="auto"/>
              </w:rPr>
              <w:t>4.1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10.3</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10.4</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580" w:type="dxa"/>
            <w:vAlign w:val="bottom"/>
          </w:tcPr>
          <w:p>
            <w:pPr>
              <w:ind w:left="260"/>
              <w:spacing w:after="0"/>
              <w:rPr>
                <w:sz w:val="20"/>
                <w:szCs w:val="20"/>
                <w:color w:val="auto"/>
              </w:rPr>
            </w:pPr>
            <w:r>
              <w:rPr>
                <w:rFonts w:ascii="Arial" w:cs="Arial" w:eastAsia="Arial" w:hAnsi="Arial"/>
                <w:sz w:val="14"/>
                <w:szCs w:val="14"/>
                <w:color w:val="auto"/>
              </w:rPr>
              <w:t>10.5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6, 2013</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March 2,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10.7</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June 27, 2011</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99.2</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99.3</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November 5, 2013</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4,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10.16</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10.17</w:t>
            </w:r>
          </w:p>
        </w:tc>
      </w:tr>
    </w:tbl>
    <w:p>
      <w:pPr>
        <w:spacing w:after="0" w:line="353" w:lineRule="exact"/>
        <w:rPr>
          <w:sz w:val="20"/>
          <w:szCs w:val="20"/>
          <w:color w:val="auto"/>
        </w:rPr>
      </w:pPr>
    </w:p>
    <w:p>
      <w:pPr>
        <w:sectPr>
          <w:pgSz w:w="11900" w:h="16838" w:orient="portrait"/>
          <w:cols w:equalWidth="0" w:num="3">
            <w:col w:w="4780" w:space="200"/>
            <w:col w:w="3640" w:space="340"/>
            <w:col w:w="2260"/>
          </w:cols>
          <w:pgMar w:left="240" w:top="121" w:right="439" w:bottom="1440" w:gutter="0" w:footer="0" w:header="0"/>
          <w:type w:val="continuous"/>
        </w:sectPr>
      </w:pP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20"/>
          </w:cols>
          <w:pgMar w:left="240" w:top="121" w:right="4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4880" w:type="dxa"/>
            <w:vAlign w:val="bottom"/>
            <w:gridSpan w:val="7"/>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2">
              <w:r>
                <w:rPr>
                  <w:rFonts w:ascii="Arial" w:cs="Arial" w:eastAsia="Arial" w:hAnsi="Arial"/>
                  <w:sz w:val="14"/>
                  <w:szCs w:val="14"/>
                  <w:color w:val="0000FF"/>
                </w:rPr>
                <w:t>10.</w:t>
              </w:r>
              <w:r>
                <w:rPr>
                  <w:rFonts w:ascii="Arial" w:cs="Arial" w:eastAsia="Arial" w:hAnsi="Arial"/>
                  <w:sz w:val="14"/>
                  <w:szCs w:val="14"/>
                  <w:u w:val="single" w:color="auto"/>
                  <w:color w:val="0000FF"/>
                </w:rPr>
                <w:t>18</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4"/>
              </w:rPr>
              <w:t>Amended and Restated Change of Control Agreement, dated as of</w:t>
            </w:r>
          </w:p>
        </w:tc>
        <w:tc>
          <w:tcPr>
            <w:tcW w:w="3920" w:type="dxa"/>
            <w:vAlign w:val="bottom"/>
          </w:tcPr>
          <w:p>
            <w:pPr>
              <w:ind w:left="100"/>
              <w:spacing w:after="0"/>
              <w:rPr>
                <w:sz w:val="20"/>
                <w:szCs w:val="20"/>
                <w:color w:val="auto"/>
              </w:rPr>
            </w:pPr>
            <w:r>
              <w:rPr>
                <w:rFonts w:ascii="Arial" w:cs="Arial" w:eastAsia="Arial" w:hAnsi="Arial"/>
                <w:sz w:val="14"/>
                <w:szCs w:val="14"/>
                <w:color w:val="auto"/>
              </w:rPr>
              <w:t>Annual Report on Form 10-K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February 26, 2016</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10.18</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8"/>
              </w:rPr>
              <w:t>February 4, 2016, between the Company and Andrew Del Matto</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3">
              <w:r>
                <w:rPr>
                  <w:rFonts w:ascii="Arial" w:cs="Arial" w:eastAsia="Arial" w:hAnsi="Arial"/>
                  <w:sz w:val="14"/>
                  <w:szCs w:val="14"/>
                  <w:color w:val="0000FF"/>
                </w:rPr>
                <w:t>10.</w:t>
              </w:r>
              <w:r>
                <w:rPr>
                  <w:rFonts w:ascii="Arial" w:cs="Arial" w:eastAsia="Arial" w:hAnsi="Arial"/>
                  <w:sz w:val="14"/>
                  <w:szCs w:val="14"/>
                  <w:u w:val="single" w:color="auto"/>
                  <w:color w:val="0000FF"/>
                </w:rPr>
                <w:t>19</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Offer Letter, dated as of October 23, 2006, by and between the</w:t>
            </w:r>
          </w:p>
        </w:tc>
        <w:tc>
          <w:tcPr>
            <w:tcW w:w="3920" w:type="dxa"/>
            <w:vAlign w:val="bottom"/>
          </w:tcPr>
          <w:p>
            <w:pPr>
              <w:ind w:left="100"/>
              <w:spacing w:after="0"/>
              <w:rPr>
                <w:sz w:val="20"/>
                <w:szCs w:val="20"/>
                <w:color w:val="auto"/>
              </w:rPr>
            </w:pPr>
            <w:r>
              <w:rPr>
                <w:rFonts w:ascii="Arial" w:cs="Arial" w:eastAsia="Arial" w:hAnsi="Arial"/>
                <w:sz w:val="14"/>
                <w:szCs w:val="14"/>
                <w:color w:val="auto"/>
                <w:w w:val="96"/>
              </w:rPr>
              <w:t>Registration Statement on Form S-l, as amended (File No. 333-</w:t>
            </w:r>
          </w:p>
        </w:tc>
        <w:tc>
          <w:tcPr>
            <w:tcW w:w="1520" w:type="dxa"/>
            <w:vAlign w:val="bottom"/>
          </w:tcPr>
          <w:p>
            <w:pPr>
              <w:ind w:left="160"/>
              <w:spacing w:after="0"/>
              <w:rPr>
                <w:sz w:val="20"/>
                <w:szCs w:val="20"/>
                <w:color w:val="auto"/>
              </w:rPr>
            </w:pPr>
            <w:r>
              <w:rPr>
                <w:rFonts w:ascii="Arial" w:cs="Arial" w:eastAsia="Arial" w:hAnsi="Arial"/>
                <w:sz w:val="14"/>
                <w:szCs w:val="14"/>
                <w:color w:val="auto"/>
              </w:rPr>
              <w:t>August 10, 2009</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10.10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Company and John Whittle</w:t>
            </w:r>
          </w:p>
        </w:tc>
        <w:tc>
          <w:tcPr>
            <w:tcW w:w="3920" w:type="dxa"/>
            <w:vAlign w:val="bottom"/>
          </w:tcPr>
          <w:p>
            <w:pPr>
              <w:ind w:left="100"/>
              <w:spacing w:after="0"/>
              <w:rPr>
                <w:sz w:val="20"/>
                <w:szCs w:val="20"/>
                <w:color w:val="auto"/>
              </w:rPr>
            </w:pPr>
            <w:r>
              <w:rPr>
                <w:rFonts w:ascii="Arial" w:cs="Arial" w:eastAsia="Arial" w:hAnsi="Arial"/>
                <w:sz w:val="14"/>
                <w:szCs w:val="14"/>
                <w:color w:val="auto"/>
              </w:rPr>
              <w:t>161190)</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4">
              <w:r>
                <w:rPr>
                  <w:rFonts w:ascii="Arial" w:cs="Arial" w:eastAsia="Arial" w:hAnsi="Arial"/>
                  <w:sz w:val="14"/>
                  <w:szCs w:val="14"/>
                  <w:color w:val="0000FF"/>
                </w:rPr>
                <w:t>10.</w:t>
              </w:r>
              <w:r>
                <w:rPr>
                  <w:rFonts w:ascii="Arial" w:cs="Arial" w:eastAsia="Arial" w:hAnsi="Arial"/>
                  <w:sz w:val="14"/>
                  <w:szCs w:val="14"/>
                  <w:u w:val="single" w:color="auto"/>
                  <w:color w:val="0000FF"/>
                </w:rPr>
                <w:t>20</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6"/>
              </w:rPr>
              <w:t>Offer Letter, dated as of December 17, 2013, by and between the</w:t>
            </w:r>
          </w:p>
        </w:tc>
        <w:tc>
          <w:tcPr>
            <w:tcW w:w="3920" w:type="dxa"/>
            <w:vAlign w:val="bottom"/>
          </w:tcPr>
          <w:p>
            <w:pPr>
              <w:ind w:left="10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Company and Andrew Del Matto</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5">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Letter regarding stock grants, dated as of December 17, 2013,</w:t>
            </w:r>
          </w:p>
        </w:tc>
        <w:tc>
          <w:tcPr>
            <w:tcW w:w="3920" w:type="dxa"/>
            <w:vAlign w:val="bottom"/>
          </w:tcPr>
          <w:p>
            <w:pPr>
              <w:ind w:left="10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between the Company and Andrew Del Matto</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6">
              <w:r>
                <w:rPr>
                  <w:rFonts w:ascii="Arial" w:cs="Arial" w:eastAsia="Arial" w:hAnsi="Arial"/>
                  <w:sz w:val="14"/>
                  <w:szCs w:val="14"/>
                  <w:color w:val="0000FF"/>
                </w:rPr>
                <w:t>10.</w:t>
              </w:r>
              <w:r>
                <w:rPr>
                  <w:rFonts w:ascii="Arial" w:cs="Arial" w:eastAsia="Arial" w:hAnsi="Arial"/>
                  <w:sz w:val="14"/>
                  <w:szCs w:val="14"/>
                  <w:u w:val="single" w:color="auto"/>
                  <w:color w:val="0000FF"/>
                </w:rPr>
                <w:t>22</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Offer Letter, dated as of April 3, 2014, by and between the</w:t>
            </w:r>
          </w:p>
        </w:tc>
        <w:tc>
          <w:tcPr>
            <w:tcW w:w="3920" w:type="dxa"/>
            <w:vAlign w:val="bottom"/>
          </w:tcPr>
          <w:p>
            <w:pPr>
              <w:ind w:left="100"/>
              <w:spacing w:after="0"/>
              <w:rPr>
                <w:sz w:val="20"/>
                <w:szCs w:val="20"/>
                <w:color w:val="auto"/>
              </w:rPr>
            </w:pPr>
            <w:r>
              <w:rPr>
                <w:rFonts w:ascii="Arial" w:cs="Arial" w:eastAsia="Arial" w:hAnsi="Arial"/>
                <w:sz w:val="14"/>
                <w:szCs w:val="14"/>
                <w:color w:val="auto"/>
              </w:rPr>
              <w:t>Annual Report on Form 10-K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February 26, 2018</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10.22</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Company and Keith Jensen</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4"/>
                <w:szCs w:val="14"/>
                <w:color w:val="0000FF"/>
              </w:rPr>
            </w:pPr>
            <w:hyperlink r:id="rId47">
              <w:r>
                <w:rPr>
                  <w:rFonts w:ascii="Arial" w:cs="Arial" w:eastAsia="Arial" w:hAnsi="Arial"/>
                  <w:sz w:val="14"/>
                  <w:szCs w:val="14"/>
                  <w:color w:val="0000FF"/>
                </w:rPr>
                <w:t>10.</w:t>
              </w:r>
              <w:r>
                <w:rPr>
                  <w:rFonts w:ascii="Arial" w:cs="Arial" w:eastAsia="Arial" w:hAnsi="Arial"/>
                  <w:sz w:val="14"/>
                  <w:szCs w:val="14"/>
                  <w:u w:val="single" w:color="auto"/>
                  <w:color w:val="0000FF"/>
                </w:rPr>
                <w:t>23</w:t>
              </w:r>
            </w:hyperlink>
            <w:r>
              <w:rPr>
                <w:rFonts w:ascii="Arial" w:cs="Arial" w:eastAsia="Arial" w:hAnsi="Arial"/>
                <w:sz w:val="8"/>
                <w:szCs w:val="8"/>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5"/>
              </w:rPr>
              <w:t>Change of Control Severance Agreement, dated as of February 4,</w:t>
            </w:r>
          </w:p>
        </w:tc>
        <w:tc>
          <w:tcPr>
            <w:tcW w:w="3920" w:type="dxa"/>
            <w:vAlign w:val="bottom"/>
          </w:tcPr>
          <w:p>
            <w:pPr>
              <w:ind w:left="100"/>
              <w:spacing w:after="0"/>
              <w:rPr>
                <w:sz w:val="20"/>
                <w:szCs w:val="20"/>
                <w:color w:val="auto"/>
              </w:rPr>
            </w:pPr>
            <w:r>
              <w:rPr>
                <w:rFonts w:ascii="Arial" w:cs="Arial" w:eastAsia="Arial" w:hAnsi="Arial"/>
                <w:sz w:val="14"/>
                <w:szCs w:val="14"/>
                <w:color w:val="auto"/>
              </w:rPr>
              <w:t>Annual Report on Form 10-K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February 26, 2018</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10.23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0000FF"/>
            </w:tcBorders>
            <w:gridSpan w:val="2"/>
            <w:vMerge w:val="restart"/>
          </w:tcPr>
          <w:p>
            <w:pPr>
              <w:spacing w:after="0"/>
              <w:rPr>
                <w:rFonts w:ascii="Arial" w:cs="Arial" w:eastAsia="Arial" w:hAnsi="Arial"/>
                <w:sz w:val="14"/>
                <w:szCs w:val="14"/>
                <w:color w:val="0000FF"/>
                <w:w w:val="79"/>
              </w:rPr>
            </w:pPr>
            <w:hyperlink r:id="rId48">
              <w:r>
                <w:rPr>
                  <w:rFonts w:ascii="Arial" w:cs="Arial" w:eastAsia="Arial" w:hAnsi="Arial"/>
                  <w:sz w:val="14"/>
                  <w:szCs w:val="14"/>
                  <w:color w:val="0000FF"/>
                  <w:w w:val="79"/>
                </w:rPr>
                <w:t>10.</w:t>
              </w:r>
              <w:r>
                <w:rPr>
                  <w:rFonts w:ascii="Arial" w:cs="Arial" w:eastAsia="Arial" w:hAnsi="Arial"/>
                  <w:sz w:val="14"/>
                  <w:szCs w:val="14"/>
                  <w:u w:val="single" w:color="auto"/>
                  <w:color w:val="0000FF"/>
                  <w:w w:val="79"/>
                </w:rPr>
                <w:t>25</w:t>
              </w:r>
            </w:hyperlink>
          </w:p>
        </w:tc>
        <w:tc>
          <w:tcPr>
            <w:tcW w:w="320" w:type="dxa"/>
            <w:vAlign w:val="bottom"/>
            <w:vMerge w:val="restart"/>
          </w:tcPr>
          <w:p>
            <w:pPr>
              <w:spacing w:after="0"/>
              <w:rPr>
                <w:sz w:val="20"/>
                <w:szCs w:val="20"/>
                <w:color w:val="auto"/>
              </w:rPr>
            </w:pPr>
            <w:r>
              <w:rPr>
                <w:rFonts w:ascii="Arial" w:cs="Arial" w:eastAsia="Arial" w:hAnsi="Arial"/>
                <w:sz w:val="9"/>
                <w:szCs w:val="9"/>
                <w:color w:val="auto"/>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2016, between the Company and Keith Jensen</w:t>
            </w:r>
          </w:p>
        </w:tc>
        <w:tc>
          <w:tcPr>
            <w:tcW w:w="3920" w:type="dxa"/>
            <w:vAlign w:val="bottom"/>
            <w:vMerge w:val="restart"/>
          </w:tcPr>
          <w:p>
            <w:pPr>
              <w:ind w:left="100"/>
              <w:spacing w:after="0"/>
              <w:rPr>
                <w:sz w:val="20"/>
                <w:szCs w:val="20"/>
                <w:color w:val="auto"/>
              </w:rPr>
            </w:pPr>
            <w:r>
              <w:rPr>
                <w:rFonts w:ascii="Arial" w:cs="Arial" w:eastAsia="Arial" w:hAnsi="Arial"/>
                <w:sz w:val="14"/>
                <w:szCs w:val="14"/>
                <w:color w:val="auto"/>
              </w:rPr>
              <w:t>Quarterly Report on Form 10-Q (File No. 001-34511)</w:t>
            </w:r>
          </w:p>
        </w:tc>
        <w:tc>
          <w:tcPr>
            <w:tcW w:w="1520" w:type="dxa"/>
            <w:vAlign w:val="bottom"/>
            <w:vMerge w:val="restart"/>
          </w:tcPr>
          <w:p>
            <w:pPr>
              <w:ind w:left="160"/>
              <w:spacing w:after="0"/>
              <w:rPr>
                <w:sz w:val="20"/>
                <w:szCs w:val="20"/>
                <w:color w:val="auto"/>
              </w:rPr>
            </w:pPr>
            <w:r>
              <w:rPr>
                <w:rFonts w:ascii="Arial" w:cs="Arial" w:eastAsia="Arial" w:hAnsi="Arial"/>
                <w:sz w:val="14"/>
                <w:szCs w:val="14"/>
                <w:color w:val="auto"/>
              </w:rPr>
              <w:t>May 8, 2018</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0000FF"/>
            </w:tcBorders>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9"/>
              </w:rPr>
              <w:t>Amendment No. 1 to Change of Control Severance Agreement,</w:t>
            </w:r>
          </w:p>
        </w:tc>
        <w:tc>
          <w:tcPr>
            <w:tcW w:w="39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w w:val="95"/>
              </w:rPr>
              <w:t>dated as of May 1, 2018, between the Company and Keith Jensen</w:t>
            </w:r>
          </w:p>
        </w:tc>
        <w:tc>
          <w:tcPr>
            <w:tcW w:w="3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680" w:type="dxa"/>
            <w:vAlign w:val="bottom"/>
            <w:gridSpan w:val="5"/>
          </w:tcPr>
          <w:p>
            <w:pPr>
              <w:ind w:left="40"/>
              <w:spacing w:after="0"/>
              <w:rPr>
                <w:rFonts w:ascii="Arial" w:cs="Arial" w:eastAsia="Arial" w:hAnsi="Arial"/>
                <w:sz w:val="14"/>
                <w:szCs w:val="14"/>
                <w:color w:val="0000FF"/>
              </w:rPr>
            </w:pPr>
            <w:hyperlink w:anchor="page115">
              <w:r>
                <w:rPr>
                  <w:rFonts w:ascii="Arial" w:cs="Arial" w:eastAsia="Arial" w:hAnsi="Arial"/>
                  <w:sz w:val="14"/>
                  <w:szCs w:val="14"/>
                  <w:color w:val="0000FF"/>
                </w:rPr>
                <w:t>21.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List of subsidiaries</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0" w:type="dxa"/>
            <w:vAlign w:val="bottom"/>
            <w:gridSpan w:val="5"/>
          </w:tcPr>
          <w:p>
            <w:pPr>
              <w:ind w:left="40"/>
              <w:spacing w:after="0"/>
              <w:rPr>
                <w:rFonts w:ascii="Arial" w:cs="Arial" w:eastAsia="Arial" w:hAnsi="Arial"/>
                <w:sz w:val="14"/>
                <w:szCs w:val="14"/>
                <w:color w:val="0000FF"/>
              </w:rPr>
            </w:pPr>
            <w:hyperlink w:anchor="page116">
              <w:r>
                <w:rPr>
                  <w:rFonts w:ascii="Arial" w:cs="Arial" w:eastAsia="Arial" w:hAnsi="Arial"/>
                  <w:sz w:val="14"/>
                  <w:szCs w:val="14"/>
                  <w:color w:val="0000FF"/>
                </w:rPr>
                <w:t>23.</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Consent of Independent Registered Public Accounting Firm</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0" w:type="dxa"/>
            <w:vAlign w:val="bottom"/>
            <w:gridSpan w:val="5"/>
          </w:tcPr>
          <w:p>
            <w:pPr>
              <w:ind w:left="40"/>
              <w:spacing w:after="0"/>
              <w:rPr>
                <w:rFonts w:ascii="Arial" w:cs="Arial" w:eastAsia="Arial" w:hAnsi="Arial"/>
                <w:sz w:val="14"/>
                <w:szCs w:val="14"/>
                <w:color w:val="0000EE"/>
              </w:rPr>
            </w:pPr>
            <w:hyperlink w:anchor="page113">
              <w:r>
                <w:rPr>
                  <w:rFonts w:ascii="Arial" w:cs="Arial" w:eastAsia="Arial" w:hAnsi="Arial"/>
                  <w:sz w:val="14"/>
                  <w:szCs w:val="14"/>
                  <w:color w:val="0000EE"/>
                </w:rPr>
                <w:t>24.</w:t>
              </w:r>
              <w:r>
                <w:rPr>
                  <w:rFonts w:ascii="Arial" w:cs="Arial" w:eastAsia="Arial" w:hAnsi="Arial"/>
                  <w:sz w:val="14"/>
                  <w:szCs w:val="14"/>
                  <w:u w:val="single" w:color="auto"/>
                  <w:color w:val="0000EE"/>
                </w:rPr>
                <w:t>1</w:t>
              </w:r>
            </w:hyperlink>
            <w:r>
              <w:rPr>
                <w:rFonts w:ascii="Arial" w:cs="Arial" w:eastAsia="Arial" w:hAnsi="Arial"/>
                <w:sz w:val="14"/>
                <w:szCs w:val="14"/>
                <w:color w:val="000000"/>
              </w:rPr>
              <w:t>*</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Power of Attorney (incorporated by reference to the signature</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page of this Annual Report on Form 10-K)</w:t>
            </w:r>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spacing w:after="0"/>
              <w:rPr>
                <w:rFonts w:ascii="Arial" w:cs="Arial" w:eastAsia="Arial" w:hAnsi="Arial"/>
                <w:sz w:val="14"/>
                <w:szCs w:val="14"/>
                <w:color w:val="0000FF"/>
              </w:rPr>
            </w:pPr>
            <w:hyperlink w:anchor="page117">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19">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400"/>
        </w:trPr>
        <w:tc>
          <w:tcPr>
            <w:tcW w:w="8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260" w:firstLine="8"/>
        <w:spacing w:after="0" w:line="221" w:lineRule="auto"/>
        <w:tabs>
          <w:tab w:leader="none" w:pos="94" w:val="left"/>
        </w:tabs>
        <w:numPr>
          <w:ilvl w:val="0"/>
          <w:numId w:val="58"/>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60"/>
          </w:cols>
          <w:pgMar w:left="240" w:top="114" w:right="39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2019.</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121" w:right="29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780"/>
              <w:spacing w:after="0"/>
              <w:rPr>
                <w:sz w:val="20"/>
                <w:szCs w:val="20"/>
                <w:color w:val="auto"/>
              </w:rPr>
            </w:pPr>
            <w:r>
              <w:rPr>
                <w:rFonts w:ascii="Arial" w:cs="Arial" w:eastAsia="Arial" w:hAnsi="Arial"/>
                <w:sz w:val="18"/>
                <w:szCs w:val="18"/>
                <w:b w:val="1"/>
                <w:bCs w:val="1"/>
                <w:color w:val="auto"/>
              </w:rPr>
              <w:t>Date</w:t>
            </w:r>
          </w:p>
        </w:tc>
      </w:tr>
      <w:tr>
        <w:trPr>
          <w:trHeight w:val="20"/>
        </w:trPr>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560" w:type="dxa"/>
            <w:vAlign w:val="bottom"/>
            <w:gridSpan w:val="2"/>
          </w:tcPr>
          <w:p>
            <w:pPr>
              <w:ind w:left="134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8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88"/>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 and Principal Accounting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4"/>
          </w:tcPr>
          <w:p>
            <w:pPr>
              <w:jc w:val="center"/>
              <w:ind w:right="1420"/>
              <w:spacing w:after="0"/>
              <w:rPr>
                <w:sz w:val="20"/>
                <w:szCs w:val="20"/>
                <w:color w:val="auto"/>
              </w:rPr>
            </w:pPr>
            <w:r>
              <w:rPr>
                <w:rFonts w:ascii="Arial" w:cs="Arial" w:eastAsia="Arial" w:hAnsi="Arial"/>
                <w:sz w:val="18"/>
                <w:szCs w:val="18"/>
                <w:color w:val="auto"/>
                <w:w w:val="96"/>
              </w:rPr>
              <w:t>Michael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6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ind w:left="120"/>
              <w:spacing w:after="0"/>
              <w:rPr>
                <w:sz w:val="20"/>
                <w:szCs w:val="20"/>
                <w:color w:val="auto"/>
              </w:rPr>
            </w:pPr>
            <w:r>
              <w:rPr>
                <w:rFonts w:ascii="Arial" w:cs="Arial" w:eastAsia="Arial" w:hAnsi="Arial"/>
                <w:sz w:val="18"/>
                <w:szCs w:val="18"/>
                <w:color w:val="auto"/>
              </w:rPr>
              <w:t>Peter D. Cohen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Peter D. Cohen</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20"/>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440" w:type="dxa"/>
            <w:vAlign w:val="bottom"/>
            <w:gridSpan w:val="3"/>
          </w:tcPr>
          <w:p>
            <w:pPr>
              <w:jc w:val="center"/>
              <w:ind w:right="1580"/>
              <w:spacing w:after="0"/>
              <w:rPr>
                <w:sz w:val="20"/>
                <w:szCs w:val="20"/>
                <w:color w:val="auto"/>
              </w:rPr>
            </w:pPr>
            <w:r>
              <w:rPr>
                <w:rFonts w:ascii="Arial" w:cs="Arial" w:eastAsia="Arial" w:hAnsi="Arial"/>
                <w:sz w:val="18"/>
                <w:szCs w:val="18"/>
                <w:color w:val="auto"/>
                <w:w w:val="95"/>
              </w:rPr>
              <w:t>Ming Hsieh</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1"/>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73"/>
              </w:rPr>
              <w:t>/s/</w:t>
            </w:r>
          </w:p>
        </w:tc>
        <w:tc>
          <w:tcPr>
            <w:tcW w:w="6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3"/>
              </w:rPr>
              <w:t>Gary Locke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Gary Locke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060"/>
              <w:spacing w:after="0"/>
              <w:rPr>
                <w:sz w:val="20"/>
                <w:szCs w:val="20"/>
                <w:color w:val="auto"/>
              </w:rPr>
            </w:pPr>
            <w:r>
              <w:rPr>
                <w:rFonts w:ascii="Arial" w:cs="Arial" w:eastAsia="Arial" w:hAnsi="Arial"/>
                <w:sz w:val="18"/>
                <w:szCs w:val="18"/>
                <w:color w:val="auto"/>
                <w:w w:val="95"/>
              </w:rPr>
              <w:t>William H. Neukom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4000" w:type="dxa"/>
            <w:vAlign w:val="bottom"/>
            <w:gridSpan w:val="5"/>
          </w:tcPr>
          <w:p>
            <w:pPr>
              <w:jc w:val="center"/>
              <w:spacing w:after="0"/>
              <w:rPr>
                <w:sz w:val="20"/>
                <w:szCs w:val="20"/>
                <w:color w:val="auto"/>
              </w:rPr>
            </w:pPr>
            <w:r>
              <w:rPr>
                <w:rFonts w:ascii="Arial" w:cs="Arial" w:eastAsia="Arial" w:hAnsi="Arial"/>
                <w:sz w:val="18"/>
                <w:szCs w:val="18"/>
                <w:color w:val="auto"/>
                <w:w w:val="92"/>
              </w:rPr>
              <w:t>/s/  Christopher B. Paisley</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1400" w:type="dxa"/>
            <w:vAlign w:val="bottom"/>
          </w:tcPr>
          <w:p>
            <w:pPr>
              <w:spacing w:after="0"/>
              <w:rPr>
                <w:sz w:val="24"/>
                <w:szCs w:val="24"/>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92"/>
              </w:rPr>
              <w:t>/s/ Judith Sim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2019</w:t>
            </w:r>
          </w:p>
        </w:tc>
      </w:tr>
      <w:tr>
        <w:trPr>
          <w:trHeight w:val="27"/>
        </w:trPr>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Judith Sim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0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58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ULC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5"/>
              </w:rPr>
              <w:t>Fortinet Information Technology (Tianjin) Co.,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97"/>
        </w:trPr>
        <w:tc>
          <w:tcPr>
            <w:tcW w:w="3820" w:type="dxa"/>
            <w:vAlign w:val="bottom"/>
          </w:tcPr>
          <w:p>
            <w:pPr>
              <w:ind w:left="20"/>
              <w:spacing w:after="0"/>
              <w:rPr>
                <w:sz w:val="20"/>
                <w:szCs w:val="20"/>
                <w:color w:val="auto"/>
              </w:rPr>
            </w:pPr>
            <w:r>
              <w:rPr>
                <w:rFonts w:ascii="Arial" w:cs="Arial" w:eastAsia="Arial" w:hAnsi="Arial"/>
                <w:sz w:val="18"/>
                <w:szCs w:val="18"/>
                <w:color w:val="auto"/>
              </w:rPr>
              <w:t>Fortinet Mexico, S. de R.L. de C.V.</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Colombia S.A.S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NZ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Israel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Korea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LLC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Qatar</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Italy S.R.L.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Networks Romania S.R.L.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Holding LLC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Accelops HK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Accelops China</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4"/>
              </w:rPr>
              <w:t>Fortinet Turkey Güvenlik Sistemleri Limited Şirketi</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Spain S.L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Networks Mauritius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Bradford Networks,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Bradford Networks Europe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ZoneFox Holding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ZoneFox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920"/>
          </w:cols>
          <w:pgMar w:left="740" w:top="83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333-223246, 333-216362, 333-209783, 333-205958, 333-202402, 333-194281, 333-186921, 333-179751, 333-175985, 333-172459 and, 333-163367 on Form S-8 of our reports dated February 26, 2019, relating to the consolidated financial statements and consolidated financial statement schedule of Fortinet, Inc. and subsidiaries (the “Company”) (which expresses an unqualified opinion and included an explanatory paragraph related to the Company’s change in method of accounting for revenue in fiscal 2018 due to adoption of the new revenue standard), and the effectiveness of the Company's internal control over financial reporting, appearing in the Annual Report on Form 10-K of the Company for the year ended December 31,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2018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2019</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Annual Report on Form 10-K of Fortinet, Inc. for the fiscal year ended December 31, 2018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2019</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740"/>
    </w:lvl>
  </w:abstractNum>
  <w:abstractNum w:abstractNumId="34">
    <w:nsid w:val="38437FDB"/>
    <w:multiLevelType w:val="hybridMultilevel"/>
    <w:lvl w:ilvl="0">
      <w:lvlJc w:val="left"/>
      <w:lvlText w:val="%1"/>
      <w:numFmt w:val="decimal"/>
      <w:start w:val="740"/>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1."/>
      <w:numFmt w:val="decimal"/>
      <w:start w:val="5"/>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9"/>
    </w:lvl>
  </w:abstractNum>
  <w:abstractNum w:abstractNumId="47">
    <w:nsid w:val="374A3FE6"/>
    <w:multiLevelType w:val="hybridMultilevel"/>
    <w:lvl w:ilvl="0">
      <w:lvlJc w:val="left"/>
      <w:lvlText w:val="%1."/>
      <w:numFmt w:val="decimal"/>
      <w:start w:val="10"/>
    </w:lvl>
  </w:abstractNum>
  <w:abstractNum w:abstractNumId="48">
    <w:nsid w:val="4F4EF005"/>
    <w:multiLevelType w:val="hybridMultilevel"/>
    <w:lvl w:ilvl="0">
      <w:lvlJc w:val="left"/>
      <w:lvlText w:val="%1."/>
      <w:numFmt w:val="decimal"/>
      <w:start w:val="11"/>
    </w:lvl>
  </w:abstractNum>
  <w:abstractNum w:abstractNumId="49">
    <w:nsid w:val="23F9C13C"/>
    <w:multiLevelType w:val="hybridMultilevel"/>
    <w:lvl w:ilvl="0">
      <w:lvlJc w:val="left"/>
      <w:lvlText w:val="%1."/>
      <w:numFmt w:val="decimal"/>
      <w:start w:val="12"/>
    </w:lvl>
  </w:abstractNum>
  <w:abstractNum w:abstractNumId="50">
    <w:nsid w:val="649BB77C"/>
    <w:multiLevelType w:val="hybridMultilevel"/>
    <w:lvl w:ilvl="0">
      <w:lvlJc w:val="left"/>
      <w:lvlText w:val="%1."/>
      <w:numFmt w:val="decimal"/>
      <w:start w:val="13"/>
    </w:lvl>
  </w:abstractNum>
  <w:abstractNum w:abstractNumId="51">
    <w:nsid w:val="275AC794"/>
    <w:multiLevelType w:val="hybridMultilevel"/>
    <w:lvl w:ilvl="0">
      <w:lvlJc w:val="left"/>
      <w:lvlText w:val="%1."/>
      <w:numFmt w:val="decimal"/>
      <w:start w:val="14"/>
    </w:lvl>
  </w:abstractNum>
  <w:abstractNum w:abstractNumId="52">
    <w:nsid w:val="39386575"/>
    <w:multiLevelType w:val="hybridMultilevel"/>
    <w:lvl w:ilvl="0">
      <w:lvlJc w:val="left"/>
      <w:lvlText w:val="%1."/>
      <w:numFmt w:val="decimal"/>
      <w:start w:val="15"/>
    </w:lvl>
  </w:abstractNum>
  <w:abstractNum w:abstractNumId="53">
    <w:nsid w:val="1CF10FD8"/>
    <w:multiLevelType w:val="hybridMultilevel"/>
    <w:lvl w:ilvl="0">
      <w:lvlJc w:val="left"/>
      <w:lvlText w:val="%1."/>
      <w:numFmt w:val="decimal"/>
      <w:start w:val="16"/>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3"/>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22" Type="http://schemas.openxmlformats.org/officeDocument/2006/relationships/hyperlink" Target="http://www.sec.gov/Archives/edgar/data/1262039/000126203918000023/exhibit31-amendedandrestat.htm" TargetMode="External"/><Relationship Id="rId23" Type="http://schemas.openxmlformats.org/officeDocument/2006/relationships/hyperlink" Target="http://www.sec.gov/Archives/edgar/data/1262039/000126203918000023/exhibit32-amendedandrestat.htm" TargetMode="External"/><Relationship Id="rId24" Type="http://schemas.openxmlformats.org/officeDocument/2006/relationships/hyperlink" Target="http://www.sec.gov/Archives/edgar/data/1262039/000119312509220527/dex41.htm" TargetMode="External"/><Relationship Id="rId25" Type="http://schemas.openxmlformats.org/officeDocument/2006/relationships/hyperlink" Target="http://www.sec.gov/Archives/edgar/data/1262039/000119312509169817/dex101.htm" TargetMode="External"/><Relationship Id="rId26" Type="http://schemas.openxmlformats.org/officeDocument/2006/relationships/hyperlink" Target="http://www.sec.gov/Archives/edgar/data/1262039/000119312509169817/dex102.htm" TargetMode="External"/><Relationship Id="rId27" Type="http://schemas.openxmlformats.org/officeDocument/2006/relationships/hyperlink" Target="http://www.sec.gov/Archives/edgar/data/1262039/000119312509169817/dex103.htm" TargetMode="External"/><Relationship Id="rId28" Type="http://schemas.openxmlformats.org/officeDocument/2006/relationships/hyperlink" Target="http://www.sec.gov/Archives/edgar/data/1262039/000119312509169817/dex104.htm" TargetMode="External"/><Relationship Id="rId29" Type="http://schemas.openxmlformats.org/officeDocument/2006/relationships/hyperlink" Target="http://www.sec.gov/Archives/edgar/data/1262039/000126203912000013/ftnt-ex105_20111231xk.htm" TargetMode="External"/><Relationship Id="rId30" Type="http://schemas.openxmlformats.org/officeDocument/2006/relationships/hyperlink" Target="http://www.sec.gov/Archives/edgar/data/1262039/000126203913000044/fortinet_20130630x10-qex991.htm" TargetMode="External"/><Relationship Id="rId31" Type="http://schemas.openxmlformats.org/officeDocument/2006/relationships/hyperlink" Target="http://www.sec.gov/Archives/edgar/data/1262039/000126203915000009/ftnt-ex107_20141231xk.htm" TargetMode="External"/><Relationship Id="rId32" Type="http://schemas.openxmlformats.org/officeDocument/2006/relationships/hyperlink" Target="http://www.sec.gov/Archives/edgar/data/1262039/000119312511174474/dex101.htm" TargetMode="External"/><Relationship Id="rId33" Type="http://schemas.openxmlformats.org/officeDocument/2006/relationships/hyperlink" Target="http://www.sec.gov/Archives/edgar/data/1262039/000119312515270905/d28523dex991.htm" TargetMode="External"/><Relationship Id="rId34" Type="http://schemas.openxmlformats.org/officeDocument/2006/relationships/hyperlink" Target="http://www.sec.gov/Archives/edgar/data/1262039/000119312515270905/d28523dex992.htm" TargetMode="External"/><Relationship Id="rId35" Type="http://schemas.openxmlformats.org/officeDocument/2006/relationships/hyperlink" Target="http://www.sec.gov/Archives/edgar/data/1262039/000119312515270905/d28523dex993.htm" TargetMode="External"/><Relationship Id="rId36" Type="http://schemas.openxmlformats.org/officeDocument/2006/relationships/hyperlink" Target="http://www.sec.gov/Archives/edgar/data/1262039/000119312510013031/dex101.htm" TargetMode="External"/><Relationship Id="rId37" Type="http://schemas.openxmlformats.org/officeDocument/2006/relationships/hyperlink" Target="http://www.sec.gov/Archives/edgar/data/1262039/000126203913000055/fortinet_20130930x10-qex101.htm" TargetMode="External"/><Relationship Id="rId38" Type="http://schemas.openxmlformats.org/officeDocument/2006/relationships/hyperlink" Target="http://www.sec.gov/Archives/edgar/data/1262039/000126203915000024/ftnt-ex101_20150630xqxcoca.htm" TargetMode="External"/><Relationship Id="rId39" Type="http://schemas.openxmlformats.org/officeDocument/2006/relationships/hyperlink" Target="http://www.sec.gov/Archives/edgar/data/1262039/000126203916000053/ftnt-ex1015_20151231xk.htm" TargetMode="External"/><Relationship Id="rId40" Type="http://schemas.openxmlformats.org/officeDocument/2006/relationships/hyperlink" Target="http://www.sec.gov/Archives/edgar/data/1262039/000126203916000053/ftnt-ex1016_20151231xk.htm" TargetMode="External"/><Relationship Id="rId41" Type="http://schemas.openxmlformats.org/officeDocument/2006/relationships/hyperlink" Target="http://www.sec.gov/Archives/edgar/data/1262039/000126203916000053/ftnt-ex1017_20151231xk.htm" TargetMode="External"/><Relationship Id="rId42" Type="http://schemas.openxmlformats.org/officeDocument/2006/relationships/hyperlink" Target="http://www.sec.gov/Archives/edgar/data/1262039/000126203916000053/ftnt-ex1018_20151231xk.htm" TargetMode="External"/><Relationship Id="rId43" Type="http://schemas.openxmlformats.org/officeDocument/2006/relationships/hyperlink" Target="http://www.sec.gov/Archives/edgar/data/1262039/000119312509169817/dex1010.htm" TargetMode="External"/><Relationship Id="rId44" Type="http://schemas.openxmlformats.org/officeDocument/2006/relationships/hyperlink" Target="http://www.sec.gov/Archives/edgar/data/1262039/000126203913000061/ex991offerletter.htm" TargetMode="External"/><Relationship Id="rId45" Type="http://schemas.openxmlformats.org/officeDocument/2006/relationships/hyperlink" Target="http://www.sec.gov/Archives/edgar/data/1262039/000126203913000061/ex992stockletter.htm" TargetMode="External"/><Relationship Id="rId46" Type="http://schemas.openxmlformats.org/officeDocument/2006/relationships/hyperlink" Target="http://www.sec.gov/Archives/edgar/data/1262039/000126203918000009/ftnt-ex1022_20171231xk.htm" TargetMode="External"/><Relationship Id="rId47" Type="http://schemas.openxmlformats.org/officeDocument/2006/relationships/hyperlink" Target="http://www.sec.gov/Archives/edgar/data/1262039/000126203918000009/ftnt-ex1023_20171231xk.htm" TargetMode="External"/><Relationship Id="rId48" Type="http://schemas.openxmlformats.org/officeDocument/2006/relationships/hyperlink" Target="http://www.sec.gov/Archives/edgar/data/1262039/000126203918000019/ftnt-ex101_amendmenttoj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2019-12-28T15:45:14Z</dcterms:created>
  <dcterms:modified xsi:type="dcterms:W3CDTF">2019-12-28T15:45:14Z</dcterms:modified>
</cp:coreProperties>
</file>