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55"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330200</wp:posOffset>
            </wp:positionV>
            <wp:extent cx="14319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118110</wp:posOffset>
            </wp:positionV>
            <wp:extent cx="1431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right="200" w:hanging="492"/>
        <w:spacing w:after="0" w:line="256" w:lineRule="auto"/>
        <w:tabs>
          <w:tab w:leader="none" w:pos="5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500" w:right="200" w:hanging="492"/>
        <w:spacing w:after="0" w:line="269" w:lineRule="auto"/>
        <w:tabs>
          <w:tab w:leader="none" w:pos="1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w:t>
      </w:r>
    </w:p>
    <w:p>
      <w:pPr>
        <w:spacing w:after="0" w:line="90" w:lineRule="exact"/>
        <w:rPr>
          <w:sz w:val="24"/>
          <w:szCs w:val="24"/>
          <w:color w:val="auto"/>
        </w:rPr>
      </w:pPr>
    </w:p>
    <w:p>
      <w:pPr>
        <w:ind w:left="50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1819275</wp:posOffset>
            </wp:positionH>
            <wp:positionV relativeFrom="paragraph">
              <wp:posOffset>-7620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3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001-34511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377825</wp:posOffset>
            </wp:positionV>
            <wp:extent cx="1423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FORTINET, INC.</w:t>
      </w:r>
    </w:p>
    <w:p>
      <w:pPr>
        <w:spacing w:after="0" w:line="8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137795</wp:posOffset>
            </wp:positionV>
            <wp:extent cx="1423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tbl>
      <w:tblPr>
        <w:tblLayout w:type="fixed"/>
        <w:tblInd w:w="2000" w:type="dxa"/>
        <w:tblCellMar>
          <w:top w:w="0" w:type="dxa"/>
          <w:left w:w="0" w:type="dxa"/>
          <w:bottom w:w="0" w:type="dxa"/>
          <w:right w:w="0" w:type="dxa"/>
        </w:tblCellMar>
      </w:tblPr>
      <w:tr>
        <w:trPr>
          <w:trHeight w:val="234"/>
        </w:trPr>
        <w:tc>
          <w:tcPr>
            <w:tcW w:w="2180" w:type="dxa"/>
            <w:vAlign w:val="bottom"/>
          </w:tcPr>
          <w:p>
            <w:pPr>
              <w:jc w:val="center"/>
              <w:ind w:right="23"/>
              <w:spacing w:after="0"/>
              <w:rPr>
                <w:sz w:val="20"/>
                <w:szCs w:val="20"/>
                <w:color w:val="auto"/>
              </w:rPr>
            </w:pPr>
            <w:r>
              <w:rPr>
                <w:rFonts w:ascii="Arial" w:cs="Arial" w:eastAsia="Arial" w:hAnsi="Arial"/>
                <w:sz w:val="18"/>
                <w:szCs w:val="18"/>
                <w:b w:val="1"/>
                <w:bCs w:val="1"/>
                <w:color w:val="auto"/>
                <w:w w:val="91"/>
              </w:rPr>
              <w:t>Delaware</w:t>
            </w:r>
          </w:p>
        </w:tc>
        <w:tc>
          <w:tcPr>
            <w:tcW w:w="4720" w:type="dxa"/>
            <w:vAlign w:val="bottom"/>
          </w:tcPr>
          <w:p>
            <w:pPr>
              <w:jc w:val="right"/>
              <w:spacing w:after="0"/>
              <w:rPr>
                <w:sz w:val="20"/>
                <w:szCs w:val="20"/>
                <w:color w:val="auto"/>
              </w:rPr>
            </w:pPr>
            <w:r>
              <w:rPr>
                <w:rFonts w:ascii="Arial" w:cs="Arial" w:eastAsia="Arial" w:hAnsi="Arial"/>
                <w:sz w:val="18"/>
                <w:szCs w:val="18"/>
                <w:b w:val="1"/>
                <w:bCs w:val="1"/>
                <w:color w:val="auto"/>
              </w:rPr>
              <w:t>77-0560389</w:t>
            </w:r>
          </w:p>
        </w:tc>
      </w:tr>
      <w:tr>
        <w:trPr>
          <w:trHeight w:val="171"/>
        </w:trPr>
        <w:tc>
          <w:tcPr>
            <w:tcW w:w="2180" w:type="dxa"/>
            <w:vAlign w:val="bottom"/>
          </w:tcPr>
          <w:p>
            <w:pPr>
              <w:jc w:val="center"/>
              <w:ind w:right="23"/>
              <w:spacing w:after="0"/>
              <w:rPr>
                <w:sz w:val="20"/>
                <w:szCs w:val="20"/>
                <w:color w:val="auto"/>
              </w:rPr>
            </w:pPr>
            <w:r>
              <w:rPr>
                <w:rFonts w:ascii="Arial" w:cs="Arial" w:eastAsia="Arial" w:hAnsi="Arial"/>
                <w:sz w:val="13"/>
                <w:szCs w:val="13"/>
                <w:b w:val="1"/>
                <w:bCs w:val="1"/>
                <w:color w:val="auto"/>
                <w:w w:val="87"/>
              </w:rPr>
              <w:t>(State or other jurisdiction of</w:t>
            </w:r>
          </w:p>
        </w:tc>
        <w:tc>
          <w:tcPr>
            <w:tcW w:w="4720" w:type="dxa"/>
            <w:vAlign w:val="bottom"/>
          </w:tcPr>
          <w:p>
            <w:pPr>
              <w:jc w:val="center"/>
              <w:ind w:left="3665"/>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2180" w:type="dxa"/>
            <w:vAlign w:val="bottom"/>
          </w:tcPr>
          <w:p>
            <w:pPr>
              <w:jc w:val="center"/>
              <w:ind w:right="23"/>
              <w:spacing w:after="0"/>
              <w:rPr>
                <w:sz w:val="20"/>
                <w:szCs w:val="20"/>
                <w:color w:val="auto"/>
              </w:rPr>
            </w:pPr>
            <w:r>
              <w:rPr>
                <w:rFonts w:ascii="Arial" w:cs="Arial" w:eastAsia="Arial" w:hAnsi="Arial"/>
                <w:sz w:val="13"/>
                <w:szCs w:val="13"/>
                <w:b w:val="1"/>
                <w:bCs w:val="1"/>
                <w:color w:val="auto"/>
                <w:w w:val="88"/>
              </w:rPr>
              <w:t>incorporation or organization)</w:t>
            </w:r>
          </w:p>
        </w:tc>
        <w:tc>
          <w:tcPr>
            <w:tcW w:w="4720" w:type="dxa"/>
            <w:vAlign w:val="bottom"/>
          </w:tcPr>
          <w:p>
            <w:pPr>
              <w:jc w:val="center"/>
              <w:ind w:left="3665"/>
              <w:spacing w:after="0"/>
              <w:rPr>
                <w:sz w:val="20"/>
                <w:szCs w:val="20"/>
                <w:color w:val="auto"/>
              </w:rPr>
            </w:pPr>
            <w:r>
              <w:rPr>
                <w:rFonts w:ascii="Arial" w:cs="Arial" w:eastAsia="Arial" w:hAnsi="Arial"/>
                <w:sz w:val="13"/>
                <w:szCs w:val="13"/>
                <w:b w:val="1"/>
                <w:bCs w:val="1"/>
                <w:color w:val="auto"/>
                <w:w w:val="89"/>
              </w:rPr>
              <w:t>Identification No.)</w:t>
            </w:r>
          </w:p>
        </w:tc>
      </w:tr>
      <w:tr>
        <w:trPr>
          <w:trHeight w:val="259"/>
        </w:trPr>
        <w:tc>
          <w:tcPr>
            <w:tcW w:w="2180" w:type="dxa"/>
            <w:vAlign w:val="bottom"/>
          </w:tcPr>
          <w:p>
            <w:pPr>
              <w:jc w:val="center"/>
              <w:ind w:right="23"/>
              <w:spacing w:after="0"/>
              <w:rPr>
                <w:sz w:val="20"/>
                <w:szCs w:val="20"/>
                <w:color w:val="auto"/>
              </w:rPr>
            </w:pPr>
            <w:r>
              <w:rPr>
                <w:rFonts w:ascii="Arial" w:cs="Arial" w:eastAsia="Arial" w:hAnsi="Arial"/>
                <w:sz w:val="18"/>
                <w:szCs w:val="18"/>
                <w:b w:val="1"/>
                <w:bCs w:val="1"/>
                <w:color w:val="auto"/>
                <w:w w:val="94"/>
              </w:rPr>
              <w:t>1090 Kifer Road</w:t>
            </w:r>
          </w:p>
        </w:tc>
        <w:tc>
          <w:tcPr>
            <w:tcW w:w="4720" w:type="dxa"/>
            <w:vAlign w:val="bottom"/>
          </w:tcPr>
          <w:p>
            <w:pPr>
              <w:spacing w:after="0"/>
              <w:rPr>
                <w:sz w:val="22"/>
                <w:szCs w:val="22"/>
                <w:color w:val="auto"/>
              </w:rPr>
            </w:pPr>
          </w:p>
        </w:tc>
      </w:tr>
      <w:tr>
        <w:trPr>
          <w:trHeight w:val="270"/>
        </w:trPr>
        <w:tc>
          <w:tcPr>
            <w:tcW w:w="2180" w:type="dxa"/>
            <w:vAlign w:val="bottom"/>
          </w:tcPr>
          <w:p>
            <w:pPr>
              <w:jc w:val="center"/>
              <w:ind w:right="23"/>
              <w:spacing w:after="0"/>
              <w:rPr>
                <w:sz w:val="20"/>
                <w:szCs w:val="20"/>
                <w:color w:val="auto"/>
              </w:rPr>
            </w:pPr>
            <w:r>
              <w:rPr>
                <w:rFonts w:ascii="Arial" w:cs="Arial" w:eastAsia="Arial" w:hAnsi="Arial"/>
                <w:sz w:val="18"/>
                <w:szCs w:val="18"/>
                <w:b w:val="1"/>
                <w:bCs w:val="1"/>
                <w:color w:val="auto"/>
                <w:w w:val="91"/>
              </w:rPr>
              <w:t>Sunnyvale, California</w:t>
            </w:r>
          </w:p>
        </w:tc>
        <w:tc>
          <w:tcPr>
            <w:tcW w:w="4720" w:type="dxa"/>
            <w:vAlign w:val="bottom"/>
          </w:tcPr>
          <w:p>
            <w:pPr>
              <w:jc w:val="right"/>
              <w:ind w:right="185"/>
              <w:spacing w:after="0"/>
              <w:rPr>
                <w:sz w:val="20"/>
                <w:szCs w:val="20"/>
                <w:color w:val="auto"/>
              </w:rPr>
            </w:pPr>
            <w:r>
              <w:rPr>
                <w:rFonts w:ascii="Arial" w:cs="Arial" w:eastAsia="Arial" w:hAnsi="Arial"/>
                <w:sz w:val="18"/>
                <w:szCs w:val="18"/>
                <w:b w:val="1"/>
                <w:bCs w:val="1"/>
                <w:color w:val="auto"/>
              </w:rPr>
              <w:t>94086</w:t>
            </w:r>
          </w:p>
        </w:tc>
      </w:tr>
      <w:tr>
        <w:trPr>
          <w:trHeight w:val="281"/>
        </w:trPr>
        <w:tc>
          <w:tcPr>
            <w:tcW w:w="2180" w:type="dxa"/>
            <w:vAlign w:val="bottom"/>
          </w:tcPr>
          <w:p>
            <w:pPr>
              <w:jc w:val="center"/>
              <w:ind w:right="2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720" w:type="dxa"/>
            <w:vAlign w:val="bottom"/>
          </w:tcPr>
          <w:p>
            <w:pPr>
              <w:jc w:val="center"/>
              <w:ind w:left="3665"/>
              <w:spacing w:after="0"/>
              <w:rPr>
                <w:sz w:val="20"/>
                <w:szCs w:val="20"/>
                <w:color w:val="auto"/>
              </w:rPr>
            </w:pPr>
            <w:r>
              <w:rPr>
                <w:rFonts w:ascii="Arial" w:cs="Arial" w:eastAsia="Arial" w:hAnsi="Arial"/>
                <w:sz w:val="13"/>
                <w:szCs w:val="13"/>
                <w:b w:val="1"/>
                <w:bCs w:val="1"/>
                <w:color w:val="auto"/>
                <w:w w:val="90"/>
              </w:rPr>
              <w:t>(Zip Code)</w:t>
            </w:r>
          </w:p>
        </w:tc>
      </w:tr>
      <w:tr>
        <w:trPr>
          <w:trHeight w:val="281"/>
        </w:trPr>
        <w:tc>
          <w:tcPr>
            <w:tcW w:w="2180" w:type="dxa"/>
            <w:vAlign w:val="bottom"/>
          </w:tcPr>
          <w:p>
            <w:pPr>
              <w:spacing w:after="0"/>
              <w:rPr>
                <w:sz w:val="24"/>
                <w:szCs w:val="24"/>
                <w:color w:val="auto"/>
              </w:rPr>
            </w:pPr>
          </w:p>
        </w:tc>
        <w:tc>
          <w:tcPr>
            <w:tcW w:w="4720" w:type="dxa"/>
            <w:vAlign w:val="bottom"/>
          </w:tcPr>
          <w:p>
            <w:pPr>
              <w:jc w:val="right"/>
              <w:ind w:right="2545"/>
              <w:spacing w:after="0"/>
              <w:rPr>
                <w:sz w:val="20"/>
                <w:szCs w:val="20"/>
                <w:color w:val="auto"/>
              </w:rPr>
            </w:pPr>
            <w:r>
              <w:rPr>
                <w:rFonts w:ascii="Arial" w:cs="Arial" w:eastAsia="Arial" w:hAnsi="Arial"/>
                <w:sz w:val="18"/>
                <w:szCs w:val="18"/>
                <w:b w:val="1"/>
                <w:bCs w:val="1"/>
                <w:color w:val="auto"/>
              </w:rPr>
              <w:t>(408) 235-7700</w:t>
            </w:r>
          </w:p>
        </w:tc>
      </w:tr>
      <w:tr>
        <w:trPr>
          <w:trHeight w:val="164"/>
        </w:trPr>
        <w:tc>
          <w:tcPr>
            <w:tcW w:w="2180" w:type="dxa"/>
            <w:vAlign w:val="bottom"/>
          </w:tcPr>
          <w:p>
            <w:pPr>
              <w:spacing w:after="0"/>
              <w:rPr>
                <w:sz w:val="14"/>
                <w:szCs w:val="14"/>
                <w:color w:val="auto"/>
              </w:rPr>
            </w:pPr>
          </w:p>
        </w:tc>
        <w:tc>
          <w:tcPr>
            <w:tcW w:w="4720" w:type="dxa"/>
            <w:vAlign w:val="bottom"/>
          </w:tcPr>
          <w:p>
            <w:pPr>
              <w:jc w:val="center"/>
              <w:ind w:right="1565"/>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190500</wp:posOffset>
            </wp:positionV>
            <wp:extent cx="1431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ind w:right="20" w:firstLine="48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14" w:lineRule="exact"/>
        <w:rPr>
          <w:sz w:val="24"/>
          <w:szCs w:val="24"/>
          <w:color w:val="auto"/>
        </w:rPr>
      </w:pPr>
    </w:p>
    <w:p>
      <w:pPr>
        <w:ind w:right="40" w:firstLine="486"/>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14"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200"/>
          </w:cols>
          <w:pgMar w:left="240" w:top="449" w:right="45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85" w:lineRule="exact"/>
        <w:rPr>
          <w:sz w:val="24"/>
          <w:szCs w:val="24"/>
          <w:color w:val="auto"/>
        </w:rPr>
      </w:pPr>
    </w:p>
    <w:p>
      <w:pPr>
        <w:sectPr>
          <w:pgSz w:w="11900" w:h="16838" w:orient="portrait"/>
          <w:cols w:equalWidth="0" w:num="4">
            <w:col w:w="1660" w:space="540"/>
            <w:col w:w="5340" w:space="720"/>
            <w:col w:w="1900" w:space="720"/>
            <w:col w:w="320"/>
          </w:cols>
          <w:pgMar w:left="240" w:top="449" w:right="4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185" w:lineRule="exact"/>
        <w:rPr>
          <w:sz w:val="24"/>
          <w:szCs w:val="24"/>
          <w:color w:val="auto"/>
        </w:rPr>
      </w:pPr>
    </w:p>
    <w:p>
      <w:pPr>
        <w:sectPr>
          <w:pgSz w:w="11900" w:h="16838" w:orient="portrait"/>
          <w:cols w:equalWidth="0" w:num="5">
            <w:col w:w="1560" w:space="640"/>
            <w:col w:w="180" w:space="420"/>
            <w:col w:w="4740" w:space="720"/>
            <w:col w:w="1960" w:space="660"/>
            <w:col w:w="320"/>
          </w:cols>
          <w:pgMar w:left="240" w:top="449" w:right="4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8"/>
          <w:szCs w:val="18"/>
          <w:color w:val="auto"/>
        </w:rPr>
        <w:t>Yes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158" w:lineRule="exact"/>
        <w:rPr>
          <w:sz w:val="24"/>
          <w:szCs w:val="24"/>
          <w:color w:val="auto"/>
        </w:rPr>
      </w:pPr>
    </w:p>
    <w:p>
      <w:pPr>
        <w:sectPr>
          <w:pgSz w:w="11900" w:h="16838" w:orient="portrait"/>
          <w:cols w:equalWidth="0" w:num="4">
            <w:col w:w="8680" w:space="160"/>
            <w:col w:w="520" w:space="180"/>
            <w:col w:w="220" w:space="140"/>
            <w:col w:w="1300"/>
          </w:cols>
          <w:pgMar w:left="240" w:top="449" w:right="4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As of July 31, 2012, there were 158,222,830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449" w:right="4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30, 2012</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8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50"/>
        </w:trPr>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40" w:type="dxa"/>
            <w:vAlign w:val="bottom"/>
            <w:gridSpan w:val="5"/>
          </w:tcPr>
          <w:p>
            <w:pPr>
              <w:jc w:val="center"/>
              <w:ind w:right="398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15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FF"/>
            </w:tcBorders>
            <w:gridSpan w:val="6"/>
          </w:tcPr>
          <w:p>
            <w:pPr>
              <w:spacing w:after="0"/>
              <w:rPr>
                <w:rFonts w:ascii="Arial" w:cs="Arial" w:eastAsia="Arial" w:hAnsi="Arial"/>
                <w:sz w:val="18"/>
                <w:szCs w:val="18"/>
                <w:b w:val="1"/>
                <w:bCs w:val="1"/>
                <w:color w:val="0000FF"/>
                <w:w w:val="88"/>
              </w:rPr>
            </w:pPr>
            <w:hyperlink w:anchor="page3">
              <w:r>
                <w:rPr>
                  <w:rFonts w:ascii="Arial" w:cs="Arial" w:eastAsia="Arial" w:hAnsi="Arial"/>
                  <w:sz w:val="18"/>
                  <w:szCs w:val="18"/>
                  <w:b w:val="1"/>
                  <w:bCs w:val="1"/>
                  <w:color w:val="0000FF"/>
                  <w:w w:val="88"/>
                </w:rPr>
                <w:t>Financial Statements</w:t>
              </w:r>
            </w:hyperlink>
          </w:p>
        </w:tc>
        <w:tc>
          <w:tcPr>
            <w:tcW w:w="2280" w:type="dxa"/>
            <w:vAlign w:val="bottom"/>
            <w:gridSpan w:val="5"/>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3980" w:type="dxa"/>
            <w:vAlign w:val="bottom"/>
            <w:gridSpan w:val="4"/>
          </w:tcPr>
          <w:p>
            <w:pPr>
              <w:spacing w:after="0"/>
              <w:rPr>
                <w:sz w:val="21"/>
                <w:szCs w:val="21"/>
                <w:color w:val="auto"/>
              </w:rPr>
            </w:pPr>
          </w:p>
        </w:tc>
        <w:tc>
          <w:tcPr>
            <w:tcW w:w="178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15"/>
          </w:tcPr>
          <w:p>
            <w:pPr>
              <w:spacing w:after="0"/>
              <w:rPr>
                <w:rFonts w:ascii="Arial" w:cs="Arial" w:eastAsia="Arial" w:hAnsi="Arial"/>
                <w:sz w:val="18"/>
                <w:szCs w:val="18"/>
                <w:b w:val="1"/>
                <w:bCs w:val="1"/>
                <w:color w:val="0000FF"/>
                <w:w w:val="89"/>
              </w:rPr>
            </w:pPr>
            <w:hyperlink w:anchor="page19">
              <w:r>
                <w:rPr>
                  <w:rFonts w:ascii="Arial" w:cs="Arial" w:eastAsia="Arial" w:hAnsi="Arial"/>
                  <w:sz w:val="18"/>
                  <w:szCs w:val="18"/>
                  <w:b w:val="1"/>
                  <w:bCs w:val="1"/>
                  <w:color w:val="0000FF"/>
                  <w:w w:val="89"/>
                </w:rPr>
                <w:t>Management's Discussion and Analysis of Financial Condition and Results of Operations</w:t>
              </w:r>
            </w:hyperlink>
          </w:p>
        </w:tc>
        <w:tc>
          <w:tcPr>
            <w:tcW w:w="1500" w:type="dxa"/>
            <w:vAlign w:val="bottom"/>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40" w:type="dxa"/>
            <w:vAlign w:val="bottom"/>
            <w:gridSpan w:val="15"/>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Quantitative and Qualitative Disclosures about Market Risk</w:t>
              </w:r>
            </w:hyperlink>
          </w:p>
        </w:tc>
        <w:tc>
          <w:tcPr>
            <w:tcW w:w="1500" w:type="dxa"/>
            <w:vAlign w:val="bottom"/>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60" w:type="dxa"/>
            <w:vAlign w:val="bottom"/>
            <w:tcBorders>
              <w:left w:val="single" w:sz="8" w:color="0000FF"/>
            </w:tcBorders>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580" w:type="dxa"/>
            <w:vAlign w:val="bottom"/>
            <w:gridSpan w:val="14"/>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Controls and Procedures</w:t>
              </w:r>
            </w:hyperlink>
          </w:p>
        </w:tc>
        <w:tc>
          <w:tcPr>
            <w:tcW w:w="3760" w:type="dxa"/>
            <w:vAlign w:val="bottom"/>
            <w:gridSpan w:val="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500" w:type="dxa"/>
            <w:vAlign w:val="bottom"/>
          </w:tcPr>
          <w:p>
            <w:pPr>
              <w:spacing w:after="0"/>
              <w:rPr>
                <w:sz w:val="21"/>
                <w:szCs w:val="21"/>
                <w:color w:val="auto"/>
              </w:rPr>
            </w:pPr>
          </w:p>
        </w:tc>
        <w:tc>
          <w:tcPr>
            <w:tcW w:w="5920" w:type="dxa"/>
            <w:vAlign w:val="bottom"/>
            <w:gridSpan w:val="7"/>
          </w:tcPr>
          <w:p>
            <w:pPr>
              <w:jc w:val="center"/>
              <w:ind w:right="2480"/>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w:t>
              </w:r>
            </w:hyperlink>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880" w:type="dxa"/>
            <w:vAlign w:val="bottom"/>
            <w:gridSpan w:val="10"/>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Legal Proceedings</w:t>
              </w:r>
            </w:hyperlink>
          </w:p>
        </w:tc>
        <w:tc>
          <w:tcPr>
            <w:tcW w:w="520" w:type="dxa"/>
            <w:vAlign w:val="bottom"/>
            <w:tcBorders>
              <w:top w:val="single" w:sz="8" w:color="0000FF"/>
            </w:tcBorders>
            <w:gridSpan w:val="3"/>
          </w:tcPr>
          <w:p>
            <w:pPr>
              <w:spacing w:after="0"/>
              <w:rPr>
                <w:sz w:val="21"/>
                <w:szCs w:val="21"/>
                <w:color w:val="auto"/>
              </w:rPr>
            </w:pPr>
          </w:p>
        </w:tc>
        <w:tc>
          <w:tcPr>
            <w:tcW w:w="3940" w:type="dxa"/>
            <w:vAlign w:val="bottom"/>
            <w:gridSpan w:val="3"/>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3"/>
          </w:tcPr>
          <w:p>
            <w:pPr>
              <w:spacing w:after="0"/>
              <w:rPr>
                <w:rFonts w:ascii="Arial" w:cs="Arial" w:eastAsia="Arial" w:hAnsi="Arial"/>
                <w:sz w:val="18"/>
                <w:szCs w:val="18"/>
                <w:b w:val="1"/>
                <w:bCs w:val="1"/>
                <w:color w:val="0000FF"/>
                <w:w w:val="88"/>
              </w:rPr>
            </w:pPr>
            <w:hyperlink w:anchor="page37">
              <w:r>
                <w:rPr>
                  <w:rFonts w:ascii="Arial" w:cs="Arial" w:eastAsia="Arial" w:hAnsi="Arial"/>
                  <w:sz w:val="18"/>
                  <w:szCs w:val="18"/>
                  <w:b w:val="1"/>
                  <w:bCs w:val="1"/>
                  <w:color w:val="0000FF"/>
                  <w:w w:val="88"/>
                </w:rPr>
                <w:t>Risk Factors</w:t>
              </w:r>
            </w:hyperlink>
          </w:p>
        </w:tc>
        <w:tc>
          <w:tcPr>
            <w:tcW w:w="420" w:type="dxa"/>
            <w:vAlign w:val="bottom"/>
          </w:tcPr>
          <w:p>
            <w:pPr>
              <w:spacing w:after="0"/>
              <w:rPr>
                <w:sz w:val="21"/>
                <w:szCs w:val="21"/>
                <w:color w:val="auto"/>
              </w:rPr>
            </w:pPr>
          </w:p>
        </w:tc>
        <w:tc>
          <w:tcPr>
            <w:tcW w:w="6940" w:type="dxa"/>
            <w:vAlign w:val="bottom"/>
            <w:gridSpan w:val="1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580" w:type="dxa"/>
            <w:vAlign w:val="bottom"/>
            <w:gridSpan w:val="14"/>
          </w:tcPr>
          <w:p>
            <w:pPr>
              <w:spacing w:after="0"/>
              <w:rPr>
                <w:rFonts w:ascii="Arial" w:cs="Arial" w:eastAsia="Arial" w:hAnsi="Arial"/>
                <w:sz w:val="18"/>
                <w:szCs w:val="18"/>
                <w:b w:val="1"/>
                <w:bCs w:val="1"/>
                <w:color w:val="0000FF"/>
                <w:w w:val="87"/>
              </w:rPr>
            </w:pPr>
            <w:hyperlink w:anchor="page56">
              <w:r>
                <w:rPr>
                  <w:rFonts w:ascii="Arial" w:cs="Arial" w:eastAsia="Arial" w:hAnsi="Arial"/>
                  <w:sz w:val="18"/>
                  <w:szCs w:val="18"/>
                  <w:b w:val="1"/>
                  <w:bCs w:val="1"/>
                  <w:color w:val="0000FF"/>
                  <w:w w:val="87"/>
                </w:rPr>
                <w:t>Unregistered Sales of Equity Securities and Use of Proceeds</w:t>
              </w:r>
            </w:hyperlink>
          </w:p>
        </w:tc>
        <w:tc>
          <w:tcPr>
            <w:tcW w:w="3760" w:type="dxa"/>
            <w:vAlign w:val="bottom"/>
            <w:gridSpan w:val="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20" w:type="dxa"/>
            <w:vAlign w:val="bottom"/>
            <w:gridSpan w:val="9"/>
          </w:tcPr>
          <w:p>
            <w:pPr>
              <w:spacing w:after="0"/>
              <w:rPr>
                <w:rFonts w:ascii="Arial" w:cs="Arial" w:eastAsia="Arial" w:hAnsi="Arial"/>
                <w:sz w:val="18"/>
                <w:szCs w:val="18"/>
                <w:b w:val="1"/>
                <w:bCs w:val="1"/>
                <w:color w:val="0000FF"/>
                <w:w w:val="88"/>
              </w:rPr>
            </w:pPr>
            <w:hyperlink w:anchor="page57">
              <w:r>
                <w:rPr>
                  <w:rFonts w:ascii="Arial" w:cs="Arial" w:eastAsia="Arial" w:hAnsi="Arial"/>
                  <w:sz w:val="18"/>
                  <w:szCs w:val="18"/>
                  <w:b w:val="1"/>
                  <w:bCs w:val="1"/>
                  <w:color w:val="0000FF"/>
                  <w:w w:val="88"/>
                </w:rPr>
                <w:t>Defaults upon Senior Securities</w:t>
              </w:r>
            </w:hyperlink>
          </w:p>
        </w:tc>
        <w:tc>
          <w:tcPr>
            <w:tcW w:w="2160" w:type="dxa"/>
            <w:vAlign w:val="bottom"/>
            <w:gridSpan w:val="5"/>
          </w:tcPr>
          <w:p>
            <w:pPr>
              <w:spacing w:after="0"/>
              <w:rPr>
                <w:sz w:val="21"/>
                <w:szCs w:val="21"/>
                <w:color w:val="auto"/>
              </w:rPr>
            </w:pPr>
          </w:p>
        </w:tc>
        <w:tc>
          <w:tcPr>
            <w:tcW w:w="3760" w:type="dxa"/>
            <w:vAlign w:val="bottom"/>
            <w:gridSpan w:val="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7"/>
          </w:tcPr>
          <w:p>
            <w:pPr>
              <w:spacing w:after="0"/>
              <w:rPr>
                <w:rFonts w:ascii="Arial" w:cs="Arial" w:eastAsia="Arial" w:hAnsi="Arial"/>
                <w:sz w:val="18"/>
                <w:szCs w:val="18"/>
                <w:b w:val="1"/>
                <w:bCs w:val="1"/>
                <w:color w:val="0000FF"/>
                <w:w w:val="87"/>
              </w:rPr>
            </w:pPr>
            <w:hyperlink w:anchor="page57">
              <w:r>
                <w:rPr>
                  <w:rFonts w:ascii="Arial" w:cs="Arial" w:eastAsia="Arial" w:hAnsi="Arial"/>
                  <w:sz w:val="18"/>
                  <w:szCs w:val="18"/>
                  <w:b w:val="1"/>
                  <w:bCs w:val="1"/>
                  <w:color w:val="0000FF"/>
                  <w:w w:val="87"/>
                </w:rPr>
                <w:t>Mine Safety Disclosures</w:t>
              </w:r>
            </w:hyperlink>
          </w:p>
        </w:tc>
        <w:tc>
          <w:tcPr>
            <w:tcW w:w="580" w:type="dxa"/>
            <w:vAlign w:val="bottom"/>
            <w:gridSpan w:val="2"/>
          </w:tcPr>
          <w:p>
            <w:pPr>
              <w:spacing w:after="0"/>
              <w:rPr>
                <w:sz w:val="21"/>
                <w:szCs w:val="21"/>
                <w:color w:val="auto"/>
              </w:rPr>
            </w:pPr>
          </w:p>
        </w:tc>
        <w:tc>
          <w:tcPr>
            <w:tcW w:w="5920" w:type="dxa"/>
            <w:vAlign w:val="bottom"/>
            <w:gridSpan w:val="7"/>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500" w:type="dxa"/>
            <w:vAlign w:val="bottom"/>
            <w:gridSpan w:val="9"/>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840" w:type="dxa"/>
            <w:vAlign w:val="bottom"/>
            <w:gridSpan w:val="7"/>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Other Information</w:t>
              </w:r>
            </w:hyperlink>
          </w:p>
        </w:tc>
        <w:tc>
          <w:tcPr>
            <w:tcW w:w="6500" w:type="dxa"/>
            <w:vAlign w:val="bottom"/>
            <w:gridSpan w:val="9"/>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440" w:type="dxa"/>
            <w:vAlign w:val="bottom"/>
            <w:gridSpan w:val="5"/>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Exhibits</w:t>
              </w:r>
            </w:hyperlink>
          </w:p>
        </w:tc>
        <w:tc>
          <w:tcPr>
            <w:tcW w:w="6900" w:type="dxa"/>
            <w:vAlign w:val="bottom"/>
            <w:gridSpan w:val="11"/>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520" w:type="dxa"/>
            <w:vAlign w:val="bottom"/>
            <w:gridSpan w:val="14"/>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57">
              <w:r>
                <w:rPr>
                  <w:rFonts w:ascii="Arial" w:cs="Arial" w:eastAsia="Arial" w:hAnsi="Arial"/>
                  <w:sz w:val="18"/>
                  <w:szCs w:val="18"/>
                  <w:b w:val="1"/>
                  <w:bCs w:val="1"/>
                  <w:color w:val="0000FF"/>
                  <w:w w:val="85"/>
                </w:rPr>
                <w:t>Signatures</w:t>
              </w:r>
            </w:hyperlink>
          </w:p>
        </w:tc>
        <w:tc>
          <w:tcPr>
            <w:tcW w:w="7520" w:type="dxa"/>
            <w:vAlign w:val="bottom"/>
            <w:gridSpan w:val="14"/>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400"/>
          </w:cols>
          <w:pgMar w:left="240" w:top="341"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71,990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320,403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318,283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Accounts receivable, net of allowance for doubtful accounts of $229 and $336 at June 30, 2012 and December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31, 2011,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95,522</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20,828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16,249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13,948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544,511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523,570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ASSETS—Non-current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242,769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148,414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8,274</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851,245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734,747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15,971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payroll and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24,197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226,510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206,928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266,864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REVENUE—Non-current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104,858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87,905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21,624</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424,601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376,393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$0.001 par value - 300,000 shares authorized; 159,166 and 156,401 shares issued and 157,757 and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154,992 shares outstanding at June 30, 2012 and December 31, 2011,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paid-in-capital</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356,438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317,026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43,765</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426,644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358,354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851,245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734,747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640"/>
              <w:spacing w:after="0"/>
              <w:rPr>
                <w:sz w:val="20"/>
                <w:szCs w:val="20"/>
                <w:color w:val="auto"/>
              </w:rPr>
            </w:pPr>
            <w:r>
              <w:rPr>
                <w:rFonts w:ascii="Arial" w:cs="Arial" w:eastAsia="Arial" w:hAnsi="Arial"/>
                <w:sz w:val="18"/>
                <w:szCs w:val="18"/>
                <w:color w:val="auto"/>
                <w:w w:val="99"/>
              </w:rPr>
              <w:t>See notes to condensed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3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41"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87"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54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100" w:type="dxa"/>
            <w:vAlign w:val="bottom"/>
          </w:tcPr>
          <w:p>
            <w:pPr>
              <w:jc w:val="right"/>
              <w:ind w:right="31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41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31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Product</w:t>
            </w:r>
          </w:p>
        </w:tc>
        <w:tc>
          <w:tcPr>
            <w:tcW w:w="2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61,692</w:t>
            </w:r>
          </w:p>
        </w:tc>
        <w:tc>
          <w:tcPr>
            <w:tcW w:w="14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46,687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114,896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86,852</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2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65,412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127,550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101,357</w:t>
            </w: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Ratable and other revenue</w:t>
            </w:r>
          </w:p>
        </w:tc>
        <w:tc>
          <w:tcPr>
            <w:tcW w:w="2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1,858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8,080</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w:t>
            </w:r>
          </w:p>
        </w:tc>
        <w:tc>
          <w:tcPr>
            <w:tcW w:w="2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128,962</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246,209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196,289</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23,935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30,666</w:t>
            </w: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Services</w:t>
            </w:r>
          </w:p>
        </w:tc>
        <w:tc>
          <w:tcPr>
            <w:tcW w:w="2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12,467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23,680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16,377</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Ratable and other revenue</w:t>
            </w:r>
          </w:p>
        </w:tc>
        <w:tc>
          <w:tcPr>
            <w:tcW w:w="2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37"/>
        </w:trPr>
        <w:tc>
          <w:tcPr>
            <w:tcW w:w="3180" w:type="dxa"/>
            <w:vAlign w:val="bottom"/>
          </w:tcPr>
          <w:p>
            <w:pPr>
              <w:ind w:left="600"/>
              <w:spacing w:after="0"/>
              <w:rPr>
                <w:sz w:val="20"/>
                <w:szCs w:val="20"/>
                <w:color w:val="auto"/>
              </w:rPr>
            </w:pPr>
            <w:r>
              <w:rPr>
                <w:rFonts w:ascii="Arial" w:cs="Arial" w:eastAsia="Arial" w:hAnsi="Arial"/>
                <w:sz w:val="18"/>
                <w:szCs w:val="18"/>
                <w:color w:val="auto"/>
              </w:rPr>
              <w:t>Total cost of revenue</w:t>
            </w:r>
          </w:p>
        </w:tc>
        <w:tc>
          <w:tcPr>
            <w:tcW w:w="2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37,127</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26,558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68,170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49,974</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Product</w:t>
            </w:r>
          </w:p>
        </w:tc>
        <w:tc>
          <w:tcPr>
            <w:tcW w:w="2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37,757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30,096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71,893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56,186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2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52,945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103,870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84,980</w:t>
            </w: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Ratable and other revenue</w:t>
            </w:r>
          </w:p>
        </w:tc>
        <w:tc>
          <w:tcPr>
            <w:tcW w:w="2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1,133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gross profit</w:t>
            </w:r>
          </w:p>
        </w:tc>
        <w:tc>
          <w:tcPr>
            <w:tcW w:w="2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91,835</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76,465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178,039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146,315</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20,388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30,363</w:t>
            </w: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44,259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35,896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86,295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68,614</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6,238</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11,114</w:t>
            </w:r>
          </w:p>
        </w:tc>
        <w:tc>
          <w:tcPr>
            <w:tcW w:w="0" w:type="dxa"/>
            <w:vAlign w:val="bottom"/>
          </w:tcPr>
          <w:p>
            <w:pPr>
              <w:spacing w:after="0"/>
              <w:rPr>
                <w:sz w:val="1"/>
                <w:szCs w:val="1"/>
                <w:color w:val="auto"/>
              </w:rPr>
            </w:pPr>
          </w:p>
        </w:tc>
      </w:tr>
      <w:tr>
        <w:trPr>
          <w:trHeight w:val="237"/>
        </w:trPr>
        <w:tc>
          <w:tcPr>
            <w:tcW w:w="318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2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70,885</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138,373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110,091</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36,224</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2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22,226</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19,435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41,956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37,578</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8,276</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9,497</w:t>
            </w:r>
          </w:p>
        </w:tc>
        <w:tc>
          <w:tcPr>
            <w:tcW w:w="0" w:type="dxa"/>
            <w:vAlign w:val="bottom"/>
          </w:tcPr>
          <w:p>
            <w:pPr>
              <w:spacing w:after="0"/>
              <w:rPr>
                <w:sz w:val="1"/>
                <w:szCs w:val="1"/>
                <w:color w:val="auto"/>
              </w:rPr>
            </w:pPr>
          </w:p>
        </w:tc>
      </w:tr>
      <w:tr>
        <w:trPr>
          <w:trHeight w:val="297"/>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3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13,950</w:t>
            </w:r>
          </w:p>
        </w:tc>
        <w:tc>
          <w:tcPr>
            <w:tcW w:w="1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14,494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28,123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28,081</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1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3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0.09</w:t>
            </w: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51"/>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2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80" w:type="dxa"/>
            <w:vAlign w:val="bottom"/>
            <w:vMerge w:val="continue"/>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157,474</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152,267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156,742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151,293</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80" w:type="dxa"/>
            <w:vAlign w:val="bottom"/>
          </w:tcPr>
          <w:p>
            <w:pPr>
              <w:ind w:left="380"/>
              <w:spacing w:after="0"/>
              <w:rPr>
                <w:sz w:val="20"/>
                <w:szCs w:val="20"/>
                <w:color w:val="auto"/>
              </w:rPr>
            </w:pPr>
            <w:r>
              <w:rPr>
                <w:rFonts w:ascii="Arial" w:cs="Arial" w:eastAsia="Arial" w:hAnsi="Arial"/>
                <w:sz w:val="18"/>
                <w:szCs w:val="18"/>
                <w:color w:val="auto"/>
              </w:rPr>
              <w:t>Diluted</w:t>
            </w:r>
          </w:p>
        </w:tc>
        <w:tc>
          <w:tcPr>
            <w:tcW w:w="2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166,061</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163,887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165,808</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163,393</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80" w:type="dxa"/>
            <w:vAlign w:val="bottom"/>
          </w:tcPr>
          <w:p>
            <w:pPr>
              <w:spacing w:after="0"/>
              <w:rPr>
                <w:sz w:val="18"/>
                <w:szCs w:val="18"/>
                <w:color w:val="auto"/>
              </w:rPr>
            </w:pP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w w:val="97"/>
              </w:rPr>
              <w:t>See notes to condensed consolidated financial</w:t>
            </w:r>
          </w:p>
        </w:tc>
        <w:tc>
          <w:tcPr>
            <w:tcW w:w="140" w:type="dxa"/>
            <w:vAlign w:val="bottom"/>
            <w:vMerge w:val="continue"/>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statements.</w:t>
            </w:r>
          </w:p>
        </w:tc>
        <w:tc>
          <w:tcPr>
            <w:tcW w:w="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1"/>
        </w:trPr>
        <w:tc>
          <w:tcPr>
            <w:tcW w:w="3180" w:type="dxa"/>
            <w:vAlign w:val="bottom"/>
          </w:tcPr>
          <w:p>
            <w:pPr>
              <w:spacing w:after="0"/>
              <w:rPr>
                <w:sz w:val="24"/>
                <w:szCs w:val="24"/>
                <w:color w:val="auto"/>
              </w:rPr>
            </w:pPr>
          </w:p>
        </w:tc>
        <w:tc>
          <w:tcPr>
            <w:tcW w:w="256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341"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60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120" w:type="dxa"/>
            <w:vAlign w:val="bottom"/>
          </w:tcPr>
          <w:p>
            <w:pPr>
              <w:jc w:val="right"/>
              <w:ind w:right="33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2011</w:t>
            </w:r>
          </w:p>
        </w:tc>
      </w:tr>
      <w:tr>
        <w:trPr>
          <w:trHeight w:val="33"/>
        </w:trPr>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28,081</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923</w:t>
            </w: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Unrealized gains (losses) on investments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154</w:t>
            </w: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gains (losses) on cash flow hedges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Tax provision related to items of other comprehensive income</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accumulated other comprehensive income</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1,003</w:t>
            </w: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12,974</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14,922</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28,875</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29,084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703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-130175</wp:posOffset>
            </wp:positionV>
            <wp:extent cx="36703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41" w:right="2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28,123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28,081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8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Loss on disposal of fixed 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00" w:type="dxa"/>
            <w:vAlign w:val="bottom"/>
          </w:tcPr>
          <w:p>
            <w:pPr>
              <w:ind w:left="820"/>
              <w:spacing w:after="0"/>
              <w:rPr>
                <w:sz w:val="20"/>
                <w:szCs w:val="20"/>
                <w:color w:val="auto"/>
              </w:rPr>
            </w:pPr>
            <w:r>
              <w:rPr>
                <w:rFonts w:ascii="Arial" w:cs="Arial" w:eastAsia="Arial" w:hAnsi="Arial"/>
                <w:sz w:val="18"/>
                <w:szCs w:val="18"/>
                <w:color w:val="auto"/>
              </w:rPr>
              <w:t>Amortization of investment premiums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6,528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43"/>
        </w:trPr>
        <w:tc>
          <w:tcPr>
            <w:tcW w:w="8400" w:type="dxa"/>
            <w:vAlign w:val="bottom"/>
          </w:tcPr>
          <w:p>
            <w:pPr>
              <w:ind w:left="820"/>
              <w:spacing w:after="0"/>
              <w:rPr>
                <w:sz w:val="20"/>
                <w:szCs w:val="20"/>
                <w:color w:val="auto"/>
              </w:rPr>
            </w:pPr>
            <w:r>
              <w:rPr>
                <w:rFonts w:ascii="Arial" w:cs="Arial" w:eastAsia="Arial" w:hAnsi="Arial"/>
                <w:sz w:val="18"/>
                <w:szCs w:val="18"/>
                <w:color w:val="auto"/>
              </w:rPr>
              <w:t>Excess tax benefit from employee stock option plans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1140"/>
              <w:spacing w:after="0"/>
              <w:rPr>
                <w:sz w:val="20"/>
                <w:szCs w:val="20"/>
                <w:color w:val="auto"/>
              </w:rPr>
            </w:pPr>
            <w:r>
              <w:rPr>
                <w:rFonts w:ascii="Arial" w:cs="Arial" w:eastAsia="Arial" w:hAnsi="Arial"/>
                <w:sz w:val="18"/>
                <w:szCs w:val="18"/>
                <w:color w:val="auto"/>
              </w:rPr>
              <w:t>Accounts receivable—net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43"/>
        </w:trPr>
        <w:tc>
          <w:tcPr>
            <w:tcW w:w="8400" w:type="dxa"/>
            <w:vAlign w:val="bottom"/>
          </w:tcPr>
          <w:p>
            <w:pPr>
              <w:ind w:left="11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400" w:type="dxa"/>
            <w:vAlign w:val="bottom"/>
          </w:tcPr>
          <w:p>
            <w:pPr>
              <w:ind w:left="11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8400" w:type="dxa"/>
            <w:vAlign w:val="bottom"/>
          </w:tcPr>
          <w:p>
            <w:pPr>
              <w:ind w:left="114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payroll and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8400" w:type="dxa"/>
            <w:vAlign w:val="bottom"/>
          </w:tcPr>
          <w:p>
            <w:pPr>
              <w:ind w:left="114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20,544</w:t>
            </w:r>
          </w:p>
        </w:tc>
        <w:tc>
          <w:tcPr>
            <w:tcW w:w="0" w:type="dxa"/>
            <w:vAlign w:val="bottom"/>
          </w:tcPr>
          <w:p>
            <w:pPr>
              <w:spacing w:after="0"/>
              <w:rPr>
                <w:sz w:val="1"/>
                <w:szCs w:val="1"/>
                <w:color w:val="auto"/>
              </w:rPr>
            </w:pPr>
          </w:p>
        </w:tc>
      </w:tr>
      <w:tr>
        <w:trPr>
          <w:trHeight w:val="243"/>
        </w:trPr>
        <w:tc>
          <w:tcPr>
            <w:tcW w:w="8400" w:type="dxa"/>
            <w:vAlign w:val="bottom"/>
          </w:tcPr>
          <w:p>
            <w:pPr>
              <w:ind w:left="114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14,826</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74,244</w:t>
            </w:r>
          </w:p>
        </w:tc>
        <w:tc>
          <w:tcPr>
            <w:tcW w:w="0" w:type="dxa"/>
            <w:vAlign w:val="bottom"/>
          </w:tcPr>
          <w:p>
            <w:pPr>
              <w:spacing w:after="0"/>
              <w:rPr>
                <w:sz w:val="1"/>
                <w:szCs w:val="1"/>
                <w:color w:val="auto"/>
              </w:rPr>
            </w:pP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(287,659)</w:t>
            </w:r>
          </w:p>
        </w:tc>
        <w:tc>
          <w:tcPr>
            <w:tcW w:w="0" w:type="dxa"/>
            <w:vAlign w:val="bottom"/>
          </w:tcPr>
          <w:p>
            <w:pPr>
              <w:spacing w:after="0"/>
              <w:rPr>
                <w:sz w:val="1"/>
                <w:szCs w:val="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Sales of investments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75,582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Maturities of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136,263</w:t>
            </w:r>
          </w:p>
        </w:tc>
        <w:tc>
          <w:tcPr>
            <w:tcW w:w="0" w:type="dxa"/>
            <w:vAlign w:val="bottom"/>
          </w:tcPr>
          <w:p>
            <w:pPr>
              <w:spacing w:after="0"/>
              <w:rPr>
                <w:sz w:val="1"/>
                <w:szCs w:val="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made in connection with business acquisition</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37"/>
        </w:trPr>
        <w:tc>
          <w:tcPr>
            <w:tcW w:w="8400" w:type="dxa"/>
            <w:vAlign w:val="bottom"/>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(79,887)</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17,650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11,219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employee stock option plans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37"/>
        </w:trPr>
        <w:tc>
          <w:tcPr>
            <w:tcW w:w="8400" w:type="dxa"/>
            <w:vAlign w:val="bottom"/>
          </w:tcPr>
          <w:p>
            <w:pPr>
              <w:ind w:left="146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15,710</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11,160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66,859</w:t>
            </w:r>
          </w:p>
        </w:tc>
        <w:tc>
          <w:tcPr>
            <w:tcW w:w="0" w:type="dxa"/>
            <w:vAlign w:val="bottom"/>
          </w:tcPr>
          <w:p>
            <w:pPr>
              <w:spacing w:after="0"/>
              <w:rPr>
                <w:sz w:val="1"/>
                <w:szCs w:val="1"/>
                <w:color w:val="auto"/>
              </w:rPr>
            </w:pPr>
          </w:p>
        </w:tc>
      </w:tr>
      <w:tr>
        <w:trPr>
          <w:trHeight w:val="297"/>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81,226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78,019</w:t>
            </w:r>
          </w:p>
        </w:tc>
        <w:tc>
          <w:tcPr>
            <w:tcW w:w="0" w:type="dxa"/>
            <w:vAlign w:val="bottom"/>
          </w:tcPr>
          <w:p>
            <w:pPr>
              <w:spacing w:after="0"/>
              <w:rPr>
                <w:sz w:val="1"/>
                <w:szCs w:val="1"/>
                <w:color w:val="auto"/>
              </w:rPr>
            </w:pPr>
          </w:p>
        </w:tc>
      </w:tr>
      <w:tr>
        <w:trPr>
          <w:trHeight w:val="237"/>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4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Cash paid (refunded) for income taxes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6,380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7"/>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4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Purchases of property and equipment not yet paid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1"/>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Liability incurred in connection with business acquisition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3640"/>
              <w:spacing w:after="0"/>
              <w:rPr>
                <w:sz w:val="20"/>
                <w:szCs w:val="20"/>
                <w:color w:val="auto"/>
              </w:rPr>
            </w:pPr>
            <w:r>
              <w:rPr>
                <w:rFonts w:ascii="Arial" w:cs="Arial" w:eastAsia="Arial" w:hAnsi="Arial"/>
                <w:sz w:val="18"/>
                <w:szCs w:val="18"/>
                <w:color w:val="auto"/>
              </w:rPr>
              <w:t>See notes to condensed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240" w:top="341" w:right="439" w:bottom="1440" w:gutter="0" w:footer="0" w:header="0"/>
        </w:sectPr>
      </w:pPr>
    </w:p>
    <w:p>
      <w:pPr>
        <w:spacing w:after="0" w:line="2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20"/>
          </w:cols>
          <w:pgMar w:left="240" w:top="341" w:right="4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00" w:right="6520" w:hanging="492"/>
        <w:spacing w:after="0" w:line="503" w:lineRule="auto"/>
        <w:tabs>
          <w:tab w:leader="none" w:pos="19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 and Preparation</w:t>
      </w:r>
    </w:p>
    <w:p>
      <w:pPr>
        <w:spacing w:after="0" w:line="1"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The unaudited condensed consolidated financial statements of Fortinet and its wholly owned subsidiaries (collectively, the “Company,” “we,” “us,” or “our”) have been prepared in accordance with U.S. generally accepted accounting principles (“U.S. GAAP”) for interim financial information as well as the instructions to Form 10-Q and the rules and regulations of the U.S. Securities and Exchange Commission (“SEC”). Accordingly, they do not include all of the information and footnotes required by U.S. GAAP for complete financial statements, and should be read in conjunction with our audited consolidated financial statements as of and for the fiscal year ended December 31, 2011, contained in our Annual Report on Form 10-K (“Form 10-K”) filed with the SEC on February 28, 2012. In the opinion of management, all adjustments, including normal recurring accruals, considered necessary for a fair presentation have been included. The results of operations for the three and six months ended June 30, 2012 are not necessarily indicative of the operating results for any subsequent quarter, for the full year or any future periods.</w:t>
      </w:r>
    </w:p>
    <w:p>
      <w:pPr>
        <w:spacing w:after="0" w:line="179" w:lineRule="exact"/>
        <w:rPr>
          <w:sz w:val="20"/>
          <w:szCs w:val="20"/>
          <w:color w:val="auto"/>
        </w:rPr>
      </w:pPr>
    </w:p>
    <w:p>
      <w:pPr>
        <w:ind w:right="300" w:firstLine="486"/>
        <w:spacing w:after="0" w:line="342"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substantial changes in our significant accounting policies since the fiscal year ended December 31, 2011.</w:t>
      </w:r>
    </w:p>
    <w:p>
      <w:pPr>
        <w:spacing w:after="0" w:line="22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b w:val="1"/>
          <w:bCs w:val="1"/>
          <w:color w:val="auto"/>
        </w:rPr>
        <w:t>Revenue Recognition</w:t>
      </w:r>
      <w:r>
        <w:rPr>
          <w:rFonts w:ascii="Arial" w:cs="Arial" w:eastAsia="Arial" w:hAnsi="Arial"/>
          <w:sz w:val="17"/>
          <w:szCs w:val="17"/>
          <w:color w:val="auto"/>
        </w:rPr>
        <w:t>—In October 2009, the Financial Accounting Standards Board (“FASB”) amended the Accounting Standards Codification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(“ASC”) as summarized in Accounting Standards Update (“ASU”) No. 2009-13, </w:t>
      </w:r>
      <w:r>
        <w:rPr>
          <w:rFonts w:ascii="Arial" w:cs="Arial" w:eastAsia="Arial" w:hAnsi="Arial"/>
          <w:sz w:val="17"/>
          <w:szCs w:val="17"/>
          <w:i w:val="1"/>
          <w:iCs w:val="1"/>
          <w:color w:val="auto"/>
        </w:rPr>
        <w:t>Revenue Recognition (Topic 605): Multiple-Deliverable 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Arrangements (“ASU 2009-13”), </w:t>
      </w:r>
      <w:r>
        <w:rPr>
          <w:rFonts w:ascii="Arial" w:cs="Arial" w:eastAsia="Arial" w:hAnsi="Arial"/>
          <w:sz w:val="17"/>
          <w:szCs w:val="17"/>
          <w:color w:val="auto"/>
        </w:rPr>
        <w:t>and ASU No. 2009-14,</w:t>
      </w:r>
      <w:r>
        <w:rPr>
          <w:rFonts w:ascii="Arial" w:cs="Arial" w:eastAsia="Arial" w:hAnsi="Arial"/>
          <w:sz w:val="17"/>
          <w:szCs w:val="17"/>
          <w:i w:val="1"/>
          <w:iCs w:val="1"/>
          <w:color w:val="auto"/>
        </w:rPr>
        <w:t xml:space="preserve"> Software (Topic 985): Certain Revenue Arrangements That Include Software Elements (“ASU 2009-14”)</w:t>
      </w:r>
      <w:r>
        <w:rPr>
          <w:rFonts w:ascii="Arial" w:cs="Arial" w:eastAsia="Arial" w:hAnsi="Arial"/>
          <w:sz w:val="17"/>
          <w:szCs w:val="17"/>
          <w:color w:val="auto"/>
        </w:rPr>
        <w:t>. ASU 2009-13 amended the accounting for multiple-element arrangements to provide guidance on how the deliverables in an arrangement should be</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separated and eliminates the use of the residual method. ASU 2009-13 also requires an entity to allocate revenue using the relative selling price method. The standard establishes a hierarchy of evidence to determine the stand-alone selling price of a deliverable based on vendor-specific objective evidence (“VSOE”), third party evidence (“TPE”), and the best estimated selling price (“BESP”). If VSOE is available, it would be used to determine the selling price of a deliverable. If VSOE is not available, the entity would determine whether TPE is available. If so, TPE must be used to determine the selling price. If TPE is not available, then the BESP would be used. ASU 2009-14 amended industry specific revenue accounting guidance for software and software related transactions to exclude from its scope tangible products containing software components and non-software components that function together to deliver the product's essential functionality.</w:t>
      </w:r>
    </w:p>
    <w:p>
      <w:pPr>
        <w:spacing w:after="0" w:line="178"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This guidance does not generally change the units of accounting for our revenue transactions. Most non-software products and services qualify as separate units of accounting because they have value to the customer on a standalone basis and our revenue arrangements generally do not include a right of return relative to delivered products.</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majority of our products are hardware appliances containing software components that function together to provide the essential functionality of the product, therefore, our hardware appliances are considered non-software deliverables and are no longer within the scope of ASC 985-605.</w:t>
      </w:r>
    </w:p>
    <w:p>
      <w:pPr>
        <w:spacing w:after="0" w:line="1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product revenue also includes software products that may operate on the hardware appliances, but are not considered essential to the functionality of the hardware and continue to be subject to the guidance at ASC 985-605, which remains unchanged. Certain of our software, when sold with our appliances, is considered essential to its functionality and as a result is no longer accounted for under ASC 985-605; however, this same software if sold separately is accounted for under the guidance at ASC 985-605.</w:t>
      </w:r>
    </w:p>
    <w:p>
      <w:pPr>
        <w:spacing w:after="0" w:line="187"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For all transactions originating or materially modified after December 31, 2010, we recognize revenue in accordance with ASU 2009-13. Certain arrangements with multiple deliverables may continue to have software deliverables that are subject to ASC 985-605 along with non-software deliverables that are subject to ASU 2009-13. When a sales arrangement contains multiple elements, such as hardware appliances, software, customer support services, and/or professional services, we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41"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allocate revenue to each element based on the aforementioned selling price hierarchy. In multiple element arrangements where software is more-than-incidental, revenue is allocated to each separate unit of accounting for each of the non-software deliverables and to the software deliverables as a group using the relative selling prices of each of the deliverables in the arrangement based on the selling price hierarchy in ASU 2009-13.</w:t>
      </w:r>
    </w:p>
    <w:p>
      <w:pPr>
        <w:spacing w:after="0" w:line="166"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VSOE of fair value for elements of an arrangement is based upon the normal pricing and discounting practices for those services when sold separately. In determining VSOE, we require that a substantial majority of the selling prices for a service fall within a reasonably narrow pricing range, generally evidenced by a substantial majority of such historical stand-alone transactions falling within a reasonably narrow range of the median rates. In addition, we consider major segments, geographies, customer classifications, and other variables in determining VSOE.</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typically not able to determine TPE for our products or services. TPE is determined based on competitor prices for similar deliverables when sold separately. Generally, our go-to-market strategy differs from that of our peers and our offerings contain a significant level of differentiation such that the comparable pricing of products with similar functionality cannot be obtained. Furthermore, we are unable to reliably determine what similar competitor products' selling prices are on a stand-alone basis.</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For our hardware appliances, we use BESP as our selling price. For our support and other services, we generally use VSOE as our selling price. When we are unable to establish a selling price using VSOE for our support and other services, we use BESP in our allocation of arrangement consideration. The objective of BESP is to determine the price at which we would transact a sale if the product or service were sold on a stand-alone basis. We determine BESP for a product or service by considering multiple factors including, but not limited to, cost of products, gross margin objectives, pricing practices, geographies, customer classes and distribution channels. We review our BESP estimates on a quarterly basis to coincide with our VSOE review process.</w:t>
      </w:r>
    </w:p>
    <w:p>
      <w:pPr>
        <w:spacing w:after="0" w:line="15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recognize revenue for our software sales based on software revenue recognition guidance pursuant to ASC 985-605. Under ASC 985-605, we use the residual method to recognize revenue when a product agreement includes one or more elements to be delivered and VSOE of fair value for all undelivered elements exists. If evidence of the fair value of one or more undelivered elements does not exist, all revenue is generally deferred and recognized when delivery of those elements occurs or when fair value can be established. When the undelivered element for which we do not have VSOE of fair value is support, revenue for the entire arrangement is recognized ratably over the support period.</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derive revenue from sales of products, including appliances and software, and services, including subscription, support and other services. Our appliances include operating system software that is integrated into the appliance hardware and is deemed essential to its functionality. As a result, we account for revenue in accordance with ASU 2009-13 and all related interpretations.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225" w:lineRule="exact"/>
        <w:rPr>
          <w:sz w:val="20"/>
          <w:szCs w:val="20"/>
          <w:color w:val="auto"/>
        </w:rPr>
      </w:pPr>
    </w:p>
    <w:p>
      <w:pPr>
        <w:ind w:left="1300" w:right="4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Persuasive evidence of an arrangement exists. Binding contracts or purchase orders are generally used to determine the existence of an arrangement.</w:t>
      </w:r>
    </w:p>
    <w:p>
      <w:pPr>
        <w:spacing w:after="0" w:line="170"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Delivery has occurred. Delivery occurs when we fulfill an order and title and risk of loss has been transferred or upon delivery of the service contract registration code.</w:t>
      </w:r>
    </w:p>
    <w:p>
      <w:pPr>
        <w:spacing w:after="0" w:line="170" w:lineRule="exact"/>
        <w:rPr>
          <w:rFonts w:ascii="Arial" w:cs="Arial" w:eastAsia="Arial" w:hAnsi="Arial"/>
          <w:sz w:val="18"/>
          <w:szCs w:val="18"/>
          <w:color w:val="auto"/>
        </w:rPr>
      </w:pPr>
    </w:p>
    <w:p>
      <w:pPr>
        <w:ind w:left="1300" w:right="80" w:hanging="644"/>
        <w:spacing w:after="0" w:line="312"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fee is fixed or determinable. We assess whether the fee is fixed or determinable based on the payment terms associated with the transaction. In 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146"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Collectability is probable. We assess collectability based primarily on creditworthiness as determined by credit checks and analysis, as well as payment history. Payment terms generally range from 30 to 90 days from invoice date.</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arrangements which include end-customer acceptance criteria, revenue is recognized upon acceptance. We recognize product revenue on sales to distributors that have no general right of return and direct sales to end-customers upon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shipment, once all other revenue recognition criteria have been met. We also recognize revenue upon sell-through for distributor agreements that allow for rights of return. Such returns are estimated and recorded as a reduction to revenue.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subscription and support services start on the date the customer registers the appliance. The customer is then entitled to service for the stated contractual period beginning on the registration date.</w:t>
      </w:r>
    </w:p>
    <w:p>
      <w:pPr>
        <w:spacing w:after="0" w:line="17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240" w:firstLine="486"/>
        <w:spacing w:after="0" w:line="255" w:lineRule="auto"/>
        <w:rPr>
          <w:sz w:val="20"/>
          <w:szCs w:val="20"/>
          <w:color w:val="auto"/>
        </w:rPr>
      </w:pPr>
      <w:r>
        <w:rPr>
          <w:rFonts w:ascii="Arial" w:cs="Arial" w:eastAsia="Arial" w:hAnsi="Arial"/>
          <w:sz w:val="18"/>
          <w:szCs w:val="18"/>
          <w:color w:val="auto"/>
        </w:rPr>
        <w:t xml:space="preserve">In May 2011, the FASB issued ASU No. 2011-04, </w:t>
      </w:r>
      <w:r>
        <w:rPr>
          <w:rFonts w:ascii="Arial" w:cs="Arial" w:eastAsia="Arial" w:hAnsi="Arial"/>
          <w:sz w:val="18"/>
          <w:szCs w:val="18"/>
          <w:i w:val="1"/>
          <w:iCs w:val="1"/>
          <w:color w:val="auto"/>
        </w:rPr>
        <w:t>Amendments to Achieve Common Fair Value Measurement and Disclosure Requirements in U.S.</w:t>
      </w:r>
      <w:r>
        <w:rPr>
          <w:rFonts w:ascii="Arial" w:cs="Arial" w:eastAsia="Arial" w:hAnsi="Arial"/>
          <w:sz w:val="18"/>
          <w:szCs w:val="18"/>
          <w:color w:val="auto"/>
        </w:rPr>
        <w:t xml:space="preserve"> </w:t>
      </w:r>
      <w:r>
        <w:rPr>
          <w:rFonts w:ascii="Arial" w:cs="Arial" w:eastAsia="Arial" w:hAnsi="Arial"/>
          <w:sz w:val="18"/>
          <w:szCs w:val="18"/>
          <w:i w:val="1"/>
          <w:iCs w:val="1"/>
          <w:color w:val="auto"/>
        </w:rPr>
        <w:t>GAAP and International Financial Reporting Standards (Topic 820) - Fair Value Measurement (“ASU 2011-04”)</w:t>
      </w:r>
      <w:r>
        <w:rPr>
          <w:rFonts w:ascii="Arial" w:cs="Arial" w:eastAsia="Arial" w:hAnsi="Arial"/>
          <w:sz w:val="18"/>
          <w:szCs w:val="18"/>
          <w:color w:val="auto"/>
        </w:rPr>
        <w:t>, to provide a consistent definition of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ensure that the fair value measurement and disclosure requirements are similar between U.S. GAAP and International Financial Reporting Standards. ASU 2011-04 changes certain fair value measurement principles and enhances the disclosure requirements particularly for Level 3 fair value measurements. We adopted ASU 2011-04 in the first quarter of 2012. The measurement provisions of this guidance did not impact our condensed consolidated financial statements.</w:t>
      </w:r>
    </w:p>
    <w:p>
      <w:pPr>
        <w:spacing w:after="0" w:line="19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 xml:space="preserve">In June 2011, the FASB issued ASU No. 2011-05, </w:t>
      </w:r>
      <w:r>
        <w:rPr>
          <w:rFonts w:ascii="Arial" w:cs="Arial" w:eastAsia="Arial" w:hAnsi="Arial"/>
          <w:sz w:val="18"/>
          <w:szCs w:val="18"/>
          <w:i w:val="1"/>
          <w:iCs w:val="1"/>
          <w:color w:val="auto"/>
        </w:rPr>
        <w:t>Comprehensive Income (Topic 220)-Presentation of Comprehensive Income (“ASU 2011-05”)</w:t>
      </w:r>
      <w:r>
        <w:rPr>
          <w:rFonts w:ascii="Arial" w:cs="Arial" w:eastAsia="Arial" w:hAnsi="Arial"/>
          <w:sz w:val="18"/>
          <w:szCs w:val="18"/>
          <w:color w:val="auto"/>
        </w:rPr>
        <w:t>, to require an entity to present the total of comprehensive income, the components of net income, and the components of other comprehensive income either in a single continuous statement of comprehensive income or in two separate but consecutive statements. ASU 2011-05 eliminates the option to present the components of other comprehensive income as part of the statement of stockholders' equity. We adopted ASU 2011-05 in the first quarter of 2012 and applied it retrospectively. We elected to present the comprehensive income in two separate but consecutive statements within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 AND FAIR VALUE MEASUREMENTS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investments ($ amounts in 000's):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0"/>
              </w:rPr>
              <w:t>June 30, 2012</w:t>
            </w:r>
          </w:p>
        </w:tc>
        <w:tc>
          <w:tcPr>
            <w:tcW w:w="1460" w:type="dxa"/>
            <w:vAlign w:val="bottom"/>
          </w:tcPr>
          <w:p>
            <w:pPr>
              <w:spacing w:after="0"/>
              <w:rPr>
                <w:sz w:val="18"/>
                <w:szCs w:val="18"/>
                <w:color w:val="auto"/>
              </w:rPr>
            </w:pPr>
          </w:p>
        </w:tc>
      </w:tr>
      <w:tr>
        <w:trPr>
          <w:trHeight w:val="33"/>
        </w:trPr>
        <w:tc>
          <w:tcPr>
            <w:tcW w:w="49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Estimated Fair</w:t>
            </w:r>
          </w:p>
        </w:tc>
      </w:tr>
      <w:tr>
        <w:trPr>
          <w:trHeight w:val="210"/>
        </w:trPr>
        <w:tc>
          <w:tcPr>
            <w:tcW w:w="490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Amortized Cost</w:t>
            </w: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Unrealized Losses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9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government and agency securities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7,601</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7,605</w:t>
            </w: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Corporate debt securities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457,349</w:t>
            </w:r>
          </w:p>
        </w:tc>
        <w:tc>
          <w:tcPr>
            <w:tcW w:w="24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490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457,218</w:t>
            </w:r>
          </w:p>
        </w:tc>
      </w:tr>
      <w:tr>
        <w:trPr>
          <w:trHeight w:val="27"/>
        </w:trPr>
        <w:tc>
          <w:tcPr>
            <w:tcW w:w="4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50,725</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50,731</w:t>
            </w: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Municipal bonds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37,352</w:t>
            </w:r>
          </w:p>
        </w:tc>
        <w:tc>
          <w:tcPr>
            <w:tcW w:w="24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37,372</w:t>
            </w:r>
          </w:p>
        </w:tc>
      </w:tr>
      <w:tr>
        <w:trPr>
          <w:trHeight w:val="27"/>
        </w:trPr>
        <w:tc>
          <w:tcPr>
            <w:tcW w:w="4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Certificates of deposit and term deposits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10,246</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10,246</w:t>
            </w:r>
          </w:p>
        </w:tc>
      </w:tr>
      <w:tr>
        <w:trPr>
          <w:trHeight w:val="257"/>
        </w:trPr>
        <w:tc>
          <w:tcPr>
            <w:tcW w:w="490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563,273</w:t>
            </w:r>
          </w:p>
        </w:tc>
        <w:tc>
          <w:tcPr>
            <w:tcW w:w="24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549</w:t>
            </w:r>
          </w:p>
        </w:tc>
        <w:tc>
          <w:tcPr>
            <w:tcW w:w="2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563,172</w:t>
            </w:r>
          </w:p>
        </w:tc>
      </w:tr>
      <w:tr>
        <w:trPr>
          <w:trHeight w:val="20"/>
        </w:trPr>
        <w:tc>
          <w:tcPr>
            <w:tcW w:w="4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62"/>
        </w:trPr>
        <w:tc>
          <w:tcPr>
            <w:tcW w:w="4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0"/>
              </w:rPr>
              <w:t>December 31, 2011</w:t>
            </w:r>
          </w:p>
        </w:tc>
        <w:tc>
          <w:tcPr>
            <w:tcW w:w="1460" w:type="dxa"/>
            <w:vAlign w:val="bottom"/>
          </w:tcPr>
          <w:p>
            <w:pPr>
              <w:spacing w:after="0"/>
              <w:rPr>
                <w:sz w:val="24"/>
                <w:szCs w:val="24"/>
                <w:color w:val="auto"/>
              </w:rPr>
            </w:pPr>
          </w:p>
        </w:tc>
      </w:tr>
      <w:tr>
        <w:trPr>
          <w:trHeight w:val="33"/>
        </w:trPr>
        <w:tc>
          <w:tcPr>
            <w:tcW w:w="49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Estimated Fair</w:t>
            </w:r>
          </w:p>
        </w:tc>
      </w:tr>
      <w:tr>
        <w:trPr>
          <w:trHeight w:val="210"/>
        </w:trPr>
        <w:tc>
          <w:tcPr>
            <w:tcW w:w="490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Amortized Cost</w:t>
            </w: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Unrealized Losses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9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government and agency securities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38,900</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38,908</w:t>
            </w: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Corporate debt securities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339,110</w:t>
            </w:r>
          </w:p>
        </w:tc>
        <w:tc>
          <w:tcPr>
            <w:tcW w:w="24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(1,832)</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337,497</w:t>
            </w:r>
          </w:p>
        </w:tc>
      </w:tr>
      <w:tr>
        <w:trPr>
          <w:trHeight w:val="27"/>
        </w:trPr>
        <w:tc>
          <w:tcPr>
            <w:tcW w:w="4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51,025</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51,027</w:t>
            </w: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Municipal bonds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20,473</w:t>
            </w:r>
          </w:p>
        </w:tc>
        <w:tc>
          <w:tcPr>
            <w:tcW w:w="24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20,504</w:t>
            </w:r>
          </w:p>
        </w:tc>
      </w:tr>
      <w:tr>
        <w:trPr>
          <w:trHeight w:val="27"/>
        </w:trPr>
        <w:tc>
          <w:tcPr>
            <w:tcW w:w="4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Certificates of deposit and term deposits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18,762</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18,761</w:t>
            </w:r>
          </w:p>
        </w:tc>
      </w:tr>
      <w:tr>
        <w:trPr>
          <w:trHeight w:val="257"/>
        </w:trPr>
        <w:tc>
          <w:tcPr>
            <w:tcW w:w="490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468,270</w:t>
            </w:r>
          </w:p>
        </w:tc>
        <w:tc>
          <w:tcPr>
            <w:tcW w:w="24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2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466,697</w:t>
            </w:r>
          </w:p>
        </w:tc>
      </w:tr>
      <w:tr>
        <w:trPr>
          <w:trHeight w:val="20"/>
        </w:trPr>
        <w:tc>
          <w:tcPr>
            <w:tcW w:w="4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at June 30, 2012 ($ amounts in 000's):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580" w:type="dxa"/>
            <w:vAlign w:val="bottom"/>
            <w:gridSpan w:val="4"/>
          </w:tcPr>
          <w:p>
            <w:pPr>
              <w:ind w:left="480"/>
              <w:spacing w:after="0"/>
              <w:rPr>
                <w:sz w:val="20"/>
                <w:szCs w:val="20"/>
                <w:color w:val="auto"/>
              </w:rPr>
            </w:pPr>
            <w:r>
              <w:rPr>
                <w:rFonts w:ascii="Arial" w:cs="Arial" w:eastAsia="Arial" w:hAnsi="Arial"/>
                <w:sz w:val="16"/>
                <w:szCs w:val="16"/>
                <w:b w:val="1"/>
                <w:bCs w:val="1"/>
                <w:color w:val="auto"/>
              </w:rPr>
              <w:t>Less Than 12 Months</w:t>
            </w:r>
          </w:p>
        </w:tc>
        <w:tc>
          <w:tcPr>
            <w:tcW w:w="2460" w:type="dxa"/>
            <w:vAlign w:val="bottom"/>
            <w:gridSpan w:val="4"/>
          </w:tcPr>
          <w:p>
            <w:pPr>
              <w:ind w:left="440"/>
              <w:spacing w:after="0"/>
              <w:rPr>
                <w:sz w:val="20"/>
                <w:szCs w:val="20"/>
                <w:color w:val="auto"/>
              </w:rPr>
            </w:pPr>
            <w:r>
              <w:rPr>
                <w:rFonts w:ascii="Arial" w:cs="Arial" w:eastAsia="Arial" w:hAnsi="Arial"/>
                <w:sz w:val="16"/>
                <w:szCs w:val="16"/>
                <w:b w:val="1"/>
                <w:bCs w:val="1"/>
                <w:color w:val="auto"/>
              </w:rPr>
              <w:t>12 Months or Greater</w:t>
            </w:r>
          </w:p>
        </w:tc>
        <w:tc>
          <w:tcPr>
            <w:tcW w:w="1000" w:type="dxa"/>
            <w:vAlign w:val="bottom"/>
          </w:tcPr>
          <w:p>
            <w:pPr>
              <w:spacing w:after="0"/>
              <w:rPr>
                <w:sz w:val="18"/>
                <w:szCs w:val="18"/>
                <w:color w:val="auto"/>
              </w:rPr>
            </w:pPr>
          </w:p>
        </w:tc>
        <w:tc>
          <w:tcPr>
            <w:tcW w:w="1340" w:type="dxa"/>
            <w:vAlign w:val="bottom"/>
            <w:gridSpan w:val="3"/>
          </w:tcPr>
          <w:p>
            <w:pPr>
              <w:jc w:val="right"/>
              <w:ind w:right="896"/>
              <w:spacing w:after="0"/>
              <w:rPr>
                <w:sz w:val="20"/>
                <w:szCs w:val="20"/>
                <w:color w:val="auto"/>
              </w:rPr>
            </w:pPr>
            <w:r>
              <w:rPr>
                <w:rFonts w:ascii="Arial" w:cs="Arial" w:eastAsia="Arial" w:hAnsi="Arial"/>
                <w:sz w:val="16"/>
                <w:szCs w:val="16"/>
                <w:b w:val="1"/>
                <w:bCs w:val="1"/>
                <w:color w:val="auto"/>
                <w:w w:val="88"/>
              </w:rPr>
              <w:t>Total</w:t>
            </w:r>
          </w:p>
        </w:tc>
      </w:tr>
      <w:tr>
        <w:trPr>
          <w:trHeight w:val="33"/>
        </w:trPr>
        <w:tc>
          <w:tcPr>
            <w:tcW w:w="4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Unrealized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Unrealized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96"/>
              <w:spacing w:after="0"/>
              <w:rPr>
                <w:sz w:val="20"/>
                <w:szCs w:val="20"/>
                <w:color w:val="auto"/>
              </w:rPr>
            </w:pPr>
            <w:r>
              <w:rPr>
                <w:rFonts w:ascii="Arial" w:cs="Arial" w:eastAsia="Arial" w:hAnsi="Arial"/>
                <w:sz w:val="16"/>
                <w:szCs w:val="16"/>
                <w:b w:val="1"/>
                <w:bCs w:val="1"/>
                <w:color w:val="auto"/>
              </w:rPr>
              <w:t>Unrealized</w:t>
            </w:r>
          </w:p>
        </w:tc>
      </w:tr>
      <w:tr>
        <w:trPr>
          <w:trHeight w:val="210"/>
        </w:trPr>
        <w:tc>
          <w:tcPr>
            <w:tcW w:w="400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Fair Value</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3"/>
              </w:rPr>
              <w:t>Losses</w:t>
            </w: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Fair Value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Losses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36"/>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255,719</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11,423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267,142</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8,986</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8,986</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23,822</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23,822</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57"/>
        </w:trPr>
        <w:tc>
          <w:tcPr>
            <w:tcW w:w="400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288,527</w:t>
            </w:r>
          </w:p>
        </w:tc>
        <w:tc>
          <w:tcPr>
            <w:tcW w:w="16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11,423</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299,950</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r>
      <w:tr>
        <w:trPr>
          <w:trHeight w:val="20"/>
        </w:trPr>
        <w:tc>
          <w:tcPr>
            <w:tcW w:w="4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at December 31, 2011 ($ amounts in 000's):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580" w:type="dxa"/>
            <w:vAlign w:val="bottom"/>
            <w:gridSpan w:val="4"/>
          </w:tcPr>
          <w:p>
            <w:pPr>
              <w:ind w:left="480"/>
              <w:spacing w:after="0"/>
              <w:rPr>
                <w:sz w:val="20"/>
                <w:szCs w:val="20"/>
                <w:color w:val="auto"/>
              </w:rPr>
            </w:pPr>
            <w:r>
              <w:rPr>
                <w:rFonts w:ascii="Arial" w:cs="Arial" w:eastAsia="Arial" w:hAnsi="Arial"/>
                <w:sz w:val="16"/>
                <w:szCs w:val="16"/>
                <w:b w:val="1"/>
                <w:bCs w:val="1"/>
                <w:color w:val="auto"/>
              </w:rPr>
              <w:t>Less Than 12 Months</w:t>
            </w:r>
          </w:p>
        </w:tc>
        <w:tc>
          <w:tcPr>
            <w:tcW w:w="2460" w:type="dxa"/>
            <w:vAlign w:val="bottom"/>
            <w:gridSpan w:val="4"/>
          </w:tcPr>
          <w:p>
            <w:pPr>
              <w:ind w:left="440"/>
              <w:spacing w:after="0"/>
              <w:rPr>
                <w:sz w:val="20"/>
                <w:szCs w:val="20"/>
                <w:color w:val="auto"/>
              </w:rPr>
            </w:pPr>
            <w:r>
              <w:rPr>
                <w:rFonts w:ascii="Arial" w:cs="Arial" w:eastAsia="Arial" w:hAnsi="Arial"/>
                <w:sz w:val="16"/>
                <w:szCs w:val="16"/>
                <w:b w:val="1"/>
                <w:bCs w:val="1"/>
                <w:color w:val="auto"/>
              </w:rPr>
              <w:t>12 Months or Greater</w:t>
            </w:r>
          </w:p>
        </w:tc>
        <w:tc>
          <w:tcPr>
            <w:tcW w:w="1000" w:type="dxa"/>
            <w:vAlign w:val="bottom"/>
          </w:tcPr>
          <w:p>
            <w:pPr>
              <w:spacing w:after="0"/>
              <w:rPr>
                <w:sz w:val="18"/>
                <w:szCs w:val="18"/>
                <w:color w:val="auto"/>
              </w:rPr>
            </w:pPr>
          </w:p>
        </w:tc>
        <w:tc>
          <w:tcPr>
            <w:tcW w:w="1340" w:type="dxa"/>
            <w:vAlign w:val="bottom"/>
            <w:gridSpan w:val="3"/>
          </w:tcPr>
          <w:p>
            <w:pPr>
              <w:jc w:val="right"/>
              <w:ind w:right="896"/>
              <w:spacing w:after="0"/>
              <w:rPr>
                <w:sz w:val="20"/>
                <w:szCs w:val="20"/>
                <w:color w:val="auto"/>
              </w:rPr>
            </w:pPr>
            <w:r>
              <w:rPr>
                <w:rFonts w:ascii="Arial" w:cs="Arial" w:eastAsia="Arial" w:hAnsi="Arial"/>
                <w:sz w:val="16"/>
                <w:szCs w:val="16"/>
                <w:b w:val="1"/>
                <w:bCs w:val="1"/>
                <w:color w:val="auto"/>
                <w:w w:val="88"/>
              </w:rPr>
              <w:t>Total</w:t>
            </w:r>
          </w:p>
        </w:tc>
      </w:tr>
      <w:tr>
        <w:trPr>
          <w:trHeight w:val="33"/>
        </w:trPr>
        <w:tc>
          <w:tcPr>
            <w:tcW w:w="4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Unrealized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Unrealized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96"/>
              <w:spacing w:after="0"/>
              <w:rPr>
                <w:sz w:val="20"/>
                <w:szCs w:val="20"/>
                <w:color w:val="auto"/>
              </w:rPr>
            </w:pPr>
            <w:r>
              <w:rPr>
                <w:rFonts w:ascii="Arial" w:cs="Arial" w:eastAsia="Arial" w:hAnsi="Arial"/>
                <w:sz w:val="16"/>
                <w:szCs w:val="16"/>
                <w:b w:val="1"/>
                <w:bCs w:val="1"/>
                <w:color w:val="auto"/>
              </w:rPr>
              <w:t>Unrealized</w:t>
            </w:r>
          </w:p>
        </w:tc>
      </w:tr>
      <w:tr>
        <w:trPr>
          <w:trHeight w:val="210"/>
        </w:trPr>
        <w:tc>
          <w:tcPr>
            <w:tcW w:w="400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Fair Value</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3"/>
              </w:rPr>
              <w:t>Losses</w:t>
            </w: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Fair Value</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Losses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36"/>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government and agency securities</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10,996</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10,996</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Corporate debt securities</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258,159</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(1,832)</w:t>
            </w: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258,159</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(1,832)</w:t>
            </w:r>
          </w:p>
        </w:tc>
      </w:tr>
      <w:tr>
        <w:trPr>
          <w:trHeight w:val="27"/>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9,279</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Municipal bonds</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8,067</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8,067</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Certificates of deposit and term deposits</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7,499</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400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294,000</w:t>
            </w:r>
          </w:p>
        </w:tc>
        <w:tc>
          <w:tcPr>
            <w:tcW w:w="16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40" w:type="dxa"/>
            <w:vAlign w:val="bottom"/>
          </w:tcPr>
          <w:p>
            <w:pPr>
              <w:spacing w:after="0"/>
              <w:rPr>
                <w:sz w:val="22"/>
                <w:szCs w:val="22"/>
                <w:color w:val="auto"/>
              </w:rPr>
            </w:pP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294,000</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r>
      <w:tr>
        <w:trPr>
          <w:trHeight w:val="20"/>
        </w:trPr>
        <w:tc>
          <w:tcPr>
            <w:tcW w:w="4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contractual maturities of our investments are as follows ($ amounts in 000's):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25"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1820" w:type="dxa"/>
            <w:vAlign w:val="bottom"/>
            <w:gridSpan w:val="2"/>
          </w:tcPr>
          <w:p>
            <w:pPr>
              <w:ind w:left="500"/>
              <w:spacing w:after="0"/>
              <w:rPr>
                <w:sz w:val="20"/>
                <w:szCs w:val="20"/>
                <w:color w:val="auto"/>
              </w:rPr>
            </w:pPr>
            <w:r>
              <w:rPr>
                <w:rFonts w:ascii="Arial" w:cs="Arial" w:eastAsia="Arial" w:hAnsi="Arial"/>
                <w:sz w:val="16"/>
                <w:szCs w:val="16"/>
                <w:b w:val="1"/>
                <w:bCs w:val="1"/>
                <w:color w:val="auto"/>
              </w:rPr>
              <w:t>June 30,</w:t>
            </w:r>
          </w:p>
        </w:tc>
        <w:tc>
          <w:tcPr>
            <w:tcW w:w="1580" w:type="dxa"/>
            <w:vAlign w:val="bottom"/>
          </w:tcPr>
          <w:p>
            <w:pPr>
              <w:jc w:val="right"/>
              <w:ind w:right="25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980" w:type="dxa"/>
            <w:vAlign w:val="bottom"/>
          </w:tcPr>
          <w:p>
            <w:pPr>
              <w:spacing w:after="0"/>
              <w:rPr>
                <w:sz w:val="18"/>
                <w:szCs w:val="18"/>
                <w:color w:val="auto"/>
              </w:rPr>
            </w:pPr>
          </w:p>
        </w:tc>
        <w:tc>
          <w:tcPr>
            <w:tcW w:w="1620" w:type="dxa"/>
            <w:vAlign w:val="bottom"/>
          </w:tcPr>
          <w:p>
            <w:pPr>
              <w:jc w:val="right"/>
              <w:ind w:right="574"/>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8"/>
                <w:szCs w:val="18"/>
                <w:color w:val="auto"/>
              </w:rPr>
            </w:pPr>
          </w:p>
        </w:tc>
        <w:tc>
          <w:tcPr>
            <w:tcW w:w="1580" w:type="dxa"/>
            <w:vAlign w:val="bottom"/>
          </w:tcPr>
          <w:p>
            <w:pPr>
              <w:jc w:val="right"/>
              <w:ind w:right="534"/>
              <w:spacing w:after="0"/>
              <w:rPr>
                <w:sz w:val="20"/>
                <w:szCs w:val="20"/>
                <w:color w:val="auto"/>
              </w:rPr>
            </w:pPr>
            <w:r>
              <w:rPr>
                <w:rFonts w:ascii="Arial" w:cs="Arial" w:eastAsia="Arial" w:hAnsi="Arial"/>
                <w:sz w:val="16"/>
                <w:szCs w:val="16"/>
                <w:b w:val="1"/>
                <w:bCs w:val="1"/>
                <w:color w:val="auto"/>
              </w:rPr>
              <w:t>2011</w:t>
            </w:r>
          </w:p>
        </w:tc>
      </w:tr>
      <w:tr>
        <w:trPr>
          <w:trHeight w:val="33"/>
        </w:trPr>
        <w:tc>
          <w:tcPr>
            <w:tcW w:w="79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320,403</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318,283</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Due within one to three years</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242,769</w:t>
            </w:r>
          </w:p>
        </w:tc>
        <w:tc>
          <w:tcPr>
            <w:tcW w:w="2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148,414</w:t>
            </w:r>
          </w:p>
        </w:tc>
      </w:tr>
      <w:tr>
        <w:trPr>
          <w:trHeight w:val="27"/>
        </w:trPr>
        <w:tc>
          <w:tcPr>
            <w:tcW w:w="79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563,172</w:t>
            </w: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466,697</w:t>
            </w:r>
          </w:p>
        </w:tc>
      </w:tr>
      <w:tr>
        <w:trPr>
          <w:trHeight w:val="20"/>
        </w:trPr>
        <w:tc>
          <w:tcPr>
            <w:tcW w:w="79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Realized gains or losses from the sale of available-for-sale securities were not significant for any of the periods presented.</w:t>
      </w:r>
    </w:p>
    <w:p>
      <w:pPr>
        <w:spacing w:after="0" w:line="225"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following table presents the fair value of our financial assets measured at fair value on a recurring basis as of June 30, 2012 and December 31, 2011 ($ amounts in 000's):</w:t>
      </w:r>
    </w:p>
    <w:p>
      <w:pPr>
        <w:spacing w:after="0" w:line="33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June 30, 2012</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0"/>
              </w:rPr>
              <w:t>December 31, 2011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Quoted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Quoted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Prices in</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Significant</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Prices in</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Active</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Other</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Active</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0"/>
              </w:rPr>
              <w:t>Aggregate</w:t>
            </w:r>
          </w:p>
        </w:tc>
        <w:tc>
          <w:tcPr>
            <w:tcW w:w="1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Markets For</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Observable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c>
          <w:tcPr>
            <w:tcW w:w="140" w:type="dxa"/>
            <w:vAlign w:val="bottom"/>
          </w:tcPr>
          <w:p>
            <w:pPr>
              <w:spacing w:after="0"/>
              <w:rPr>
                <w:sz w:val="17"/>
                <w:szCs w:val="17"/>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6"/>
              </w:rPr>
              <w:t>Markets For</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Observable</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5"/>
              </w:rPr>
              <w:t>Fair</w:t>
            </w:r>
          </w:p>
        </w:tc>
        <w:tc>
          <w:tcPr>
            <w:tcW w:w="1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Identical</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Remaining</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Fair</w:t>
            </w:r>
          </w:p>
        </w:tc>
        <w:tc>
          <w:tcPr>
            <w:tcW w:w="140" w:type="dxa"/>
            <w:vAlign w:val="bottom"/>
          </w:tcPr>
          <w:p>
            <w:pPr>
              <w:spacing w:after="0"/>
              <w:rPr>
                <w:sz w:val="17"/>
                <w:szCs w:val="17"/>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Identical</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3"/>
              </w:rPr>
              <w:t>Assets</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Inputs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c>
          <w:tcPr>
            <w:tcW w:w="1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3"/>
              </w:rPr>
              <w:t>Assets</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5"/>
              </w:rPr>
              <w:t>Inputs</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(Level 1)</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(Level 2)</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5"/>
              </w:rPr>
              <w:t>(Level 2)</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U.S. government and agency securities</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7,605</w:t>
            </w: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7,605</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38,908</w:t>
            </w:r>
          </w:p>
        </w:tc>
        <w:tc>
          <w:tcPr>
            <w:tcW w:w="1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38,908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debt securities</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457,218</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457,218</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337,497</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337,497</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65,205</w:t>
            </w: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65,205</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64,890</w:t>
            </w:r>
          </w:p>
        </w:tc>
        <w:tc>
          <w:tcPr>
            <w:tcW w:w="1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64,890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37,372</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37,372</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20,504</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20,504</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Certificates of deposit and term deposits</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10,246</w:t>
            </w: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10,246</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18,761</w:t>
            </w:r>
          </w:p>
        </w:tc>
        <w:tc>
          <w:tcPr>
            <w:tcW w:w="1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18,761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8,168</w:t>
            </w:r>
          </w:p>
        </w:tc>
        <w:tc>
          <w:tcPr>
            <w:tcW w:w="114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8,168</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31,438</w:t>
            </w:r>
          </w:p>
        </w:tc>
        <w:tc>
          <w:tcPr>
            <w:tcW w:w="114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31,438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Foreign currency contracts</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585,833</w:t>
            </w:r>
          </w:p>
        </w:tc>
        <w:tc>
          <w:tcPr>
            <w:tcW w:w="11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8,168</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577,665</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511,998</w:t>
            </w:r>
          </w:p>
        </w:tc>
        <w:tc>
          <w:tcPr>
            <w:tcW w:w="11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31,438</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480,560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Reported as: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equivalents</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22,642</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45,301</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320,403</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318,283</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Long-term investments</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242,769</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148,414</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585,833</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511,998</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486"/>
        <w:spacing w:after="0" w:line="342" w:lineRule="auto"/>
        <w:rPr>
          <w:sz w:val="20"/>
          <w:szCs w:val="20"/>
          <w:color w:val="auto"/>
        </w:rPr>
      </w:pPr>
      <w:r>
        <w:rPr>
          <w:rFonts w:ascii="Arial" w:cs="Arial" w:eastAsia="Arial" w:hAnsi="Arial"/>
          <w:sz w:val="16"/>
          <w:szCs w:val="16"/>
          <w:color w:val="auto"/>
        </w:rPr>
        <w:t>We did not hold financial assets or liabilities which were recorded at fair value using inputs in the Level 3 category as of June 30, 2012 or December 31, 2011. There were no transfers between Level 1 and Level 2 of the fair value hierarchy during the three and six months ended June 30, 2012.</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Inventory consisted of the following ($ amounts in 000's):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0"/>
              </w:rPr>
              <w:t>June 30,</w:t>
            </w:r>
          </w:p>
        </w:tc>
        <w:tc>
          <w:tcPr>
            <w:tcW w:w="15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4"/>
              </w:rPr>
              <w:t>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4,166</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16,662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12,802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20,828</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16,249</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EQUIPMENT—Net</w:t>
            </w: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00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Property and equipment consisted of the following ($ amounts in 000's):</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0"/>
              </w:rPr>
              <w:t>June 30,</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Evaluation units</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16,521</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15,130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12,219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1,345</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Leasehold improvements and tooling</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4,745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4,381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37,741</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620" w:type="dxa"/>
            <w:vAlign w:val="bottom"/>
          </w:tcPr>
          <w:p>
            <w:pPr>
              <w:jc w:val="right"/>
              <w:spacing w:after="0"/>
              <w:rPr>
                <w:sz w:val="20"/>
                <w:szCs w:val="20"/>
                <w:color w:val="auto"/>
              </w:rPr>
            </w:pPr>
            <w:r>
              <w:rPr>
                <w:rFonts w:ascii="Arial" w:cs="Arial" w:eastAsia="Arial" w:hAnsi="Arial"/>
                <w:sz w:val="18"/>
                <w:szCs w:val="18"/>
                <w:color w:val="auto"/>
              </w:rPr>
              <w:t>(27,494)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(23,853)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equipment—net</w:t>
            </w:r>
          </w:p>
        </w:tc>
        <w:tc>
          <w:tcPr>
            <w:tcW w:w="1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10,247</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40" w:firstLine="486"/>
        <w:spacing w:after="0" w:line="308" w:lineRule="auto"/>
        <w:rPr>
          <w:sz w:val="20"/>
          <w:szCs w:val="20"/>
          <w:color w:val="auto"/>
        </w:rPr>
      </w:pPr>
      <w:r>
        <w:rPr>
          <w:rFonts w:ascii="Arial" w:cs="Arial" w:eastAsia="Arial" w:hAnsi="Arial"/>
          <w:sz w:val="17"/>
          <w:szCs w:val="17"/>
          <w:color w:val="auto"/>
        </w:rPr>
        <w:t>Depreciation expense was $2.4 million and $1.7 million during the three months ended June 30, 2012 and June 30, 2011 respectively. Depreciation expense was $4.5 million and $3.3 million during the six months ended June 30, 2012 and June 30 2011,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SHARE</w:t>
      </w:r>
    </w:p>
    <w:p>
      <w:pPr>
        <w:spacing w:after="0" w:line="22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common shares outstanding during the period. Diluted net income per share is computed by dividing net income by the weighted-average number of common shares outstanding, plus the dilutive effects of stock options and the employee stock purchase plan ("ESPP"). Potentially dilutive common shares are determined by applying the treasury stock method to the assumed exercise of outstanding stock options and ESPP.</w:t>
      </w:r>
    </w:p>
    <w:p>
      <w:pPr>
        <w:spacing w:after="0" w:line="18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 and share amounts in 000's, except per share amounts):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Numerator:</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Denominator:</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 shares:</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Weighted-average common shares outstanding - basic</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shares:</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Weighted-average common shares outstanding - basic</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Effect of potentially dilutive securities: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Employee stock option and purchase plans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Weighted-average shares used to compute diluted net income per share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share:</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Basic</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940" w:type="dxa"/>
            <w:vAlign w:val="bottom"/>
            <w:gridSpan w:val="4"/>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2840" w:type="dxa"/>
            <w:vAlign w:val="bottom"/>
            <w:gridSpan w:val="3"/>
          </w:tcPr>
          <w:p>
            <w:pPr>
              <w:jc w:val="right"/>
              <w:ind w:right="676"/>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14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14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June 30,</w:t>
            </w:r>
          </w:p>
        </w:tc>
        <w:tc>
          <w:tcPr>
            <w:tcW w:w="14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June 30,</w:t>
            </w: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1340" w:type="dxa"/>
            <w:vAlign w:val="bottom"/>
          </w:tcPr>
          <w:p>
            <w:pPr>
              <w:jc w:val="right"/>
              <w:ind w:right="417"/>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1340" w:type="dxa"/>
            <w:vAlign w:val="bottom"/>
          </w:tcPr>
          <w:p>
            <w:pPr>
              <w:jc w:val="right"/>
              <w:ind w:right="416"/>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340" w:type="dxa"/>
            <w:vAlign w:val="bottom"/>
          </w:tcPr>
          <w:p>
            <w:pPr>
              <w:jc w:val="right"/>
              <w:ind w:right="417"/>
              <w:spacing w:after="0"/>
              <w:rPr>
                <w:sz w:val="20"/>
                <w:szCs w:val="20"/>
                <w:color w:val="auto"/>
              </w:rPr>
            </w:pPr>
            <w:r>
              <w:rPr>
                <w:rFonts w:ascii="Arial" w:cs="Arial" w:eastAsia="Arial" w:hAnsi="Arial"/>
                <w:sz w:val="16"/>
                <w:szCs w:val="16"/>
                <w:b w:val="1"/>
                <w:bCs w:val="1"/>
                <w:color w:val="auto"/>
              </w:rPr>
              <w:t>2012</w:t>
            </w:r>
          </w:p>
        </w:tc>
        <w:tc>
          <w:tcPr>
            <w:tcW w:w="160" w:type="dxa"/>
            <w:vAlign w:val="bottom"/>
          </w:tcPr>
          <w:p>
            <w:pPr>
              <w:spacing w:after="0"/>
              <w:rPr>
                <w:sz w:val="18"/>
                <w:szCs w:val="18"/>
                <w:color w:val="auto"/>
              </w:rPr>
            </w:pPr>
          </w:p>
        </w:tc>
        <w:tc>
          <w:tcPr>
            <w:tcW w:w="1340" w:type="dxa"/>
            <w:vAlign w:val="bottom"/>
          </w:tcPr>
          <w:p>
            <w:pPr>
              <w:jc w:val="right"/>
              <w:ind w:right="436"/>
              <w:spacing w:after="0"/>
              <w:rPr>
                <w:sz w:val="20"/>
                <w:szCs w:val="20"/>
                <w:color w:val="auto"/>
              </w:rPr>
            </w:pPr>
            <w:r>
              <w:rPr>
                <w:rFonts w:ascii="Arial" w:cs="Arial" w:eastAsia="Arial" w:hAnsi="Arial"/>
                <w:sz w:val="16"/>
                <w:szCs w:val="16"/>
                <w:b w:val="1"/>
                <w:bCs w:val="1"/>
                <w:color w:val="auto"/>
              </w:rPr>
              <w:t>2011</w:t>
            </w:r>
          </w:p>
        </w:tc>
      </w:tr>
      <w:tr>
        <w:trPr>
          <w:trHeight w:val="33"/>
        </w:trPr>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507"/>
        </w:trPr>
        <w:tc>
          <w:tcPr>
            <w:tcW w:w="1340" w:type="dxa"/>
            <w:vAlign w:val="bottom"/>
          </w:tcPr>
          <w:p>
            <w:pPr>
              <w:jc w:val="right"/>
              <w:ind w:right="17"/>
              <w:spacing w:after="0"/>
              <w:rPr>
                <w:sz w:val="20"/>
                <w:szCs w:val="20"/>
                <w:color w:val="auto"/>
              </w:rPr>
            </w:pPr>
            <w:r>
              <w:rPr>
                <w:rFonts w:ascii="Arial" w:cs="Arial" w:eastAsia="Arial" w:hAnsi="Arial"/>
                <w:sz w:val="18"/>
                <w:szCs w:val="18"/>
                <w:color w:val="auto"/>
              </w:rPr>
              <w:t>13,950</w:t>
            </w:r>
          </w:p>
        </w:tc>
        <w:tc>
          <w:tcPr>
            <w:tcW w:w="14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14,494</w:t>
            </w:r>
          </w:p>
        </w:tc>
        <w:tc>
          <w:tcPr>
            <w:tcW w:w="120" w:type="dxa"/>
            <w:vAlign w:val="bottom"/>
          </w:tcPr>
          <w:p>
            <w:pPr>
              <w:spacing w:after="0"/>
              <w:rPr>
                <w:sz w:val="24"/>
                <w:szCs w:val="24"/>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28,123</w:t>
            </w:r>
          </w:p>
        </w:tc>
        <w:tc>
          <w:tcPr>
            <w:tcW w:w="16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28,081</w:t>
            </w:r>
          </w:p>
        </w:tc>
      </w:tr>
      <w:tr>
        <w:trPr>
          <w:trHeight w:val="27"/>
        </w:trPr>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-376555</wp:posOffset>
            </wp:positionV>
            <wp:extent cx="722947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-16510</wp:posOffset>
            </wp:positionV>
            <wp:extent cx="722947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2890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283210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jc w:val="right"/>
              <w:ind w:right="10"/>
              <w:spacing w:after="0"/>
              <w:rPr>
                <w:sz w:val="20"/>
                <w:szCs w:val="20"/>
                <w:color w:val="auto"/>
              </w:rPr>
            </w:pPr>
            <w:r>
              <w:rPr>
                <w:rFonts w:ascii="Arial" w:cs="Arial" w:eastAsia="Arial" w:hAnsi="Arial"/>
                <w:sz w:val="18"/>
                <w:szCs w:val="18"/>
                <w:color w:val="auto"/>
              </w:rPr>
              <w:t>157,474</w:t>
            </w: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152,267</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156,742</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151,293</w:t>
            </w:r>
          </w:p>
        </w:tc>
      </w:tr>
      <w:tr>
        <w:trPr>
          <w:trHeight w:val="27"/>
        </w:trPr>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69"/>
        </w:trPr>
        <w:tc>
          <w:tcPr>
            <w:tcW w:w="1340" w:type="dxa"/>
            <w:vAlign w:val="bottom"/>
          </w:tcPr>
          <w:p>
            <w:pPr>
              <w:jc w:val="right"/>
              <w:ind w:right="10"/>
              <w:spacing w:after="0"/>
              <w:rPr>
                <w:sz w:val="20"/>
                <w:szCs w:val="20"/>
                <w:color w:val="auto"/>
              </w:rPr>
            </w:pPr>
            <w:r>
              <w:rPr>
                <w:rFonts w:ascii="Arial" w:cs="Arial" w:eastAsia="Arial" w:hAnsi="Arial"/>
                <w:sz w:val="18"/>
                <w:szCs w:val="18"/>
                <w:color w:val="auto"/>
              </w:rPr>
              <w:t>157,474</w:t>
            </w:r>
          </w:p>
        </w:tc>
        <w:tc>
          <w:tcPr>
            <w:tcW w:w="14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152,267</w:t>
            </w:r>
          </w:p>
        </w:tc>
        <w:tc>
          <w:tcPr>
            <w:tcW w:w="1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156,742</w:t>
            </w:r>
          </w:p>
        </w:tc>
        <w:tc>
          <w:tcPr>
            <w:tcW w:w="16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151,293</w:t>
            </w:r>
          </w:p>
        </w:tc>
      </w:tr>
      <w:tr>
        <w:trPr>
          <w:trHeight w:val="540"/>
        </w:trPr>
        <w:tc>
          <w:tcPr>
            <w:tcW w:w="1340" w:type="dxa"/>
            <w:vAlign w:val="bottom"/>
          </w:tcPr>
          <w:p>
            <w:pPr>
              <w:jc w:val="right"/>
              <w:ind w:right="10"/>
              <w:spacing w:after="0"/>
              <w:rPr>
                <w:sz w:val="20"/>
                <w:szCs w:val="20"/>
                <w:color w:val="auto"/>
              </w:rPr>
            </w:pPr>
            <w:r>
              <w:rPr>
                <w:rFonts w:ascii="Arial" w:cs="Arial" w:eastAsia="Arial" w:hAnsi="Arial"/>
                <w:sz w:val="18"/>
                <w:szCs w:val="18"/>
                <w:color w:val="auto"/>
              </w:rPr>
              <w:t>8,587</w:t>
            </w:r>
          </w:p>
        </w:tc>
        <w:tc>
          <w:tcPr>
            <w:tcW w:w="14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11,620</w:t>
            </w:r>
          </w:p>
        </w:tc>
        <w:tc>
          <w:tcPr>
            <w:tcW w:w="1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9,066</w:t>
            </w:r>
          </w:p>
        </w:tc>
        <w:tc>
          <w:tcPr>
            <w:tcW w:w="16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12,100</w:t>
            </w:r>
          </w:p>
        </w:tc>
      </w:tr>
      <w:tr>
        <w:trPr>
          <w:trHeight w:val="27"/>
        </w:trPr>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1340" w:type="dxa"/>
            <w:vAlign w:val="bottom"/>
          </w:tcPr>
          <w:p>
            <w:pPr>
              <w:jc w:val="right"/>
              <w:ind w:right="10"/>
              <w:spacing w:after="0"/>
              <w:rPr>
                <w:sz w:val="20"/>
                <w:szCs w:val="20"/>
                <w:color w:val="auto"/>
              </w:rPr>
            </w:pPr>
            <w:r>
              <w:rPr>
                <w:rFonts w:ascii="Arial" w:cs="Arial" w:eastAsia="Arial" w:hAnsi="Arial"/>
                <w:sz w:val="18"/>
                <w:szCs w:val="18"/>
                <w:color w:val="auto"/>
              </w:rPr>
              <w:t>166,061</w:t>
            </w: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163,887</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165,808</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163,393</w:t>
            </w:r>
          </w:p>
        </w:tc>
      </w:tr>
      <w:tr>
        <w:trPr>
          <w:trHeight w:val="27"/>
        </w:trPr>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94"/>
        </w:trPr>
        <w:tc>
          <w:tcPr>
            <w:tcW w:w="134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0.19</w:t>
            </w:r>
          </w:p>
        </w:tc>
      </w:tr>
      <w:tr>
        <w:trPr>
          <w:trHeight w:val="27"/>
        </w:trPr>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4"/>
        </w:trPr>
        <w:tc>
          <w:tcPr>
            <w:tcW w:w="134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0.17</w:t>
            </w:r>
          </w:p>
        </w:tc>
      </w:tr>
      <w:tr>
        <w:trPr>
          <w:trHeight w:val="27"/>
        </w:trPr>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-1585595</wp:posOffset>
            </wp:positionV>
            <wp:extent cx="722947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2890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-1285875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-942975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-582295</wp:posOffset>
            </wp:positionV>
            <wp:extent cx="722947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-213995</wp:posOffset>
            </wp:positionV>
            <wp:extent cx="7229475"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460"/>
            <w:col w:w="5780"/>
          </w:cols>
          <w:pgMar w:left="240" w:top="125" w:right="259" w:bottom="1440" w:gutter="0" w:footer="0" w:header="0"/>
          <w:type w:val="continuous"/>
        </w:sectPr>
      </w:pPr>
    </w:p>
    <w:p>
      <w:pPr>
        <w:spacing w:after="0" w:line="2"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000's):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940" w:type="dxa"/>
            <w:vAlign w:val="bottom"/>
            <w:gridSpan w:val="4"/>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2840" w:type="dxa"/>
            <w:vAlign w:val="bottom"/>
            <w:gridSpan w:val="3"/>
          </w:tcPr>
          <w:p>
            <w:pPr>
              <w:jc w:val="right"/>
              <w:ind w:right="67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5600" w:type="dxa"/>
            <w:vAlign w:val="bottom"/>
          </w:tcPr>
          <w:p>
            <w:pPr>
              <w:spacing w:after="0"/>
              <w:rPr>
                <w:sz w:val="18"/>
                <w:szCs w:val="18"/>
                <w:color w:val="auto"/>
              </w:rPr>
            </w:pPr>
          </w:p>
        </w:tc>
        <w:tc>
          <w:tcPr>
            <w:tcW w:w="148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w:t>
            </w:r>
          </w:p>
        </w:tc>
        <w:tc>
          <w:tcPr>
            <w:tcW w:w="146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30,</w:t>
            </w:r>
          </w:p>
        </w:tc>
        <w:tc>
          <w:tcPr>
            <w:tcW w:w="150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30,</w:t>
            </w:r>
          </w:p>
        </w:tc>
        <w:tc>
          <w:tcPr>
            <w:tcW w:w="1340" w:type="dxa"/>
            <w:vAlign w:val="bottom"/>
          </w:tcPr>
          <w:p>
            <w:pPr>
              <w:jc w:val="right"/>
              <w:ind w:right="31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60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340" w:type="dxa"/>
            <w:vAlign w:val="bottom"/>
          </w:tcPr>
          <w:p>
            <w:pPr>
              <w:jc w:val="right"/>
              <w:ind w:right="414"/>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340" w:type="dxa"/>
            <w:vAlign w:val="bottom"/>
          </w:tcPr>
          <w:p>
            <w:pPr>
              <w:jc w:val="right"/>
              <w:ind w:right="414"/>
              <w:spacing w:after="0"/>
              <w:rPr>
                <w:sz w:val="20"/>
                <w:szCs w:val="20"/>
                <w:color w:val="auto"/>
              </w:rPr>
            </w:pPr>
            <w:r>
              <w:rPr>
                <w:rFonts w:ascii="Arial" w:cs="Arial" w:eastAsia="Arial" w:hAnsi="Arial"/>
                <w:sz w:val="16"/>
                <w:szCs w:val="16"/>
                <w:b w:val="1"/>
                <w:bCs w:val="1"/>
                <w:color w:val="auto"/>
              </w:rPr>
              <w:t>2012</w:t>
            </w:r>
          </w:p>
        </w:tc>
        <w:tc>
          <w:tcPr>
            <w:tcW w:w="160" w:type="dxa"/>
            <w:vAlign w:val="bottom"/>
          </w:tcPr>
          <w:p>
            <w:pPr>
              <w:spacing w:after="0"/>
              <w:rPr>
                <w:sz w:val="18"/>
                <w:szCs w:val="18"/>
                <w:color w:val="auto"/>
              </w:rPr>
            </w:pPr>
          </w:p>
        </w:tc>
        <w:tc>
          <w:tcPr>
            <w:tcW w:w="13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2011</w:t>
            </w: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7,475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6,767</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2,598</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ESPP</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6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7,786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3,571</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7,065</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REVENUE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revenue consisted of the following ($ amounts in 000's):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1720" w:type="dxa"/>
            <w:vAlign w:val="bottom"/>
            <w:gridSpan w:val="2"/>
          </w:tcPr>
          <w:p>
            <w:pPr>
              <w:ind w:left="480"/>
              <w:spacing w:after="0"/>
              <w:rPr>
                <w:sz w:val="20"/>
                <w:szCs w:val="20"/>
                <w:color w:val="auto"/>
              </w:rPr>
            </w:pPr>
            <w:r>
              <w:rPr>
                <w:rFonts w:ascii="Arial" w:cs="Arial" w:eastAsia="Arial" w:hAnsi="Arial"/>
                <w:sz w:val="16"/>
                <w:szCs w:val="16"/>
                <w:b w:val="1"/>
                <w:bCs w:val="1"/>
                <w:color w:val="auto"/>
              </w:rPr>
              <w:t>June 30,</w:t>
            </w:r>
          </w:p>
        </w:tc>
        <w:tc>
          <w:tcPr>
            <w:tcW w:w="1580" w:type="dxa"/>
            <w:vAlign w:val="bottom"/>
          </w:tcPr>
          <w:p>
            <w:pPr>
              <w:jc w:val="right"/>
              <w:ind w:right="25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120" w:type="dxa"/>
            <w:vAlign w:val="bottom"/>
          </w:tcPr>
          <w:p>
            <w:pPr>
              <w:spacing w:after="0"/>
              <w:rPr>
                <w:sz w:val="18"/>
                <w:szCs w:val="18"/>
                <w:color w:val="auto"/>
              </w:rPr>
            </w:pPr>
          </w:p>
        </w:tc>
        <w:tc>
          <w:tcPr>
            <w:tcW w:w="15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15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2011</w:t>
            </w:r>
          </w:p>
        </w:tc>
      </w:tr>
      <w:tr>
        <w:trPr>
          <w:trHeight w:val="33"/>
        </w:trPr>
        <w:tc>
          <w:tcPr>
            <w:tcW w:w="8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7,544</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Services</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311,414</w:t>
            </w:r>
          </w:p>
        </w:tc>
        <w:tc>
          <w:tcPr>
            <w:tcW w:w="1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272,843</w:t>
            </w:r>
          </w:p>
        </w:tc>
      </w:tr>
      <w:tr>
        <w:trPr>
          <w:trHeight w:val="27"/>
        </w:trPr>
        <w:tc>
          <w:tcPr>
            <w:tcW w:w="8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Ratable and other revenue</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12,410</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16,173</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deferred revenue</w:t>
            </w:r>
          </w:p>
        </w:tc>
        <w:tc>
          <w:tcPr>
            <w:tcW w:w="1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331,368</w:t>
            </w:r>
          </w:p>
        </w:tc>
        <w:tc>
          <w:tcPr>
            <w:tcW w:w="14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294,833</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Current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226,510</w:t>
            </w:r>
          </w:p>
        </w:tc>
        <w:tc>
          <w:tcPr>
            <w:tcW w:w="1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206,928</w:t>
            </w:r>
          </w:p>
        </w:tc>
      </w:tr>
      <w:tr>
        <w:trPr>
          <w:trHeight w:val="27"/>
        </w:trPr>
        <w:tc>
          <w:tcPr>
            <w:tcW w:w="8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104,858</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87,905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deferred revenue</w:t>
            </w:r>
          </w:p>
        </w:tc>
        <w:tc>
          <w:tcPr>
            <w:tcW w:w="1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331,368</w:t>
            </w:r>
          </w:p>
        </w:tc>
        <w:tc>
          <w:tcPr>
            <w:tcW w:w="14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294,833</w:t>
            </w:r>
          </w:p>
        </w:tc>
      </w:tr>
      <w:tr>
        <w:trPr>
          <w:trHeight w:val="20"/>
        </w:trPr>
        <w:tc>
          <w:tcPr>
            <w:tcW w:w="8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jc w:val="both"/>
        <w:ind w:right="220" w:firstLine="486"/>
        <w:spacing w:after="0" w:line="266" w:lineRule="auto"/>
        <w:rPr>
          <w:sz w:val="20"/>
          <w:szCs w:val="20"/>
          <w:color w:val="auto"/>
        </w:rPr>
      </w:pPr>
      <w:r>
        <w:rPr>
          <w:rFonts w:ascii="Arial" w:cs="Arial" w:eastAsia="Arial" w:hAnsi="Arial"/>
          <w:sz w:val="18"/>
          <w:szCs w:val="18"/>
          <w:b w:val="1"/>
          <w:bCs w:val="1"/>
          <w:color w:val="auto"/>
        </w:rPr>
        <w:t>Leases—</w:t>
      </w:r>
      <w:r>
        <w:rPr>
          <w:rFonts w:ascii="Arial" w:cs="Arial" w:eastAsia="Arial" w:hAnsi="Arial"/>
          <w:sz w:val="18"/>
          <w:szCs w:val="18"/>
          <w:color w:val="auto"/>
        </w:rPr>
        <w:t>We lease our facilities under various non-cancelable operating leases, which expire through 2015. Rent expense was $2.2 million and $2.1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three months ended June 30, 2012 and June 30, 2011, respectively. Rent expense was $4.4 million and $4.0 million for the six months ended June 30, 2012 and June 30, 2011, respectively.</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aggregate future non-cancelable minimum rental payments on operating leases as of June 30, 2012 are as follows ($ amounts in 000's):</w:t>
      </w:r>
    </w:p>
    <w:p>
      <w:pPr>
        <w:spacing w:after="0" w:line="372" w:lineRule="exact"/>
        <w:rPr>
          <w:sz w:val="20"/>
          <w:szCs w:val="20"/>
          <w:color w:val="auto"/>
        </w:rPr>
      </w:pPr>
    </w:p>
    <w:tbl>
      <w:tblPr>
        <w:tblLayout w:type="fixed"/>
        <w:tblInd w:w="138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1980" w:type="dxa"/>
            <w:vAlign w:val="bottom"/>
          </w:tcPr>
          <w:p>
            <w:pPr>
              <w:jc w:val="right"/>
              <w:ind w:right="673"/>
              <w:spacing w:after="0"/>
              <w:rPr>
                <w:sz w:val="20"/>
                <w:szCs w:val="20"/>
                <w:color w:val="auto"/>
              </w:rPr>
            </w:pPr>
            <w:r>
              <w:rPr>
                <w:rFonts w:ascii="Arial" w:cs="Arial" w:eastAsia="Arial" w:hAnsi="Arial"/>
                <w:sz w:val="16"/>
                <w:szCs w:val="16"/>
                <w:b w:val="1"/>
                <w:bCs w:val="1"/>
                <w:color w:val="auto"/>
              </w:rPr>
              <w:t>Rental</w:t>
            </w:r>
          </w:p>
        </w:tc>
      </w:tr>
      <w:tr>
        <w:trPr>
          <w:trHeight w:val="210"/>
        </w:trPr>
        <w:tc>
          <w:tcPr>
            <w:tcW w:w="6700" w:type="dxa"/>
            <w:vAlign w:val="bottom"/>
          </w:tcPr>
          <w:p>
            <w:pPr>
              <w:spacing w:after="0"/>
              <w:rPr>
                <w:sz w:val="18"/>
                <w:szCs w:val="18"/>
                <w:color w:val="auto"/>
              </w:rPr>
            </w:pPr>
          </w:p>
        </w:tc>
        <w:tc>
          <w:tcPr>
            <w:tcW w:w="1980" w:type="dxa"/>
            <w:vAlign w:val="bottom"/>
          </w:tcPr>
          <w:p>
            <w:pPr>
              <w:jc w:val="right"/>
              <w:ind w:right="613"/>
              <w:spacing w:after="0"/>
              <w:rPr>
                <w:sz w:val="20"/>
                <w:szCs w:val="20"/>
                <w:color w:val="auto"/>
              </w:rPr>
            </w:pPr>
            <w:r>
              <w:rPr>
                <w:rFonts w:ascii="Arial" w:cs="Arial" w:eastAsia="Arial" w:hAnsi="Arial"/>
                <w:sz w:val="16"/>
                <w:szCs w:val="16"/>
                <w:b w:val="1"/>
                <w:bCs w:val="1"/>
                <w:color w:val="auto"/>
              </w:rPr>
              <w:t>Payment</w:t>
            </w:r>
          </w:p>
        </w:tc>
      </w:tr>
      <w:tr>
        <w:trPr>
          <w:trHeight w:val="33"/>
        </w:trPr>
        <w:tc>
          <w:tcPr>
            <w:tcW w:w="67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years:</w:t>
            </w: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2012 (remainder)</w:t>
            </w:r>
          </w:p>
        </w:tc>
        <w:tc>
          <w:tcPr>
            <w:tcW w:w="1980" w:type="dxa"/>
            <w:vAlign w:val="bottom"/>
          </w:tcPr>
          <w:p>
            <w:pPr>
              <w:jc w:val="right"/>
              <w:spacing w:after="0"/>
              <w:rPr>
                <w:sz w:val="20"/>
                <w:szCs w:val="20"/>
                <w:color w:val="auto"/>
              </w:rPr>
            </w:pPr>
            <w:r>
              <w:rPr>
                <w:rFonts w:ascii="Arial" w:cs="Arial" w:eastAsia="Arial" w:hAnsi="Arial"/>
                <w:sz w:val="18"/>
                <w:szCs w:val="18"/>
                <w:color w:val="auto"/>
              </w:rPr>
              <w:t>6,547</w:t>
            </w:r>
          </w:p>
        </w:tc>
      </w:tr>
      <w:tr>
        <w:trPr>
          <w:trHeight w:val="27"/>
        </w:trPr>
        <w:tc>
          <w:tcPr>
            <w:tcW w:w="67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2013</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8,723</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2014</w:t>
            </w:r>
          </w:p>
        </w:tc>
        <w:tc>
          <w:tcPr>
            <w:tcW w:w="1980" w:type="dxa"/>
            <w:vAlign w:val="bottom"/>
          </w:tcPr>
          <w:p>
            <w:pPr>
              <w:jc w:val="right"/>
              <w:spacing w:after="0"/>
              <w:rPr>
                <w:sz w:val="20"/>
                <w:szCs w:val="20"/>
                <w:color w:val="auto"/>
              </w:rPr>
            </w:pPr>
            <w:r>
              <w:rPr>
                <w:rFonts w:ascii="Arial" w:cs="Arial" w:eastAsia="Arial" w:hAnsi="Arial"/>
                <w:sz w:val="18"/>
                <w:szCs w:val="18"/>
                <w:color w:val="auto"/>
              </w:rPr>
              <w:t>4,795</w:t>
            </w:r>
          </w:p>
        </w:tc>
      </w:tr>
      <w:tr>
        <w:trPr>
          <w:trHeight w:val="27"/>
        </w:trPr>
        <w:tc>
          <w:tcPr>
            <w:tcW w:w="67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2015</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57"/>
        </w:trPr>
        <w:tc>
          <w:tcPr>
            <w:tcW w:w="6700" w:type="dxa"/>
            <w:vAlign w:val="bottom"/>
          </w:tcPr>
          <w:p>
            <w:pPr>
              <w:ind w:left="20"/>
              <w:spacing w:after="0"/>
              <w:rPr>
                <w:sz w:val="20"/>
                <w:szCs w:val="20"/>
                <w:color w:val="auto"/>
              </w:rPr>
            </w:pPr>
            <w:r>
              <w:rPr>
                <w:rFonts w:ascii="Arial" w:cs="Arial" w:eastAsia="Arial" w:hAnsi="Arial"/>
                <w:sz w:val="18"/>
                <w:szCs w:val="18"/>
                <w:color w:val="auto"/>
              </w:rPr>
              <w:t>Total</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21,718</w:t>
            </w:r>
          </w:p>
        </w:tc>
      </w:tr>
      <w:tr>
        <w:trPr>
          <w:trHeight w:val="20"/>
        </w:trPr>
        <w:tc>
          <w:tcPr>
            <w:tcW w:w="67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7"/>
          <w:szCs w:val="17"/>
          <w:b w:val="1"/>
          <w:bCs w:val="1"/>
          <w:color w:val="auto"/>
        </w:rPr>
        <w:t>Contract Manufacturer and Other Commitments—</w:t>
      </w:r>
      <w:r>
        <w:rPr>
          <w:rFonts w:ascii="Arial" w:cs="Arial" w:eastAsia="Arial" w:hAnsi="Arial"/>
          <w:sz w:val="17"/>
          <w:szCs w:val="17"/>
          <w:color w:val="auto"/>
        </w:rPr>
        <w:t>Our independent contract manufacturers procure components and build our products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our 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June 30, 2012, we had $26.9 million of open purchase orders with our independent contract manufacturers that are not cancelable.</w:t>
      </w:r>
    </w:p>
    <w:p>
      <w:pPr>
        <w:spacing w:after="0" w:line="172"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In addition to commitments with contract manufacturers, we have open purchase orders and contractual obligations associated with our ordinary course of business for which we have not received goods or services. As of June 30, 2012, we had $3.1 million in other purchase commitments.</w:t>
      </w:r>
    </w:p>
    <w:p>
      <w:pPr>
        <w:spacing w:after="0" w:line="143" w:lineRule="exact"/>
        <w:rPr>
          <w:sz w:val="20"/>
          <w:szCs w:val="20"/>
          <w:color w:val="auto"/>
        </w:rPr>
      </w:pPr>
    </w:p>
    <w:p>
      <w:pPr>
        <w:ind w:right="340" w:firstLine="486"/>
        <w:spacing w:after="0" w:line="282" w:lineRule="auto"/>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We generally provide a one-year warranty on hardware products and a 90-day warranty on software. Accrued warranty activities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summarized as follows ($ amounts in 000's).</w:t>
      </w:r>
    </w:p>
    <w:p>
      <w:pPr>
        <w:spacing w:after="0" w:line="328"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7120" w:type="dxa"/>
            <w:vAlign w:val="bottom"/>
          </w:tcPr>
          <w:p>
            <w:pPr>
              <w:spacing w:after="0"/>
              <w:rPr>
                <w:sz w:val="17"/>
                <w:szCs w:val="17"/>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For The Six Months</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4"/>
              </w:rPr>
              <w:t>For The Year</w:t>
            </w:r>
          </w:p>
        </w:tc>
      </w:tr>
      <w:tr>
        <w:trPr>
          <w:trHeight w:val="210"/>
        </w:trPr>
        <w:tc>
          <w:tcPr>
            <w:tcW w:w="7120" w:type="dxa"/>
            <w:vAlign w:val="bottom"/>
          </w:tcPr>
          <w:p>
            <w:pPr>
              <w:spacing w:after="0"/>
              <w:rPr>
                <w:sz w:val="18"/>
                <w:szCs w:val="18"/>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Ended And As Of</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2"/>
              </w:rPr>
              <w:t>Ended And As Of</w:t>
            </w:r>
          </w:p>
        </w:tc>
      </w:tr>
      <w:tr>
        <w:trPr>
          <w:trHeight w:val="270"/>
        </w:trPr>
        <w:tc>
          <w:tcPr>
            <w:tcW w:w="7120" w:type="dxa"/>
            <w:vAlign w:val="bottom"/>
          </w:tcPr>
          <w:p>
            <w:pPr>
              <w:spacing w:after="0"/>
              <w:rPr>
                <w:sz w:val="23"/>
                <w:szCs w:val="23"/>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June 30, 2012</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 2011</w:t>
            </w:r>
          </w:p>
        </w:tc>
      </w:tr>
      <w:tr>
        <w:trPr>
          <w:trHeight w:val="33"/>
        </w:trPr>
        <w:tc>
          <w:tcPr>
            <w:tcW w:w="7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warranty balance - beginning of the period</w:t>
            </w:r>
          </w:p>
        </w:tc>
        <w:tc>
          <w:tcPr>
            <w:tcW w:w="1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1,878</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Warranty costs incurred</w:t>
            </w:r>
          </w:p>
        </w:tc>
        <w:tc>
          <w:tcPr>
            <w:tcW w:w="188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(1,778)</w:t>
            </w:r>
          </w:p>
        </w:tc>
      </w:tr>
      <w:tr>
        <w:trPr>
          <w:trHeight w:val="27"/>
        </w:trPr>
        <w:tc>
          <w:tcPr>
            <w:tcW w:w="7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warranty</w:t>
            </w:r>
          </w:p>
        </w:tc>
        <w:tc>
          <w:tcPr>
            <w:tcW w:w="1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2,103</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Adjustments to previous estimates</w:t>
            </w:r>
          </w:p>
        </w:tc>
        <w:tc>
          <w:tcPr>
            <w:tcW w:w="18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860" w:type="dxa"/>
            <w:vAlign w:val="bottom"/>
          </w:tcPr>
          <w:p>
            <w:pPr>
              <w:jc w:val="right"/>
              <w:ind w:right="33"/>
              <w:spacing w:after="0"/>
              <w:rPr>
                <w:sz w:val="20"/>
                <w:szCs w:val="20"/>
                <w:color w:val="auto"/>
              </w:rPr>
            </w:pPr>
            <w:r>
              <w:rPr>
                <w:rFonts w:ascii="Arial" w:cs="Arial" w:eastAsia="Arial" w:hAnsi="Arial"/>
                <w:sz w:val="18"/>
                <w:szCs w:val="18"/>
                <w:color w:val="auto"/>
              </w:rPr>
              <w:t>379</w:t>
            </w:r>
          </w:p>
        </w:tc>
      </w:tr>
      <w:tr>
        <w:trPr>
          <w:trHeight w:val="27"/>
        </w:trPr>
        <w:tc>
          <w:tcPr>
            <w:tcW w:w="7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warranty balance - end of the period</w:t>
            </w:r>
          </w:p>
        </w:tc>
        <w:tc>
          <w:tcPr>
            <w:tcW w:w="1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2,582</w:t>
            </w:r>
          </w:p>
        </w:tc>
      </w:tr>
      <w:tr>
        <w:trPr>
          <w:trHeight w:val="20"/>
        </w:trPr>
        <w:tc>
          <w:tcPr>
            <w:tcW w:w="7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100" w:firstLine="486"/>
        <w:spacing w:after="0" w:line="274"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—In August 2009, Enhanced Security Research, LLC and Security Research Holdings LLC (collectively “ESR”), a non-practicing entity,</w:t>
      </w:r>
      <w:r>
        <w:rPr>
          <w:rFonts w:ascii="Arial" w:cs="Arial" w:eastAsia="Arial" w:hAnsi="Arial"/>
          <w:sz w:val="17"/>
          <w:szCs w:val="17"/>
          <w:b w:val="1"/>
          <w:bCs w:val="1"/>
          <w:color w:val="auto"/>
        </w:rPr>
        <w:t xml:space="preserve"> </w:t>
      </w:r>
      <w:r>
        <w:rPr>
          <w:rFonts w:ascii="Arial" w:cs="Arial" w:eastAsia="Arial" w:hAnsi="Arial"/>
          <w:sz w:val="17"/>
          <w:szCs w:val="17"/>
          <w:color w:val="auto"/>
        </w:rPr>
        <w:t>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on both asserted patents. The U.S. Patent and Trademark Office (“PTO”) has rejected all of the claims of the patents in the suit and ESR has appealed this result to the Board of Patent Appeals and Interferences (“BPAI”). We have determined that, as of this time, there is not a reasonable possibility that a loss has been incurred.</w:t>
      </w:r>
    </w:p>
    <w:p>
      <w:pPr>
        <w:spacing w:after="0" w:line="178"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In April 2010, an individual, a former stockholder of Fortinet, filed a class action lawsuit against us claiming unspecified damages in the California Superior Court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In September 2010, the Court granted our motion to transfer the case to the California Superior Court for Santa Clara County and the plaintiff has filed several amended complaints in the Superior Court to add individual defendants, among other amendments. The Superior Court will be hearing motions for summary judgment in November 2012 and has set a trial date for December 2012. We have determined that, as of this time, there is not a reasonable possibility that a loss has been incurred.</w:t>
      </w:r>
    </w:p>
    <w:p>
      <w:pPr>
        <w:spacing w:after="0" w:line="189"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In July 2010, Network Protection Sciences, LLC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In December 2011, the United States District Court for the Eastern District of Texas ordered the case to be transferred to the Northern District of California. In June 2012, the United States District Court for the Northern District of California dismissed the other defendants for misjoinder, and the case is proceeding with the company as the sole defendant. Currently the case remains in the early stages, and we have determined that, as of this time, there is not a reasonable possibility that a loss has been incurred.</w:t>
      </w:r>
    </w:p>
    <w:p>
      <w:pPr>
        <w:spacing w:after="0" w:line="17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June 2012, we received a letter from SRI International (“SRI”) claiming that we infringed certain SRI patents. Subsequently, we filed a complaint in the United States District Court for the Northern District of California seeking declaratory relief and a judgment that the SRI patents were invalid, unenforceable and/or not infringed by any of our products or services. The case is currently in the very early stages, and we have determined that, as of this time, there is not a reasonable possibility that a loss has been incurred.</w:t>
      </w:r>
    </w:p>
    <w:p>
      <w:pPr>
        <w:spacing w:after="0" w:line="183" w:lineRule="exact"/>
        <w:rPr>
          <w:sz w:val="20"/>
          <w:szCs w:val="20"/>
          <w:color w:val="auto"/>
        </w:rPr>
      </w:pPr>
    </w:p>
    <w:p>
      <w:pPr>
        <w:ind w:right="40" w:firstLine="486"/>
        <w:spacing w:after="0" w:line="277"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infringement of certain intellectual property rights, which may include patents, copyrights, trademarks, or trade secrets, and to pay judgments entered on such claims. Our exposure under these indemnification provisions is generally limited by the terms of our contracts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168" w:lineRule="exact"/>
        <w:rPr>
          <w:sz w:val="20"/>
          <w:szCs w:val="20"/>
          <w:color w:val="auto"/>
        </w:rPr>
      </w:pPr>
    </w:p>
    <w:p>
      <w:pPr>
        <w:ind w:left="500" w:right="8920" w:hanging="492"/>
        <w:spacing w:after="0" w:line="503" w:lineRule="auto"/>
        <w:tabs>
          <w:tab w:leader="none" w:pos="19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Options</w:t>
      </w: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weighted-average assumptions relating to our employee stock options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00" w:type="dxa"/>
            <w:vAlign w:val="bottom"/>
            <w:gridSpan w:val="3"/>
          </w:tcPr>
          <w:p>
            <w:pPr>
              <w:jc w:val="right"/>
              <w:ind w:right="67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50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w:t>
            </w:r>
          </w:p>
        </w:tc>
        <w:tc>
          <w:tcPr>
            <w:tcW w:w="150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w:t>
            </w:r>
          </w:p>
        </w:tc>
        <w:tc>
          <w:tcPr>
            <w:tcW w:w="144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30,</w:t>
            </w:r>
          </w:p>
        </w:tc>
        <w:tc>
          <w:tcPr>
            <w:tcW w:w="1360" w:type="dxa"/>
            <w:vAlign w:val="bottom"/>
          </w:tcPr>
          <w:p>
            <w:pPr>
              <w:jc w:val="right"/>
              <w:ind w:right="31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620" w:type="dxa"/>
            <w:vAlign w:val="bottom"/>
          </w:tcPr>
          <w:p>
            <w:pPr>
              <w:spacing w:after="0"/>
              <w:rPr>
                <w:sz w:val="18"/>
                <w:szCs w:val="18"/>
                <w:color w:val="auto"/>
              </w:rPr>
            </w:pPr>
          </w:p>
        </w:tc>
        <w:tc>
          <w:tcPr>
            <w:tcW w:w="1380" w:type="dxa"/>
            <w:vAlign w:val="bottom"/>
          </w:tcPr>
          <w:p>
            <w:pPr>
              <w:jc w:val="right"/>
              <w:ind w:right="453"/>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2011</w:t>
            </w:r>
          </w:p>
        </w:tc>
        <w:tc>
          <w:tcPr>
            <w:tcW w:w="140" w:type="dxa"/>
            <w:vAlign w:val="bottom"/>
          </w:tcPr>
          <w:p>
            <w:pPr>
              <w:spacing w:after="0"/>
              <w:rPr>
                <w:sz w:val="18"/>
                <w:szCs w:val="18"/>
                <w:color w:val="auto"/>
              </w:rPr>
            </w:pPr>
          </w:p>
        </w:tc>
        <w:tc>
          <w:tcPr>
            <w:tcW w:w="13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2011</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Volatility (%)</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46.4 - 51.9</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40.4 - 43.4</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0.7 - 0.9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1.8 - 2.0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Dividend rate (%)</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fair value ($)</w:t>
            </w:r>
          </w:p>
        </w:tc>
        <w:tc>
          <w:tcPr>
            <w:tcW w:w="13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8.93</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7.31</w:t>
            </w:r>
          </w:p>
        </w:tc>
      </w:tr>
      <w:tr>
        <w:trPr>
          <w:trHeight w:val="27"/>
        </w:trPr>
        <w:tc>
          <w:tcPr>
            <w:tcW w:w="56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620" w:right="2220" w:hanging="5129"/>
        <w:spacing w:after="0" w:line="559" w:lineRule="auto"/>
        <w:rPr>
          <w:sz w:val="20"/>
          <w:szCs w:val="20"/>
          <w:color w:val="auto"/>
        </w:rPr>
      </w:pPr>
      <w:r>
        <w:rPr>
          <w:rFonts w:ascii="Arial" w:cs="Arial" w:eastAsia="Arial" w:hAnsi="Arial"/>
          <w:sz w:val="18"/>
          <w:szCs w:val="18"/>
          <w:color w:val="auto"/>
        </w:rPr>
        <w:t>A summary of the option activity under our stock plans and changes during the reporting periods are presented below (in 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000's, except per share amounts and contractual life):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4"/>
          </w:tcPr>
          <w:p>
            <w:pPr>
              <w:ind w:left="500"/>
              <w:spacing w:after="0"/>
              <w:rPr>
                <w:sz w:val="20"/>
                <w:szCs w:val="20"/>
                <w:color w:val="auto"/>
              </w:rPr>
            </w:pPr>
            <w:r>
              <w:rPr>
                <w:rFonts w:ascii="Arial" w:cs="Arial" w:eastAsia="Arial" w:hAnsi="Arial"/>
                <w:sz w:val="16"/>
                <w:szCs w:val="16"/>
                <w:b w:val="1"/>
                <w:bCs w:val="1"/>
                <w:color w:val="auto"/>
              </w:rPr>
              <w:t>Options Outstanding</w:t>
            </w:r>
          </w:p>
        </w:tc>
        <w:tc>
          <w:tcPr>
            <w:tcW w:w="102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Weighted-</w:t>
            </w:r>
          </w:p>
        </w:tc>
        <w:tc>
          <w:tcPr>
            <w:tcW w:w="1020" w:type="dxa"/>
            <w:vAlign w:val="bottom"/>
          </w:tcPr>
          <w:p>
            <w:pPr>
              <w:spacing w:after="0"/>
              <w:rPr>
                <w:sz w:val="18"/>
                <w:szCs w:val="18"/>
                <w:color w:val="auto"/>
              </w:rPr>
            </w:pPr>
          </w:p>
        </w:tc>
      </w:tr>
      <w:tr>
        <w:trPr>
          <w:trHeight w:val="203"/>
        </w:trPr>
        <w:tc>
          <w:tcPr>
            <w:tcW w:w="5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Weighted-</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Average</w:t>
            </w:r>
          </w:p>
        </w:tc>
        <w:tc>
          <w:tcPr>
            <w:tcW w:w="10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Average</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Remaining</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6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Available</w:t>
            </w:r>
          </w:p>
        </w:tc>
        <w:tc>
          <w:tcPr>
            <w:tcW w:w="1000" w:type="dxa"/>
            <w:vAlign w:val="bottom"/>
          </w:tcPr>
          <w:p>
            <w:pPr>
              <w:jc w:val="right"/>
              <w:ind w:right="132"/>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Exercise</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Contractual</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6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For Grant</w:t>
            </w:r>
          </w:p>
        </w:tc>
        <w:tc>
          <w:tcPr>
            <w:tcW w:w="1000" w:type="dxa"/>
            <w:vAlign w:val="bottom"/>
          </w:tcPr>
          <w:p>
            <w:pPr>
              <w:jc w:val="right"/>
              <w:ind w:right="72"/>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Price ($)</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Life (Years)</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2"/>
              </w:rPr>
              <w:t>Value ($)</w:t>
            </w:r>
          </w:p>
        </w:tc>
      </w:tr>
      <w:tr>
        <w:trPr>
          <w:trHeight w:val="33"/>
        </w:trPr>
        <w:tc>
          <w:tcPr>
            <w:tcW w:w="56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2011</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17,399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21,389</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9.14</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7,750</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3,401</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26.38</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(714)</w:t>
            </w:r>
          </w:p>
        </w:tc>
        <w:tc>
          <w:tcPr>
            <w:tcW w:w="1120" w:type="dxa"/>
            <w:vAlign w:val="bottom"/>
            <w:gridSpan w:val="2"/>
          </w:tcPr>
          <w:p>
            <w:pPr>
              <w:jc w:val="right"/>
              <w:ind w:right="17"/>
              <w:spacing w:after="0"/>
              <w:rPr>
                <w:sz w:val="20"/>
                <w:szCs w:val="20"/>
                <w:color w:val="auto"/>
              </w:rPr>
            </w:pPr>
            <w:r>
              <w:rPr>
                <w:rFonts w:ascii="Arial" w:cs="Arial" w:eastAsia="Arial" w:hAnsi="Arial"/>
                <w:sz w:val="18"/>
                <w:szCs w:val="18"/>
                <w:color w:val="auto"/>
              </w:rPr>
              <w:t>18.76</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 (aggregate intrinsic value of $50,690)</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5.09</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Balance—June 30, 2012</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22,462</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21,600</w:t>
            </w:r>
          </w:p>
        </w:tc>
        <w:tc>
          <w:tcPr>
            <w:tcW w:w="1120" w:type="dxa"/>
            <w:vAlign w:val="bottom"/>
            <w:tcBorders>
              <w:bottom w:val="single" w:sz="8" w:color="CCEEFF"/>
            </w:tcBorders>
            <w:gridSpan w:val="2"/>
          </w:tcPr>
          <w:p>
            <w:pPr>
              <w:jc w:val="right"/>
              <w:ind w:right="17"/>
              <w:spacing w:after="0"/>
              <w:rPr>
                <w:sz w:val="20"/>
                <w:szCs w:val="20"/>
                <w:color w:val="auto"/>
              </w:rPr>
            </w:pPr>
            <w:r>
              <w:rPr>
                <w:rFonts w:ascii="Arial" w:cs="Arial" w:eastAsia="Arial" w:hAnsi="Arial"/>
                <w:sz w:val="18"/>
                <w:szCs w:val="18"/>
                <w:color w:val="auto"/>
              </w:rPr>
              <w:t>12.00</w:t>
            </w: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and expected to vest—June 30, 2012</w:t>
            </w: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20,773</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11.74</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4.55</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248,197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Options vested and exercisable—June 30, 2012</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11,389</w:t>
            </w:r>
          </w:p>
        </w:tc>
        <w:tc>
          <w:tcPr>
            <w:tcW w:w="1120" w:type="dxa"/>
            <w:vAlign w:val="bottom"/>
            <w:gridSpan w:val="2"/>
          </w:tcPr>
          <w:p>
            <w:pPr>
              <w:jc w:val="right"/>
              <w:ind w:right="17"/>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202,151</w:t>
            </w:r>
          </w:p>
        </w:tc>
      </w:tr>
    </w:tbl>
    <w:p>
      <w:pPr>
        <w:spacing w:after="0" w:line="229"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As of June 30, 2012, total compensation cost related to unvested stock-based awards granted to employees under our stock plans but not yet recognized was $83.6 million, net of estimated forfeitures. This cost is expected to be amortized on a straight-line basis over a weighted-average period of 2.9 years. Future option grants will increase the amount of compensation expense to be recorded in these periods.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120" w:firstLine="486"/>
        <w:spacing w:after="0" w:line="276" w:lineRule="auto"/>
        <w:rPr>
          <w:sz w:val="20"/>
          <w:szCs w:val="20"/>
          <w:color w:val="auto"/>
        </w:rPr>
      </w:pPr>
      <w:r>
        <w:rPr>
          <w:rFonts w:ascii="Arial" w:cs="Arial" w:eastAsia="Arial" w:hAnsi="Arial"/>
          <w:sz w:val="17"/>
          <w:szCs w:val="17"/>
          <w:color w:val="auto"/>
        </w:rPr>
        <w:t>In June 2011, our Board of Directors approved and authorized the issuance of 8,000,000 shares of common stock. Under the ESPP, we can grant stock purchase rights to all eligible employees during a six-month offering period with purchase dates at the end of each offering period. Shares are purchased through employees' payroll deductions, up to a maximum of 15% of employees' compensation for each purchase period, at purchase prices equal to 85% of the lesser of the fair market value of our common stock at the first trading date of the applicable offering period or the purchase date. No participant may purchase more than 4,000 shares of common stock in any one offering period.</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weighted-average assumptions relating to our ESPP:</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50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3"/>
          </w:tcPr>
          <w:p>
            <w:pPr>
              <w:ind w:left="76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2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500" w:type="dxa"/>
            <w:vAlign w:val="bottom"/>
            <w:gridSpan w:val="3"/>
          </w:tcPr>
          <w:p>
            <w:pPr>
              <w:ind w:left="380"/>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jc w:val="center"/>
              <w:ind w:left="239"/>
              <w:spacing w:after="0"/>
              <w:rPr>
                <w:sz w:val="20"/>
                <w:szCs w:val="20"/>
                <w:color w:val="auto"/>
              </w:rPr>
            </w:pPr>
            <w:r>
              <w:rPr>
                <w:rFonts w:ascii="Arial" w:cs="Arial" w:eastAsia="Arial" w:hAnsi="Arial"/>
                <w:sz w:val="16"/>
                <w:szCs w:val="16"/>
                <w:b w:val="1"/>
                <w:bCs w:val="1"/>
                <w:color w:val="auto"/>
                <w:w w:val="87"/>
              </w:rPr>
              <w:t>June 30,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30,</w:t>
            </w:r>
          </w:p>
        </w:tc>
        <w:tc>
          <w:tcPr>
            <w:tcW w:w="1360" w:type="dxa"/>
            <w:vAlign w:val="bottom"/>
          </w:tcPr>
          <w:p>
            <w:pPr>
              <w:ind w:left="380"/>
              <w:spacing w:after="0"/>
              <w:rPr>
                <w:sz w:val="20"/>
                <w:szCs w:val="20"/>
                <w:color w:val="auto"/>
              </w:rPr>
            </w:pPr>
            <w:r>
              <w:rPr>
                <w:rFonts w:ascii="Arial" w:cs="Arial" w:eastAsia="Arial" w:hAnsi="Arial"/>
                <w:sz w:val="16"/>
                <w:szCs w:val="16"/>
                <w:b w:val="1"/>
                <w:bCs w:val="1"/>
                <w:color w:val="auto"/>
              </w:rPr>
              <w:t>June 30,</w:t>
            </w:r>
          </w:p>
        </w:tc>
      </w:tr>
      <w:tr>
        <w:trPr>
          <w:trHeight w:val="210"/>
        </w:trPr>
        <w:tc>
          <w:tcPr>
            <w:tcW w:w="6500" w:type="dxa"/>
            <w:vAlign w:val="bottom"/>
            <w:gridSpan w:val="2"/>
          </w:tcPr>
          <w:p>
            <w:pPr>
              <w:ind w:left="6140"/>
              <w:spacing w:after="0"/>
              <w:rPr>
                <w:sz w:val="20"/>
                <w:szCs w:val="20"/>
                <w:color w:val="auto"/>
              </w:rPr>
            </w:pPr>
            <w:r>
              <w:rPr>
                <w:rFonts w:ascii="Arial" w:cs="Arial" w:eastAsia="Arial" w:hAnsi="Arial"/>
                <w:sz w:val="16"/>
                <w:szCs w:val="16"/>
                <w:b w:val="1"/>
                <w:bCs w:val="1"/>
                <w:color w:val="auto"/>
                <w:w w:val="95"/>
              </w:rPr>
              <w:t>2012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2011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360" w:type="dxa"/>
            <w:vAlign w:val="bottom"/>
          </w:tcPr>
          <w:p>
            <w:pPr>
              <w:ind w:left="520"/>
              <w:spacing w:after="0"/>
              <w:rPr>
                <w:sz w:val="20"/>
                <w:szCs w:val="20"/>
                <w:color w:val="auto"/>
              </w:rPr>
            </w:pPr>
            <w:r>
              <w:rPr>
                <w:rFonts w:ascii="Arial" w:cs="Arial" w:eastAsia="Arial" w:hAnsi="Arial"/>
                <w:sz w:val="16"/>
                <w:szCs w:val="16"/>
                <w:b w:val="1"/>
                <w:bCs w:val="1"/>
                <w:color w:val="auto"/>
              </w:rPr>
              <w:t>2011</w:t>
            </w:r>
          </w:p>
        </w:tc>
      </w:tr>
      <w:tr>
        <w:trPr>
          <w:trHeight w:val="33"/>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gridSpan w:val="2"/>
          </w:tcPr>
          <w:p>
            <w:pPr>
              <w:ind w:left="40"/>
              <w:spacing w:after="0"/>
              <w:rPr>
                <w:sz w:val="20"/>
                <w:szCs w:val="20"/>
                <w:color w:val="auto"/>
              </w:rPr>
            </w:pPr>
            <w:r>
              <w:rPr>
                <w:rFonts w:ascii="Arial" w:cs="Arial" w:eastAsia="Arial" w:hAnsi="Arial"/>
                <w:sz w:val="18"/>
                <w:szCs w:val="18"/>
                <w:color w:val="auto"/>
              </w:rPr>
              <w:t>Volatility (%)</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w w:val="96"/>
              </w:rPr>
              <w:t>58.2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gridSpan w:val="2"/>
          </w:tcPr>
          <w:p>
            <w:pPr>
              <w:ind w:left="40"/>
              <w:spacing w:after="0"/>
              <w:rPr>
                <w:sz w:val="20"/>
                <w:szCs w:val="20"/>
                <w:color w:val="auto"/>
              </w:rPr>
            </w:pPr>
            <w:r>
              <w:rPr>
                <w:rFonts w:ascii="Arial" w:cs="Arial" w:eastAsia="Arial" w:hAnsi="Arial"/>
                <w:sz w:val="18"/>
                <w:szCs w:val="18"/>
                <w:color w:val="auto"/>
              </w:rPr>
              <w:t>Dividend rate (%)</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6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Estimated fair value ($)</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6"/>
              </w:rPr>
              <w:t>8.08</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is included in costs and expenses as follows ($ amounts in 000's):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0" w:type="dxa"/>
            <w:vAlign w:val="bottom"/>
            <w:gridSpan w:val="4"/>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2800" w:type="dxa"/>
            <w:vAlign w:val="bottom"/>
            <w:gridSpan w:val="3"/>
          </w:tcPr>
          <w:p>
            <w:pPr>
              <w:jc w:val="right"/>
              <w:ind w:right="6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50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w:t>
            </w:r>
          </w:p>
        </w:tc>
        <w:tc>
          <w:tcPr>
            <w:tcW w:w="150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w:t>
            </w:r>
          </w:p>
        </w:tc>
        <w:tc>
          <w:tcPr>
            <w:tcW w:w="144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30,</w:t>
            </w:r>
          </w:p>
        </w:tc>
        <w:tc>
          <w:tcPr>
            <w:tcW w:w="1360" w:type="dxa"/>
            <w:vAlign w:val="bottom"/>
          </w:tcPr>
          <w:p>
            <w:pPr>
              <w:jc w:val="right"/>
              <w:ind w:right="31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620" w:type="dxa"/>
            <w:vAlign w:val="bottom"/>
          </w:tcPr>
          <w:p>
            <w:pPr>
              <w:spacing w:after="0"/>
              <w:rPr>
                <w:sz w:val="18"/>
                <w:szCs w:val="18"/>
                <w:color w:val="auto"/>
              </w:rPr>
            </w:pPr>
          </w:p>
        </w:tc>
        <w:tc>
          <w:tcPr>
            <w:tcW w:w="1380" w:type="dxa"/>
            <w:vAlign w:val="bottom"/>
          </w:tcPr>
          <w:p>
            <w:pPr>
              <w:jc w:val="right"/>
              <w:ind w:right="453"/>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380" w:type="dxa"/>
            <w:vAlign w:val="bottom"/>
          </w:tcPr>
          <w:p>
            <w:pPr>
              <w:jc w:val="right"/>
              <w:ind w:right="432"/>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3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2011</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services revenue</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560</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2,292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3,475</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6,918</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3,581</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1,296</w:t>
            </w:r>
          </w:p>
        </w:tc>
      </w:tr>
      <w:tr>
        <w:trPr>
          <w:trHeight w:val="237"/>
        </w:trPr>
        <w:tc>
          <w:tcPr>
            <w:tcW w:w="5620" w:type="dxa"/>
            <w:vAlign w:val="bottom"/>
          </w:tcPr>
          <w:p>
            <w:pPr>
              <w:spacing w:after="0"/>
              <w:rPr>
                <w:sz w:val="20"/>
                <w:szCs w:val="20"/>
                <w:color w:val="auto"/>
              </w:rPr>
            </w:pP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7,852</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3,870</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15,098</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6,940</w:t>
            </w:r>
          </w:p>
        </w:tc>
      </w:tr>
      <w:tr>
        <w:trPr>
          <w:trHeight w:val="27"/>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stock-based compensation expense by award type ($ amounts in 000's):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00" w:type="dxa"/>
            <w:vAlign w:val="bottom"/>
            <w:gridSpan w:val="3"/>
          </w:tcPr>
          <w:p>
            <w:pPr>
              <w:jc w:val="right"/>
              <w:ind w:right="67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50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w:t>
            </w:r>
          </w:p>
        </w:tc>
        <w:tc>
          <w:tcPr>
            <w:tcW w:w="150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w:t>
            </w:r>
          </w:p>
        </w:tc>
        <w:tc>
          <w:tcPr>
            <w:tcW w:w="144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30,</w:t>
            </w:r>
          </w:p>
        </w:tc>
        <w:tc>
          <w:tcPr>
            <w:tcW w:w="1360" w:type="dxa"/>
            <w:vAlign w:val="bottom"/>
          </w:tcPr>
          <w:p>
            <w:pPr>
              <w:jc w:val="right"/>
              <w:ind w:right="31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62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2011</w:t>
            </w:r>
          </w:p>
        </w:tc>
        <w:tc>
          <w:tcPr>
            <w:tcW w:w="140" w:type="dxa"/>
            <w:vAlign w:val="bottom"/>
          </w:tcPr>
          <w:p>
            <w:pPr>
              <w:spacing w:after="0"/>
              <w:rPr>
                <w:sz w:val="18"/>
                <w:szCs w:val="18"/>
                <w:color w:val="auto"/>
              </w:rPr>
            </w:pPr>
          </w:p>
        </w:tc>
        <w:tc>
          <w:tcPr>
            <w:tcW w:w="13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2011</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Options—employee</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6,649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12,682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6,684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Options—non-employee</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256</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1,171</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spacing w:after="0"/>
              <w:rPr>
                <w:sz w:val="20"/>
                <w:szCs w:val="20"/>
                <w:color w:val="auto"/>
              </w:rPr>
            </w:pPr>
          </w:p>
        </w:tc>
        <w:tc>
          <w:tcPr>
            <w:tcW w:w="13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7,852</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3,870</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15,098</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6,940</w:t>
            </w:r>
          </w:p>
        </w:tc>
      </w:tr>
      <w:tr>
        <w:trPr>
          <w:trHeight w:val="27"/>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The effective tax rate was 37% for the three months ended June 30, 2012, compared to an effective tax rate of 25% for the three months ended June 30, 2011. The effective tax rate was 33% for the six months ended June 30, 2012, compared to an effective tax rate of 25% for the six months ended June 30,</w:t>
      </w:r>
    </w:p>
    <w:p>
      <w:pPr>
        <w:spacing w:after="0" w:line="255" w:lineRule="auto"/>
        <w:rPr>
          <w:sz w:val="20"/>
          <w:szCs w:val="20"/>
          <w:color w:val="auto"/>
        </w:rPr>
      </w:pPr>
      <w:r>
        <w:rPr>
          <w:rFonts w:ascii="Arial" w:cs="Arial" w:eastAsia="Arial" w:hAnsi="Arial"/>
          <w:sz w:val="18"/>
          <w:szCs w:val="18"/>
          <w:color w:val="auto"/>
        </w:rPr>
        <w:t>2011. The provision for income taxes for the three months ended June 30, 2012 and June 30, 2011 is comprised of foreign income taxes, U.S. federal and state taxes, and withholding tax. The provision for income taxes for the six months ended June 30, 2012 and June 30, 2011 is comprised of foreign income taxes, U.S. federal and state taxes, and withholding tax.</w:t>
      </w:r>
    </w:p>
    <w:p>
      <w:pPr>
        <w:spacing w:after="0" w:line="190"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As of June 30, 2012 and December 31, 2011, unrecognized tax benefits were $23.1 million and $19.3 million, respectively. The total amount of unrecognized tax benefits, if recognized, would favorably impact the effective tax rate.</w:t>
      </w:r>
    </w:p>
    <w:p>
      <w:pPr>
        <w:spacing w:after="0" w:line="170"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June 30, 2012, we had approximately $0.5 million accrued for estimated interest related to uncertain tax positions. We do not expect any material unrecognized tax benefits to expire within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w:t>
      </w:r>
    </w:p>
    <w:p>
      <w:pPr>
        <w:spacing w:after="0" w:line="229" w:lineRule="exact"/>
        <w:rPr>
          <w:sz w:val="20"/>
          <w:szCs w:val="20"/>
          <w:color w:val="auto"/>
        </w:rPr>
      </w:pPr>
    </w:p>
    <w:p>
      <w:pPr>
        <w:jc w:val="both"/>
        <w:ind w:right="120" w:firstLine="486"/>
        <w:spacing w:after="0" w:line="276" w:lineRule="auto"/>
        <w:rPr>
          <w:sz w:val="20"/>
          <w:szCs w:val="20"/>
          <w:color w:val="auto"/>
        </w:rPr>
      </w:pPr>
      <w:r>
        <w:rPr>
          <w:rFonts w:ascii="Arial" w:cs="Arial" w:eastAsia="Arial" w:hAnsi="Arial"/>
          <w:sz w:val="17"/>
          <w:szCs w:val="17"/>
          <w:color w:val="auto"/>
        </w:rPr>
        <w:t>The 401(k) tax-deferred savings plan (the “401(k) Plan”) permits participants to make contributions by salary deduction pursuant to Section 401(k) of the Internal Revenue Code of 1986, as amended. Under the 401(k) Plan, participating employees may defer a portion of their pre-tax earnings, up to the IRS annual contribution limit. In Canada, we have a Group Registered Retirement Savings Plan program (the “RRSP Plan”) which permits participants to make tax deductible contributions up to the maximum contribution limits under the Income Tax Act. Our aggregate matching contributions to the 401(k) Plan and RRSP Plan for the three and six months ended June 30, 2012 were $0.5 million and $0.9 million, respectively.</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SIGNIFICANT CUSTOMER INFORMATION</w:t>
      </w:r>
    </w:p>
    <w:p>
      <w:pPr>
        <w:spacing w:after="0" w:line="229"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are considered to be in a single reportable segment and operating unit structure.</w:t>
      </w:r>
    </w:p>
    <w:p>
      <w:pPr>
        <w:sectPr>
          <w:pgSz w:w="11900" w:h="16838" w:orient="portrait"/>
          <w:cols w:equalWidth="0" w:num="1">
            <w:col w:w="11420"/>
          </w:cols>
          <w:pgMar w:left="240" w:top="125"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and property and equipment— net, by geographic region ($ amounts in 000's):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96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40" w:type="dxa"/>
            <w:vAlign w:val="bottom"/>
            <w:gridSpan w:val="3"/>
          </w:tcPr>
          <w:p>
            <w:pPr>
              <w:jc w:val="right"/>
              <w:ind w:right="6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50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30,</w:t>
            </w:r>
          </w:p>
        </w:tc>
        <w:tc>
          <w:tcPr>
            <w:tcW w:w="146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w:t>
            </w:r>
          </w:p>
        </w:tc>
        <w:tc>
          <w:tcPr>
            <w:tcW w:w="148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w:t>
            </w:r>
          </w:p>
        </w:tc>
        <w:tc>
          <w:tcPr>
            <w:tcW w:w="1360" w:type="dxa"/>
            <w:vAlign w:val="bottom"/>
          </w:tcPr>
          <w:p>
            <w:pPr>
              <w:jc w:val="right"/>
              <w:ind w:right="312"/>
              <w:spacing w:after="0"/>
              <w:rPr>
                <w:sz w:val="20"/>
                <w:szCs w:val="20"/>
                <w:color w:val="auto"/>
              </w:rPr>
            </w:pPr>
            <w:r>
              <w:rPr>
                <w:rFonts w:ascii="Arial" w:cs="Arial" w:eastAsia="Arial" w:hAnsi="Arial"/>
                <w:sz w:val="16"/>
                <w:szCs w:val="16"/>
                <w:b w:val="1"/>
                <w:bCs w:val="1"/>
                <w:color w:val="auto"/>
              </w:rPr>
              <w:t>June 30,</w:t>
            </w:r>
          </w:p>
        </w:tc>
      </w:tr>
      <w:tr>
        <w:trPr>
          <w:trHeight w:val="176"/>
        </w:trPr>
        <w:tc>
          <w:tcPr>
            <w:tcW w:w="56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1360" w:type="dxa"/>
            <w:vAlign w:val="bottom"/>
          </w:tcPr>
          <w:p>
            <w:pPr>
              <w:jc w:val="right"/>
              <w:ind w:right="433"/>
              <w:spacing w:after="0" w:line="176" w:lineRule="exact"/>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5"/>
                <w:szCs w:val="15"/>
                <w:color w:val="auto"/>
              </w:rPr>
            </w:pPr>
          </w:p>
        </w:tc>
        <w:tc>
          <w:tcPr>
            <w:tcW w:w="1360" w:type="dxa"/>
            <w:vAlign w:val="bottom"/>
          </w:tcPr>
          <w:p>
            <w:pPr>
              <w:jc w:val="right"/>
              <w:ind w:right="432"/>
              <w:spacing w:after="0" w:line="176" w:lineRule="exact"/>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5"/>
                <w:szCs w:val="15"/>
                <w:color w:val="auto"/>
              </w:rPr>
            </w:pPr>
          </w:p>
        </w:tc>
        <w:tc>
          <w:tcPr>
            <w:tcW w:w="1360" w:type="dxa"/>
            <w:vAlign w:val="bottom"/>
          </w:tcPr>
          <w:p>
            <w:pPr>
              <w:jc w:val="right"/>
              <w:ind w:right="433"/>
              <w:spacing w:after="0" w:line="176" w:lineRule="exact"/>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5"/>
                <w:szCs w:val="15"/>
                <w:color w:val="auto"/>
              </w:rPr>
            </w:pPr>
          </w:p>
        </w:tc>
        <w:tc>
          <w:tcPr>
            <w:tcW w:w="1360" w:type="dxa"/>
            <w:vAlign w:val="bottom"/>
          </w:tcPr>
          <w:p>
            <w:pPr>
              <w:jc w:val="right"/>
              <w:ind w:right="432"/>
              <w:spacing w:after="0" w:line="176" w:lineRule="exact"/>
              <w:rPr>
                <w:sz w:val="20"/>
                <w:szCs w:val="20"/>
                <w:color w:val="auto"/>
              </w:rPr>
            </w:pPr>
            <w:r>
              <w:rPr>
                <w:rFonts w:ascii="Arial" w:cs="Arial" w:eastAsia="Arial" w:hAnsi="Arial"/>
                <w:sz w:val="16"/>
                <w:szCs w:val="16"/>
                <w:b w:val="1"/>
                <w:bCs w:val="1"/>
                <w:color w:val="auto"/>
              </w:rPr>
              <w:t>2011</w:t>
            </w: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50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8"/>
                <w:szCs w:val="18"/>
                <w:color w:val="auto"/>
              </w:rPr>
              <w:t>United States</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34,190</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28,103</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65,309</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52,273</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17,732</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12,438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33,044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23,913</w:t>
            </w:r>
          </w:p>
        </w:tc>
      </w:tr>
      <w:tr>
        <w:trPr>
          <w:trHeight w:val="237"/>
        </w:trPr>
        <w:tc>
          <w:tcPr>
            <w:tcW w:w="40" w:type="dxa"/>
            <w:vAlign w:val="bottom"/>
          </w:tcPr>
          <w:p>
            <w:pPr>
              <w:spacing w:after="0"/>
              <w:rPr>
                <w:sz w:val="20"/>
                <w:szCs w:val="20"/>
                <w:color w:val="auto"/>
              </w:rPr>
            </w:pPr>
          </w:p>
        </w:tc>
        <w:tc>
          <w:tcPr>
            <w:tcW w:w="5580" w:type="dxa"/>
            <w:vAlign w:val="bottom"/>
            <w:gridSpan w:val="2"/>
          </w:tcPr>
          <w:p>
            <w:pPr>
              <w:ind w:left="140"/>
              <w:spacing w:after="0"/>
              <w:rPr>
                <w:sz w:val="20"/>
                <w:szCs w:val="20"/>
                <w:color w:val="auto"/>
              </w:rPr>
            </w:pPr>
            <w:r>
              <w:rPr>
                <w:rFonts w:ascii="Arial" w:cs="Arial" w:eastAsia="Arial" w:hAnsi="Arial"/>
                <w:sz w:val="18"/>
                <w:szCs w:val="18"/>
                <w:color w:val="auto"/>
              </w:rPr>
              <w:t>Total Americas</w:t>
            </w: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51,922</w:t>
            </w:r>
          </w:p>
        </w:tc>
        <w:tc>
          <w:tcPr>
            <w:tcW w:w="140" w:type="dxa"/>
            <w:vAlign w:val="bottom"/>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40,541</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98,353</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76,186</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Middle East and Africa (“EMEA”)</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43,664</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36,633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84,550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70,274</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Asia Pacific and Japan (“APAC”)</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33,376</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25,849</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63,306</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49,829</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128,962</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103,023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246,209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196,289</w:t>
            </w: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During the three and six months ended June 30, 2012, one distributor, Exclusive Networks, accounted for 11% and 12% of revenue,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2011, no single customer accounted for more than 10% of revenue.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jc w:val="right"/>
              <w:ind w:right="192"/>
              <w:spacing w:after="0"/>
              <w:rPr>
                <w:sz w:val="20"/>
                <w:szCs w:val="20"/>
                <w:color w:val="auto"/>
              </w:rPr>
            </w:pPr>
            <w:r>
              <w:rPr>
                <w:rFonts w:ascii="Arial" w:cs="Arial" w:eastAsia="Arial" w:hAnsi="Arial"/>
                <w:sz w:val="16"/>
                <w:szCs w:val="16"/>
                <w:b w:val="1"/>
                <w:bCs w:val="1"/>
                <w:color w:val="auto"/>
              </w:rPr>
              <w:t>December 31,</w:t>
            </w:r>
          </w:p>
        </w:tc>
      </w:tr>
      <w:tr>
        <w:trPr>
          <w:trHeight w:val="176"/>
        </w:trPr>
        <w:tc>
          <w:tcPr>
            <w:tcW w:w="83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Property and Equipment—Net</w:t>
            </w:r>
          </w:p>
        </w:tc>
        <w:tc>
          <w:tcPr>
            <w:tcW w:w="148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5"/>
                <w:szCs w:val="15"/>
                <w:color w:val="auto"/>
              </w:rPr>
            </w:pPr>
          </w:p>
        </w:tc>
        <w:tc>
          <w:tcPr>
            <w:tcW w:w="148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2011</w:t>
            </w:r>
          </w:p>
        </w:tc>
      </w:tr>
      <w:tr>
        <w:trPr>
          <w:trHeight w:val="48"/>
        </w:trPr>
        <w:tc>
          <w:tcPr>
            <w:tcW w:w="40" w:type="dxa"/>
            <w:vAlign w:val="bottom"/>
            <w:tcBorders>
              <w:bottom w:val="single" w:sz="8" w:color="CCEEFF"/>
            </w:tcBorders>
          </w:tcPr>
          <w:p>
            <w:pPr>
              <w:spacing w:after="0"/>
              <w:rPr>
                <w:sz w:val="4"/>
                <w:szCs w:val="4"/>
                <w:color w:val="auto"/>
              </w:rPr>
            </w:pPr>
          </w:p>
        </w:tc>
        <w:tc>
          <w:tcPr>
            <w:tcW w:w="2140" w:type="dxa"/>
            <w:vAlign w:val="bottom"/>
            <w:tcBorders>
              <w:top w:val="single" w:sz="8" w:color="auto"/>
              <w:bottom w:val="single" w:sz="8" w:color="CCEEFF"/>
            </w:tcBorders>
          </w:tcPr>
          <w:p>
            <w:pPr>
              <w:spacing w:after="0"/>
              <w:rPr>
                <w:sz w:val="4"/>
                <w:szCs w:val="4"/>
                <w:color w:val="auto"/>
              </w:rPr>
            </w:pPr>
          </w:p>
        </w:tc>
        <w:tc>
          <w:tcPr>
            <w:tcW w:w="614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44"/>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United States</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3,374</w:t>
            </w:r>
          </w:p>
        </w:tc>
        <w:tc>
          <w:tcPr>
            <w:tcW w:w="1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2,225</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Canada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4,062</w:t>
            </w:r>
          </w:p>
        </w:tc>
      </w:tr>
      <w:tr>
        <w:trPr>
          <w:trHeight w:val="243"/>
        </w:trPr>
        <w:tc>
          <w:tcPr>
            <w:tcW w:w="40" w:type="dxa"/>
            <w:vAlign w:val="bottom"/>
          </w:tcPr>
          <w:p>
            <w:pPr>
              <w:spacing w:after="0"/>
              <w:rPr>
                <w:sz w:val="21"/>
                <w:szCs w:val="21"/>
                <w:color w:val="auto"/>
              </w:rPr>
            </w:pP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Other Americas</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Americas</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8,105</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6,320</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EMEA</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1,242</w:t>
            </w:r>
          </w:p>
        </w:tc>
        <w:tc>
          <w:tcPr>
            <w:tcW w:w="1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805</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APAC</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w:t>
            </w:r>
          </w:p>
        </w:tc>
      </w:tr>
      <w:tr>
        <w:trPr>
          <w:trHeight w:val="257"/>
        </w:trPr>
        <w:tc>
          <w:tcPr>
            <w:tcW w:w="40" w:type="dxa"/>
            <w:vAlign w:val="bottom"/>
          </w:tcPr>
          <w:p>
            <w:pPr>
              <w:spacing w:after="0"/>
              <w:rPr>
                <w:sz w:val="22"/>
                <w:szCs w:val="22"/>
                <w:color w:val="auto"/>
              </w:rPr>
            </w:pP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Total property and equipment—net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10,247</w:t>
            </w:r>
          </w:p>
        </w:tc>
        <w:tc>
          <w:tcPr>
            <w:tcW w:w="14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7,966</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FOREIGN CURRENCY DERIVATIVES</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notional value of our outstanding forward exchange contracts that were entered into in order to hedge balance sheet accounts and cash flows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2012 consisted of the following ($ amounts in 000's):</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Buy/Sell</w:t>
            </w:r>
          </w:p>
        </w:tc>
        <w:tc>
          <w:tcPr>
            <w:tcW w:w="1920" w:type="dxa"/>
            <w:vAlign w:val="bottom"/>
          </w:tcPr>
          <w:p>
            <w:pPr>
              <w:jc w:val="right"/>
              <w:ind w:right="550"/>
              <w:spacing w:after="0"/>
              <w:rPr>
                <w:sz w:val="20"/>
                <w:szCs w:val="20"/>
                <w:color w:val="auto"/>
              </w:rPr>
            </w:pPr>
            <w:r>
              <w:rPr>
                <w:rFonts w:ascii="Arial" w:cs="Arial" w:eastAsia="Arial" w:hAnsi="Arial"/>
                <w:sz w:val="18"/>
                <w:szCs w:val="18"/>
                <w:b w:val="1"/>
                <w:bCs w:val="1"/>
                <w:color w:val="auto"/>
              </w:rPr>
              <w:t>Notional</w:t>
            </w:r>
          </w:p>
        </w:tc>
      </w:tr>
      <w:tr>
        <w:trPr>
          <w:trHeight w:val="27"/>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Contracts:</w:t>
            </w:r>
          </w:p>
        </w:tc>
        <w:tc>
          <w:tcPr>
            <w:tcW w:w="1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03"/>
        </w:trPr>
        <w:tc>
          <w:tcPr>
            <w:tcW w:w="728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Currency</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65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50"/>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CAD</w:t>
            </w:r>
          </w:p>
        </w:tc>
        <w:tc>
          <w:tcPr>
            <w:tcW w:w="216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6"/>
              </w:rPr>
              <w:t>Buy</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14,456</w:t>
            </w:r>
          </w:p>
        </w:tc>
      </w:tr>
      <w:tr>
        <w:trPr>
          <w:trHeight w:val="243"/>
        </w:trPr>
        <w:tc>
          <w:tcPr>
            <w:tcW w:w="7280" w:type="dxa"/>
            <w:vAlign w:val="bottom"/>
            <w:gridSpan w:val="3"/>
          </w:tcPr>
          <w:p>
            <w:pPr>
              <w:ind w:left="20"/>
              <w:spacing w:after="0"/>
              <w:rPr>
                <w:sz w:val="20"/>
                <w:szCs w:val="20"/>
                <w:color w:val="auto"/>
              </w:rPr>
            </w:pPr>
            <w:r>
              <w:rPr>
                <w:rFonts w:ascii="Arial" w:cs="Arial" w:eastAsia="Arial" w:hAnsi="Arial"/>
                <w:sz w:val="18"/>
                <w:szCs w:val="18"/>
                <w:color w:val="auto"/>
              </w:rPr>
              <w:t>EUR</w:t>
            </w: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Buy</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5,259</w:t>
            </w: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GBP</w:t>
            </w:r>
          </w:p>
        </w:tc>
        <w:tc>
          <w:tcPr>
            <w:tcW w:w="216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6"/>
              </w:rPr>
              <w:t>Buy</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2,441</w:t>
            </w: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0"/>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1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03"/>
        </w:trPr>
        <w:tc>
          <w:tcPr>
            <w:tcW w:w="728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Currency</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65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50"/>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CAD</w:t>
            </w:r>
          </w:p>
        </w:tc>
        <w:tc>
          <w:tcPr>
            <w:tcW w:w="216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6"/>
              </w:rPr>
              <w:t>Buy</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4,907</w:t>
            </w:r>
          </w:p>
        </w:tc>
      </w:tr>
      <w:tr>
        <w:trPr>
          <w:trHeight w:val="243"/>
        </w:trPr>
        <w:tc>
          <w:tcPr>
            <w:tcW w:w="7280" w:type="dxa"/>
            <w:vAlign w:val="bottom"/>
            <w:gridSpan w:val="3"/>
          </w:tcPr>
          <w:p>
            <w:pPr>
              <w:ind w:left="20"/>
              <w:spacing w:after="0"/>
              <w:rPr>
                <w:sz w:val="20"/>
                <w:szCs w:val="20"/>
                <w:color w:val="auto"/>
              </w:rPr>
            </w:pPr>
            <w:r>
              <w:rPr>
                <w:rFonts w:ascii="Arial" w:cs="Arial" w:eastAsia="Arial" w:hAnsi="Arial"/>
                <w:sz w:val="18"/>
                <w:szCs w:val="18"/>
                <w:color w:val="auto"/>
              </w:rPr>
              <w:t>EUR</w:t>
            </w: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Buy</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2,517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ACQUISITION</w:t>
      </w:r>
    </w:p>
    <w:p>
      <w:pPr>
        <w:spacing w:after="0" w:line="229"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On March 8, 2012, we completed the acquisition of IntruGuard Devices (“IntruGuard”), a leading supplier of Intelligent Availability Protection Systems, for a total consideration of $950,000. Of the total consideration, $400,000 is being withheld in</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escrow as security for IntruGuard's indemnification obligations. We accounted for this acquisition as a purchase of a business and, accordingly, the total purchase price has been allocated to tangible and identifiable intangible assets acquired and liabilities assumed based on their estimated fair market values as of the acquisition date. The purchase price allocation resulted in purchased tangible assets of $53,000 and liabilities of $43,000, and purchased identifiable intangible assets of $940,000. Identifiable intangible assets consist of purchased technology. The fair value assigned to identifiable intangible assets acquired was determined using the income approach, which discounts expected future cash flows to present value using estimates and assumptions determined by us. Purchased identifiable intangible assets are being expensed as Cost of revenue on a straight-line basis over three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our intangible assets with definite lives included in other assets ($ amounts in 000's):</w:t>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1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June 30, 2012</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60" w:type="dxa"/>
            <w:vAlign w:val="bottom"/>
          </w:tcPr>
          <w:p>
            <w:pPr>
              <w:jc w:val="center"/>
              <w:ind w:right="137"/>
              <w:spacing w:after="0"/>
              <w:rPr>
                <w:sz w:val="20"/>
                <w:szCs w:val="20"/>
                <w:color w:val="auto"/>
              </w:rPr>
            </w:pPr>
            <w:r>
              <w:rPr>
                <w:rFonts w:ascii="Arial" w:cs="Arial" w:eastAsia="Arial" w:hAnsi="Arial"/>
                <w:sz w:val="16"/>
                <w:szCs w:val="16"/>
                <w:b w:val="1"/>
                <w:bCs w:val="1"/>
                <w:color w:val="auto"/>
                <w:w w:val="90"/>
              </w:rPr>
              <w:t>December 31, 2011</w:t>
            </w:r>
          </w:p>
        </w:tc>
        <w:tc>
          <w:tcPr>
            <w:tcW w:w="1180" w:type="dxa"/>
            <w:vAlign w:val="bottom"/>
          </w:tcPr>
          <w:p>
            <w:pPr>
              <w:spacing w:after="0"/>
              <w:rPr>
                <w:sz w:val="18"/>
                <w:szCs w:val="18"/>
                <w:color w:val="auto"/>
              </w:rPr>
            </w:pPr>
          </w:p>
        </w:tc>
      </w:tr>
      <w:tr>
        <w:trPr>
          <w:trHeight w:val="33"/>
        </w:trPr>
        <w:tc>
          <w:tcPr>
            <w:tcW w:w="19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1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Accumulated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60" w:type="dxa"/>
            <w:vAlign w:val="bottom"/>
          </w:tcPr>
          <w:p>
            <w:pPr>
              <w:jc w:val="center"/>
              <w:ind w:right="177"/>
              <w:spacing w:after="0"/>
              <w:rPr>
                <w:sz w:val="20"/>
                <w:szCs w:val="20"/>
                <w:color w:val="auto"/>
              </w:rPr>
            </w:pPr>
            <w:r>
              <w:rPr>
                <w:rFonts w:ascii="Arial" w:cs="Arial" w:eastAsia="Arial" w:hAnsi="Arial"/>
                <w:sz w:val="16"/>
                <w:szCs w:val="16"/>
                <w:b w:val="1"/>
                <w:bCs w:val="1"/>
                <w:color w:val="auto"/>
                <w:w w:val="89"/>
              </w:rPr>
              <w:t>Accumulated</w:t>
            </w:r>
          </w:p>
        </w:tc>
        <w:tc>
          <w:tcPr>
            <w:tcW w:w="1180" w:type="dxa"/>
            <w:vAlign w:val="bottom"/>
          </w:tcPr>
          <w:p>
            <w:pPr>
              <w:spacing w:after="0"/>
              <w:rPr>
                <w:sz w:val="18"/>
                <w:szCs w:val="18"/>
                <w:color w:val="auto"/>
              </w:rPr>
            </w:pPr>
          </w:p>
        </w:tc>
      </w:tr>
      <w:tr>
        <w:trPr>
          <w:trHeight w:val="210"/>
        </w:trPr>
        <w:tc>
          <w:tcPr>
            <w:tcW w:w="1920" w:type="dxa"/>
            <w:vAlign w:val="bottom"/>
          </w:tcPr>
          <w:p>
            <w:pPr>
              <w:spacing w:after="0"/>
              <w:rPr>
                <w:sz w:val="18"/>
                <w:szCs w:val="18"/>
                <w:color w:val="auto"/>
              </w:rPr>
            </w:pPr>
          </w:p>
        </w:tc>
        <w:tc>
          <w:tcPr>
            <w:tcW w:w="1480" w:type="dxa"/>
            <w:vAlign w:val="bottom"/>
            <w:gridSpan w:val="2"/>
          </w:tcPr>
          <w:p>
            <w:pPr>
              <w:ind w:left="460"/>
              <w:spacing w:after="0"/>
              <w:rPr>
                <w:sz w:val="20"/>
                <w:szCs w:val="20"/>
                <w:color w:val="auto"/>
              </w:rPr>
            </w:pPr>
            <w:r>
              <w:rPr>
                <w:rFonts w:ascii="Arial" w:cs="Arial" w:eastAsia="Arial" w:hAnsi="Arial"/>
                <w:sz w:val="16"/>
                <w:szCs w:val="16"/>
                <w:b w:val="1"/>
                <w:bCs w:val="1"/>
                <w:color w:val="auto"/>
              </w:rPr>
              <w:t>Gross</w:t>
            </w:r>
          </w:p>
        </w:tc>
        <w:tc>
          <w:tcPr>
            <w:tcW w:w="18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Amortization</w:t>
            </w:r>
          </w:p>
        </w:tc>
        <w:tc>
          <w:tcPr>
            <w:tcW w:w="1440" w:type="dxa"/>
            <w:vAlign w:val="bottom"/>
            <w:gridSpan w:val="2"/>
          </w:tcPr>
          <w:p>
            <w:pPr>
              <w:ind w:left="540"/>
              <w:spacing w:after="0"/>
              <w:rPr>
                <w:sz w:val="20"/>
                <w:szCs w:val="20"/>
                <w:color w:val="auto"/>
              </w:rPr>
            </w:pPr>
            <w:r>
              <w:rPr>
                <w:rFonts w:ascii="Arial" w:cs="Arial" w:eastAsia="Arial" w:hAnsi="Arial"/>
                <w:sz w:val="16"/>
                <w:szCs w:val="16"/>
                <w:b w:val="1"/>
                <w:bCs w:val="1"/>
                <w:color w:val="auto"/>
              </w:rPr>
              <w:t>Net</w:t>
            </w:r>
          </w:p>
        </w:tc>
        <w:tc>
          <w:tcPr>
            <w:tcW w:w="1420" w:type="dxa"/>
            <w:vAlign w:val="bottom"/>
          </w:tcPr>
          <w:p>
            <w:pPr>
              <w:jc w:val="right"/>
              <w:ind w:right="474"/>
              <w:spacing w:after="0"/>
              <w:rPr>
                <w:sz w:val="20"/>
                <w:szCs w:val="20"/>
                <w:color w:val="auto"/>
              </w:rPr>
            </w:pPr>
            <w:r>
              <w:rPr>
                <w:rFonts w:ascii="Arial" w:cs="Arial" w:eastAsia="Arial" w:hAnsi="Arial"/>
                <w:sz w:val="16"/>
                <w:szCs w:val="16"/>
                <w:b w:val="1"/>
                <w:bCs w:val="1"/>
                <w:color w:val="auto"/>
              </w:rPr>
              <w:t>Gross</w:t>
            </w:r>
          </w:p>
        </w:tc>
        <w:tc>
          <w:tcPr>
            <w:tcW w:w="1960" w:type="dxa"/>
            <w:vAlign w:val="bottom"/>
          </w:tcPr>
          <w:p>
            <w:pPr>
              <w:jc w:val="center"/>
              <w:ind w:right="177"/>
              <w:spacing w:after="0"/>
              <w:rPr>
                <w:sz w:val="20"/>
                <w:szCs w:val="20"/>
                <w:color w:val="auto"/>
              </w:rPr>
            </w:pPr>
            <w:r>
              <w:rPr>
                <w:rFonts w:ascii="Arial" w:cs="Arial" w:eastAsia="Arial" w:hAnsi="Arial"/>
                <w:sz w:val="16"/>
                <w:szCs w:val="16"/>
                <w:b w:val="1"/>
                <w:bCs w:val="1"/>
                <w:color w:val="auto"/>
                <w:w w:val="96"/>
              </w:rPr>
              <w:t>Amortization</w:t>
            </w:r>
          </w:p>
        </w:tc>
        <w:tc>
          <w:tcPr>
            <w:tcW w:w="1180" w:type="dxa"/>
            <w:vAlign w:val="bottom"/>
          </w:tcPr>
          <w:p>
            <w:pPr>
              <w:jc w:val="right"/>
              <w:ind w:right="474"/>
              <w:spacing w:after="0"/>
              <w:rPr>
                <w:sz w:val="20"/>
                <w:szCs w:val="20"/>
                <w:color w:val="auto"/>
              </w:rPr>
            </w:pPr>
            <w:r>
              <w:rPr>
                <w:rFonts w:ascii="Arial" w:cs="Arial" w:eastAsia="Arial" w:hAnsi="Arial"/>
                <w:sz w:val="16"/>
                <w:szCs w:val="16"/>
                <w:b w:val="1"/>
                <w:bCs w:val="1"/>
                <w:color w:val="auto"/>
              </w:rPr>
              <w:t>Net</w:t>
            </w:r>
          </w:p>
        </w:tc>
      </w:tr>
      <w:tr>
        <w:trPr>
          <w:trHeight w:val="33"/>
        </w:trPr>
        <w:tc>
          <w:tcPr>
            <w:tcW w:w="19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technology</w:t>
            </w:r>
          </w:p>
        </w:tc>
        <w:tc>
          <w:tcPr>
            <w:tcW w:w="1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3,041</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1,772</w:t>
            </w:r>
          </w:p>
        </w:tc>
        <w:tc>
          <w:tcPr>
            <w:tcW w:w="196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394</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1,378</w:t>
            </w:r>
          </w:p>
        </w:tc>
      </w:tr>
      <w:tr>
        <w:trPr>
          <w:trHeight w:val="27"/>
        </w:trPr>
        <w:tc>
          <w:tcPr>
            <w:tcW w:w="19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Amortization expense was $0.3 million and $0.1 million for the three months ended June 30, 2012 and June 30, 2011, respectively, and $0.6 million and $0.1 million for the six months ended June 30, 2012 and June 30, 2011, respectively. The following table summarizes estimated future amortization expense of intangible assets with definite lives as of June 30, 2012 ($ amounts in 000's):</w:t>
      </w:r>
    </w:p>
    <w:p>
      <w:pPr>
        <w:spacing w:after="0" w:line="344" w:lineRule="exact"/>
        <w:rPr>
          <w:sz w:val="20"/>
          <w:szCs w:val="20"/>
          <w:color w:val="auto"/>
        </w:rPr>
      </w:pPr>
    </w:p>
    <w:tbl>
      <w:tblPr>
        <w:tblLayout w:type="fixed"/>
        <w:tblInd w:w="238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2200" w:type="dxa"/>
            <w:vAlign w:val="bottom"/>
          </w:tcPr>
          <w:p>
            <w:pPr>
              <w:jc w:val="right"/>
              <w:ind w:right="731"/>
              <w:spacing w:after="0"/>
              <w:rPr>
                <w:sz w:val="20"/>
                <w:szCs w:val="20"/>
                <w:color w:val="auto"/>
              </w:rPr>
            </w:pPr>
            <w:r>
              <w:rPr>
                <w:rFonts w:ascii="Arial" w:cs="Arial" w:eastAsia="Arial" w:hAnsi="Arial"/>
                <w:sz w:val="16"/>
                <w:szCs w:val="16"/>
                <w:b w:val="1"/>
                <w:bCs w:val="1"/>
                <w:color w:val="auto"/>
              </w:rPr>
              <w:t>Amount</w:t>
            </w:r>
          </w:p>
        </w:tc>
      </w:tr>
      <w:tr>
        <w:trPr>
          <w:trHeight w:val="33"/>
        </w:trPr>
        <w:tc>
          <w:tcPr>
            <w:tcW w:w="44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Years:</w:t>
            </w: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480"/>
              <w:spacing w:after="0"/>
              <w:rPr>
                <w:sz w:val="20"/>
                <w:szCs w:val="20"/>
                <w:color w:val="auto"/>
              </w:rPr>
            </w:pPr>
            <w:r>
              <w:rPr>
                <w:rFonts w:ascii="Arial" w:cs="Arial" w:eastAsia="Arial" w:hAnsi="Arial"/>
                <w:sz w:val="18"/>
                <w:szCs w:val="18"/>
                <w:color w:val="auto"/>
              </w:rPr>
              <w:t>2012 (remainder)</w:t>
            </w:r>
          </w:p>
        </w:tc>
        <w:tc>
          <w:tcPr>
            <w:tcW w:w="220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2013</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43"/>
        </w:trPr>
        <w:tc>
          <w:tcPr>
            <w:tcW w:w="4480" w:type="dxa"/>
            <w:vAlign w:val="bottom"/>
          </w:tcPr>
          <w:p>
            <w:pPr>
              <w:ind w:left="480"/>
              <w:spacing w:after="0"/>
              <w:rPr>
                <w:sz w:val="20"/>
                <w:szCs w:val="20"/>
                <w:color w:val="auto"/>
              </w:rPr>
            </w:pPr>
            <w:r>
              <w:rPr>
                <w:rFonts w:ascii="Arial" w:cs="Arial" w:eastAsia="Arial" w:hAnsi="Arial"/>
                <w:sz w:val="18"/>
                <w:szCs w:val="18"/>
                <w:color w:val="auto"/>
              </w:rPr>
              <w:t>2014</w:t>
            </w:r>
          </w:p>
        </w:tc>
        <w:tc>
          <w:tcPr>
            <w:tcW w:w="220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2015</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4480" w:type="dxa"/>
            <w:vAlign w:val="bottom"/>
          </w:tcPr>
          <w:p>
            <w:pPr>
              <w:ind w:left="480"/>
              <w:spacing w:after="0"/>
              <w:rPr>
                <w:sz w:val="20"/>
                <w:szCs w:val="20"/>
                <w:color w:val="auto"/>
              </w:rPr>
            </w:pPr>
            <w:r>
              <w:rPr>
                <w:rFonts w:ascii="Arial" w:cs="Arial" w:eastAsia="Arial" w:hAnsi="Arial"/>
                <w:sz w:val="18"/>
                <w:szCs w:val="18"/>
                <w:color w:val="auto"/>
              </w:rPr>
              <w:t>2016</w:t>
            </w:r>
          </w:p>
        </w:tc>
        <w:tc>
          <w:tcPr>
            <w:tcW w:w="2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4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r>
      <w:tr>
        <w:trPr>
          <w:trHeight w:val="20"/>
        </w:trPr>
        <w:tc>
          <w:tcPr>
            <w:tcW w:w="44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22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In August 2012, we purchased certain real property in Sunnyvale, California, for a total cash consideration of $14.5 million, to serve as the future corporate headquarters office for the Company.</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statements concerning our expectations regarding:</w:t>
      </w:r>
    </w:p>
    <w:p>
      <w:pPr>
        <w:spacing w:after="0" w:line="18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on sales of certain products;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continued sales into large enterprises;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mix of billings between products and services;</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mix of service sales containing multi-year support and subscription contracts;</w:t>
      </w:r>
    </w:p>
    <w:p>
      <w:pPr>
        <w:sectPr>
          <w:pgSz w:w="11900" w:h="16838" w:orient="portrait"/>
          <w:cols w:equalWidth="0" w:num="1">
            <w:col w:w="11320"/>
          </w:cols>
          <w:pgMar w:left="240" w:top="125" w:right="339" w:bottom="1440" w:gutter="0" w:footer="0" w:header="0"/>
        </w:sect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20"/>
          </w:cols>
          <w:pgMar w:left="24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significance of stock compensation as an expense;</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revenues and future trends with respect to service revenue as we renew existing services contracts and expand our customer base;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personnel costs, research and development expense, sales and marketing expense and general and administrative expense;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effective tax rate;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sufficiency of our existing cash and investments to meet our cash needs for at least the next 12 months;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as well as other statements regarding our future operations, financial condition and prospects and business strategies.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included elsewhere in this Quarterly Report on Form 10-Q and in our other SEC filings, including our Form 10-K.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provide network security solutions, which enable broad, integrated and high performance protection against dynamic security threats while simplifying the IT security infrastructure for enterprises, service providers and governmental entities worldwide. As of June 30, 2012, we had shipped nearly 950,000 appliances to more than 10,000 channel partners and to more than 125,000 end-customers worldwide, including a majority of the Fortune Global 100.</w:t>
      </w:r>
    </w:p>
    <w:p>
      <w:pPr>
        <w:spacing w:after="0" w:line="187"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Our core Unified Threat Management (“UTM”) product line of FortiGate physical and virtual appliances ships with a set of security and networking capabilities, including firewall, VPN, application control, antivirus, intrusion prevention, Web filtering, antispam and WAN acceleration functionality. We derive a substantial majority of product sales from our FortiGate appliances, which range from the FortiGate-20, designed for small businesses, to the FortiGate-5000 series for large enterprises, telecommunications carriers, and service providers. Sales of FortiGate products are generally balanced across entry-level (FortiGate-20 to -100 series), mid-range (FortiGate-200 to -800 series) and high-end (FortiGate-1000 to -5000 series) models with each product category representing approximately one-third of FortiGate sales. Our UTM solution also includes our FortiGuard security subscription services, which end-customers can subscribe to in order to obtain access to dynamic updates to the intrusion prevention and application control, antivirus, Web filtering, vulnerability management and antispam functionality included in our appliances. End-customers can also choose to purchase FortiCare technical support services for our products. End-customers also often use FortiManager and FortiAnalyzer products in conjunction with a FortiGate deployment to provide centralized management, analysis and reporting capabilities. We complement our core FortiGate product line with other appliances and software that offer additional protection from security threats to other critical areas of the enterprise, such as messaging, Web application firewalls, databases, employee computers and mobile devices. Sales of these complementary products have grown in recent quarters, although these products still represent less than 10% of our revenue.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Financial Highlights</w:t>
      </w:r>
    </w:p>
    <w:p>
      <w:pPr>
        <w:spacing w:after="0" w:line="225" w:lineRule="exact"/>
        <w:rPr>
          <w:sz w:val="20"/>
          <w:szCs w:val="20"/>
          <w:color w:val="auto"/>
        </w:rPr>
      </w:pPr>
    </w:p>
    <w:p>
      <w:pPr>
        <w:ind w:left="1300" w:right="40" w:hanging="644"/>
        <w:spacing w:after="0" w:line="273"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recorded revenue of $129.0 million and $246.2 million during the three and six months ended June 30, 2012, respectively. This represents an increase of 25% during the three and six months ended June 30, 2012 compared to the same periods last year. Within total revenue, product revenue was $61.7 million and $114.9 million during the three and six months ended June 30, 2012, respectively, an increase of 32% during the three and six months ended June 30, 2012 compared to the same periods last year. Services revenue was $65.4 million and $127.6 million during the three and six months ended June 30, 2012, respectively, an increase of 24% and 26% during the three and six months ended June 30, 2012, respectively, compared to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41"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same periods last year.</w:t>
      </w:r>
    </w:p>
    <w:p>
      <w:pPr>
        <w:spacing w:after="0" w:line="239" w:lineRule="exact"/>
        <w:rPr>
          <w:sz w:val="20"/>
          <w:szCs w:val="20"/>
          <w:color w:val="auto"/>
        </w:rPr>
      </w:pPr>
    </w:p>
    <w:p>
      <w:pPr>
        <w:ind w:left="1300" w:right="66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$92.8 million during the six months ended June 30, 2012, an increase of 25% compared to the same period last year.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Cash, cash equivalents and investments were $644.4 million as of June 30, 2012, an increase of $105.7 million from December 31, 2011.</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Deferred revenue was $331.4 million as of June 30, 2012, an increase of $36.5 million from December 31, 2011.</w:t>
      </w:r>
    </w:p>
    <w:p>
      <w:pPr>
        <w:spacing w:after="0" w:line="225" w:lineRule="exact"/>
        <w:rPr>
          <w:sz w:val="20"/>
          <w:szCs w:val="20"/>
          <w:color w:val="auto"/>
        </w:rPr>
      </w:pPr>
    </w:p>
    <w:p>
      <w:pPr>
        <w:ind w:right="360" w:firstLine="486"/>
        <w:spacing w:after="0" w:line="297" w:lineRule="auto"/>
        <w:rPr>
          <w:sz w:val="20"/>
          <w:szCs w:val="20"/>
          <w:color w:val="auto"/>
        </w:rPr>
      </w:pPr>
      <w:r>
        <w:rPr>
          <w:rFonts w:ascii="Arial" w:cs="Arial" w:eastAsia="Arial" w:hAnsi="Arial"/>
          <w:sz w:val="16"/>
          <w:szCs w:val="16"/>
          <w:color w:val="auto"/>
        </w:rPr>
        <w:t>During the three months ended June 30, 2012, revenues grew as a result of the successful execution of our global sales strategy and the continued product innovation that has strengthened our technology advantages and resulted in market share gains. The recent introduction of several new FortiGate entry-level appliances such as the FortiGate-20C and -40C with their WIFI counterparts and the FortiGate-100D; the FortiGate-600C in the mid-range appliance; and the FortiGate-1000C and FortiGate-3240C for large enterprises continued to gain traction and contributed to the revenue growth. We also recently released new FortiGate models including the FortiGate-800C, and FortiGate-5101C which we expect to drive sales in future quarters.</w:t>
      </w:r>
    </w:p>
    <w:p>
      <w:pPr>
        <w:spacing w:after="0" w:line="158"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We continue to invest in research and development to strengthen our technology leadership position, as well as sales and marketing to expand brand awareness, strengthen our value proposition, and expand our global sales team and distribution channels. We experienced healthy deal volumes driven by traction in enterprise data center deployments, large enterprise deals, and continued strength in the retail and telecommunications sectors. The number of deals involving sales greater than $100,000 was 168 in the three months ended June 30, 2012, compared to 127 in the three months ended June 30, 2011. The number of deals involving sales greater than $250,000 was 55 in the three months ended June 30, 2012, compared to 37 in the three months ended June 30, 2011. The number of deals involving sales greater than $500,000 was 19 in the three months ended June 30, 2012, compared to 11 in the three months ended June 30, 2011. We expect some variability in this metric, and remain focused on investing in our sales and research and development resources in order to expand our reach into new high-growth verticals and emerging markets, and meet increasing customer expectations about the quality and functionality of our products, as we continue to sell to large customers, such as enterprise and service providers. While we have experienced some success selling into certain vertical customer segments, such as service providers and enterprise, we have experienced less traction selling into other verticals such as the U.S. federal government and there can be no assurance we will be successful selling into certain vertical customer segments.</w:t>
      </w:r>
    </w:p>
    <w:p>
      <w:pPr>
        <w:spacing w:after="0" w:line="17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During the three months ended June 30, 2012, operating expenses increased by 23% compared to the same period last year. The increase was primarily driven by additional headcount to support our growth as we continued to invest in the development of new products and expand our sales coverage. We continued to see improvements in productivity and efficiencies in our overall headcount during the three months ended June 30, 2012, compared to the three months ended June 30, 2011. Headcount increased to 1,762 at June 30, 2012 from 1,475 at June 30, 2011. Our pace of hiring accelerated this quarter, particularly in support, sales and marketing and research and development.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monitor the key financial metrics set forth below on a quarterly basis to help us evaluate growth trends, establish budgets, measure the effectiveness of our sales and marketing efforts and assess operational efficiencies. Our total deferred revenue increased by $16.8 million from $314.6 million at March 31, 2012 to $331.4 million at June 30, 2012. Revenue recognized plus the change in deferred revenue from the beginning to the end of the period is a useful metric that management identifies as billings. Billings for services drive deferred revenue, which is an important indicator of the health and visibility of our business, and has historically represented a majority of the quarterly revenue that we recognize. We also ended the three months ended June 30, 2012 with $644.4 million in cash, cash equivalents and investments and have had positive cash flow from operations for every fiscal year since 2005. We discuss revenue, gross margin, and the components of operating income and margin below under “Other Non-GAAP Financial Measures,” and we discuss our cash, cash equivalents, and investments under “Liquidity and Capital Resources.” Deferred revenue and cash flow from operations are discussed immediately below the following table.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341" w:right="2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4000" w:type="dxa"/>
            <w:vAlign w:val="bottom"/>
            <w:gridSpan w:val="2"/>
          </w:tcPr>
          <w:p>
            <w:pPr>
              <w:jc w:val="right"/>
              <w:ind w:right="531"/>
              <w:spacing w:after="0"/>
              <w:rPr>
                <w:sz w:val="20"/>
                <w:szCs w:val="20"/>
                <w:color w:val="auto"/>
              </w:rPr>
            </w:pPr>
            <w:r>
              <w:rPr>
                <w:rFonts w:ascii="Arial" w:cs="Arial" w:eastAsia="Arial" w:hAnsi="Arial"/>
                <w:sz w:val="16"/>
                <w:szCs w:val="16"/>
                <w:b w:val="1"/>
                <w:bCs w:val="1"/>
                <w:color w:val="auto"/>
              </w:rPr>
              <w:t>For The Three Months Ended Or As Of</w:t>
            </w:r>
          </w:p>
        </w:tc>
      </w:tr>
      <w:tr>
        <w:trPr>
          <w:trHeight w:val="33"/>
        </w:trPr>
        <w:tc>
          <w:tcPr>
            <w:tcW w:w="74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7420" w:type="dxa"/>
            <w:vAlign w:val="bottom"/>
          </w:tcPr>
          <w:p>
            <w:pPr>
              <w:spacing w:after="0"/>
              <w:rPr>
                <w:sz w:val="18"/>
                <w:szCs w:val="18"/>
                <w:color w:val="auto"/>
              </w:rPr>
            </w:pPr>
          </w:p>
        </w:tc>
        <w:tc>
          <w:tcPr>
            <w:tcW w:w="2220" w:type="dxa"/>
            <w:vAlign w:val="bottom"/>
          </w:tcPr>
          <w:p>
            <w:pPr>
              <w:jc w:val="right"/>
              <w:ind w:right="712"/>
              <w:spacing w:after="0"/>
              <w:rPr>
                <w:sz w:val="20"/>
                <w:szCs w:val="20"/>
                <w:color w:val="auto"/>
              </w:rPr>
            </w:pPr>
            <w:r>
              <w:rPr>
                <w:rFonts w:ascii="Arial" w:cs="Arial" w:eastAsia="Arial" w:hAnsi="Arial"/>
                <w:sz w:val="16"/>
                <w:szCs w:val="16"/>
                <w:b w:val="1"/>
                <w:bCs w:val="1"/>
                <w:color w:val="auto"/>
              </w:rPr>
              <w:t>June 30, 2012</w:t>
            </w:r>
          </w:p>
        </w:tc>
        <w:tc>
          <w:tcPr>
            <w:tcW w:w="1780" w:type="dxa"/>
            <w:vAlign w:val="bottom"/>
          </w:tcPr>
          <w:p>
            <w:pPr>
              <w:jc w:val="right"/>
              <w:ind w:right="391"/>
              <w:spacing w:after="0"/>
              <w:rPr>
                <w:sz w:val="20"/>
                <w:szCs w:val="20"/>
                <w:color w:val="auto"/>
              </w:rPr>
            </w:pPr>
            <w:r>
              <w:rPr>
                <w:rFonts w:ascii="Arial" w:cs="Arial" w:eastAsia="Arial" w:hAnsi="Arial"/>
                <w:sz w:val="16"/>
                <w:szCs w:val="16"/>
                <w:b w:val="1"/>
                <w:bCs w:val="1"/>
                <w:color w:val="auto"/>
              </w:rPr>
              <w:t>June 30, 2011</w:t>
            </w:r>
          </w:p>
        </w:tc>
      </w:tr>
      <w:tr>
        <w:trPr>
          <w:trHeight w:val="33"/>
        </w:trPr>
        <w:tc>
          <w:tcPr>
            <w:tcW w:w="7420" w:type="dxa"/>
            <w:vAlign w:val="bottom"/>
          </w:tcPr>
          <w:p>
            <w:pPr>
              <w:spacing w:after="0"/>
              <w:rPr>
                <w:sz w:val="2"/>
                <w:szCs w:val="2"/>
                <w:color w:val="auto"/>
              </w:rPr>
            </w:pPr>
          </w:p>
        </w:tc>
        <w:tc>
          <w:tcPr>
            <w:tcW w:w="4000" w:type="dxa"/>
            <w:vAlign w:val="bottom"/>
            <w:tcBorders>
              <w:bottom w:val="single" w:sz="8" w:color="auto"/>
            </w:tcBorders>
            <w:gridSpan w:val="2"/>
          </w:tcPr>
          <w:p>
            <w:pPr>
              <w:spacing w:after="0"/>
              <w:rPr>
                <w:sz w:val="2"/>
                <w:szCs w:val="2"/>
                <w:color w:val="auto"/>
              </w:rPr>
            </w:pPr>
          </w:p>
        </w:tc>
      </w:tr>
      <w:tr>
        <w:trPr>
          <w:trHeight w:val="217"/>
        </w:trPr>
        <w:tc>
          <w:tcPr>
            <w:tcW w:w="7420" w:type="dxa"/>
            <w:vAlign w:val="bottom"/>
          </w:tcPr>
          <w:p>
            <w:pPr>
              <w:spacing w:after="0"/>
              <w:rPr>
                <w:sz w:val="18"/>
                <w:szCs w:val="18"/>
                <w:color w:val="auto"/>
              </w:rPr>
            </w:pPr>
          </w:p>
        </w:tc>
        <w:tc>
          <w:tcPr>
            <w:tcW w:w="4000" w:type="dxa"/>
            <w:vAlign w:val="bottom"/>
            <w:gridSpan w:val="2"/>
          </w:tcPr>
          <w:p>
            <w:pPr>
              <w:jc w:val="right"/>
              <w:ind w:right="1191"/>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7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128,962</w:t>
            </w:r>
          </w:p>
        </w:tc>
        <w:tc>
          <w:tcPr>
            <w:tcW w:w="1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103,023</w:t>
            </w:r>
          </w:p>
        </w:tc>
      </w:tr>
      <w:tr>
        <w:trPr>
          <w:trHeight w:val="243"/>
        </w:trPr>
        <w:tc>
          <w:tcPr>
            <w:tcW w:w="7420" w:type="dxa"/>
            <w:vAlign w:val="bottom"/>
          </w:tcPr>
          <w:p>
            <w:pPr>
              <w:ind w:left="500"/>
              <w:spacing w:after="0"/>
              <w:rPr>
                <w:sz w:val="20"/>
                <w:szCs w:val="20"/>
                <w:color w:val="auto"/>
              </w:rPr>
            </w:pPr>
            <w:r>
              <w:rPr>
                <w:rFonts w:ascii="Arial" w:cs="Arial" w:eastAsia="Arial" w:hAnsi="Arial"/>
                <w:sz w:val="18"/>
                <w:szCs w:val="18"/>
                <w:color w:val="auto"/>
              </w:rPr>
              <w:t>Gross margin</w:t>
            </w:r>
          </w:p>
        </w:tc>
        <w:tc>
          <w:tcPr>
            <w:tcW w:w="2220" w:type="dxa"/>
            <w:vAlign w:val="bottom"/>
          </w:tcPr>
          <w:p>
            <w:pPr>
              <w:jc w:val="right"/>
              <w:ind w:right="272"/>
              <w:spacing w:after="0"/>
              <w:rPr>
                <w:sz w:val="20"/>
                <w:szCs w:val="20"/>
                <w:color w:val="auto"/>
              </w:rPr>
            </w:pPr>
            <w:r>
              <w:rPr>
                <w:rFonts w:ascii="Arial" w:cs="Arial" w:eastAsia="Arial" w:hAnsi="Arial"/>
                <w:sz w:val="18"/>
                <w:szCs w:val="18"/>
                <w:color w:val="auto"/>
              </w:rPr>
              <w:t>71%</w:t>
            </w:r>
          </w:p>
        </w:tc>
        <w:tc>
          <w:tcPr>
            <w:tcW w:w="1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7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income</w:t>
            </w:r>
            <w:r>
              <w:rPr>
                <w:rFonts w:ascii="Arial" w:cs="Arial" w:eastAsia="Arial" w:hAnsi="Arial"/>
                <w:sz w:val="25"/>
                <w:szCs w:val="25"/>
                <w:color w:val="auto"/>
                <w:vertAlign w:val="superscript"/>
              </w:rPr>
              <w:t>(1)</w:t>
            </w:r>
          </w:p>
        </w:tc>
        <w:tc>
          <w:tcPr>
            <w:tcW w:w="22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20,950</w:t>
            </w:r>
          </w:p>
        </w:tc>
        <w:tc>
          <w:tcPr>
            <w:tcW w:w="1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18,779</w:t>
            </w:r>
          </w:p>
        </w:tc>
      </w:tr>
      <w:tr>
        <w:trPr>
          <w:trHeight w:val="243"/>
        </w:trPr>
        <w:tc>
          <w:tcPr>
            <w:tcW w:w="7420" w:type="dxa"/>
            <w:vAlign w:val="bottom"/>
          </w:tcPr>
          <w:p>
            <w:pPr>
              <w:ind w:left="500"/>
              <w:spacing w:after="0"/>
              <w:rPr>
                <w:sz w:val="20"/>
                <w:szCs w:val="20"/>
                <w:color w:val="auto"/>
              </w:rPr>
            </w:pPr>
            <w:r>
              <w:rPr>
                <w:rFonts w:ascii="Arial" w:cs="Arial" w:eastAsia="Arial" w:hAnsi="Arial"/>
                <w:sz w:val="18"/>
                <w:szCs w:val="18"/>
                <w:color w:val="auto"/>
              </w:rPr>
              <w:t>Operating margin</w:t>
            </w:r>
          </w:p>
        </w:tc>
        <w:tc>
          <w:tcPr>
            <w:tcW w:w="2220" w:type="dxa"/>
            <w:vAlign w:val="bottom"/>
          </w:tcPr>
          <w:p>
            <w:pPr>
              <w:jc w:val="right"/>
              <w:ind w:right="272"/>
              <w:spacing w:after="0"/>
              <w:rPr>
                <w:sz w:val="20"/>
                <w:szCs w:val="20"/>
                <w:color w:val="auto"/>
              </w:rPr>
            </w:pPr>
            <w:r>
              <w:rPr>
                <w:rFonts w:ascii="Arial" w:cs="Arial" w:eastAsia="Arial" w:hAnsi="Arial"/>
                <w:sz w:val="18"/>
                <w:szCs w:val="18"/>
                <w:color w:val="auto"/>
              </w:rPr>
              <w:t>16%</w:t>
            </w:r>
          </w:p>
        </w:tc>
        <w:tc>
          <w:tcPr>
            <w:tcW w:w="1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22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331,368</w:t>
            </w:r>
          </w:p>
        </w:tc>
        <w:tc>
          <w:tcPr>
            <w:tcW w:w="1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273,199</w:t>
            </w:r>
          </w:p>
        </w:tc>
      </w:tr>
      <w:tr>
        <w:trPr>
          <w:trHeight w:val="243"/>
        </w:trPr>
        <w:tc>
          <w:tcPr>
            <w:tcW w:w="7420" w:type="dxa"/>
            <w:vAlign w:val="bottom"/>
          </w:tcPr>
          <w:p>
            <w:pPr>
              <w:ind w:left="500"/>
              <w:spacing w:after="0"/>
              <w:rPr>
                <w:sz w:val="20"/>
                <w:szCs w:val="20"/>
                <w:color w:val="auto"/>
              </w:rPr>
            </w:pPr>
            <w:r>
              <w:rPr>
                <w:rFonts w:ascii="Arial" w:cs="Arial" w:eastAsia="Arial" w:hAnsi="Arial"/>
                <w:sz w:val="18"/>
                <w:szCs w:val="18"/>
                <w:color w:val="auto"/>
              </w:rPr>
              <w:t>Increase in total deferred revenue over prior quarter</w:t>
            </w:r>
          </w:p>
        </w:tc>
        <w:tc>
          <w:tcPr>
            <w:tcW w:w="2220" w:type="dxa"/>
            <w:vAlign w:val="bottom"/>
          </w:tcPr>
          <w:p>
            <w:pPr>
              <w:jc w:val="right"/>
              <w:ind w:right="432"/>
              <w:spacing w:after="0"/>
              <w:rPr>
                <w:sz w:val="20"/>
                <w:szCs w:val="20"/>
                <w:color w:val="auto"/>
              </w:rPr>
            </w:pPr>
            <w:r>
              <w:rPr>
                <w:rFonts w:ascii="Arial" w:cs="Arial" w:eastAsia="Arial" w:hAnsi="Arial"/>
                <w:sz w:val="18"/>
                <w:szCs w:val="18"/>
                <w:color w:val="auto"/>
              </w:rPr>
              <w:t>16,796</w:t>
            </w:r>
          </w:p>
        </w:tc>
        <w:tc>
          <w:tcPr>
            <w:tcW w:w="1780" w:type="dxa"/>
            <w:vAlign w:val="bottom"/>
          </w:tcPr>
          <w:p>
            <w:pPr>
              <w:jc w:val="right"/>
              <w:ind w:right="91"/>
              <w:spacing w:after="0"/>
              <w:rPr>
                <w:sz w:val="20"/>
                <w:szCs w:val="20"/>
                <w:color w:val="auto"/>
              </w:rPr>
            </w:pPr>
            <w:r>
              <w:rPr>
                <w:rFonts w:ascii="Arial" w:cs="Arial" w:eastAsia="Arial" w:hAnsi="Arial"/>
                <w:sz w:val="18"/>
                <w:szCs w:val="18"/>
                <w:color w:val="auto"/>
              </w:rPr>
              <w:t>7,170</w:t>
            </w:r>
          </w:p>
        </w:tc>
      </w:tr>
      <w:tr>
        <w:trPr>
          <w:trHeight w:val="27"/>
        </w:trPr>
        <w:tc>
          <w:tcPr>
            <w:tcW w:w="7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22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644,398</w:t>
            </w:r>
          </w:p>
        </w:tc>
        <w:tc>
          <w:tcPr>
            <w:tcW w:w="1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468,498</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2220" w:type="dxa"/>
            <w:vAlign w:val="bottom"/>
          </w:tcPr>
          <w:p>
            <w:pPr>
              <w:jc w:val="right"/>
              <w:ind w:right="432"/>
              <w:spacing w:after="0"/>
              <w:rPr>
                <w:sz w:val="20"/>
                <w:szCs w:val="20"/>
                <w:color w:val="auto"/>
              </w:rPr>
            </w:pPr>
            <w:r>
              <w:rPr>
                <w:rFonts w:ascii="Arial" w:cs="Arial" w:eastAsia="Arial" w:hAnsi="Arial"/>
                <w:sz w:val="18"/>
                <w:szCs w:val="18"/>
                <w:color w:val="auto"/>
              </w:rPr>
              <w:t>44,285</w:t>
            </w:r>
          </w:p>
        </w:tc>
        <w:tc>
          <w:tcPr>
            <w:tcW w:w="1780" w:type="dxa"/>
            <w:vAlign w:val="bottom"/>
          </w:tcPr>
          <w:p>
            <w:pPr>
              <w:jc w:val="right"/>
              <w:ind w:right="91"/>
              <w:spacing w:after="0"/>
              <w:rPr>
                <w:sz w:val="20"/>
                <w:szCs w:val="20"/>
                <w:color w:val="auto"/>
              </w:rPr>
            </w:pPr>
            <w:r>
              <w:rPr>
                <w:rFonts w:ascii="Arial" w:cs="Arial" w:eastAsia="Arial" w:hAnsi="Arial"/>
                <w:sz w:val="18"/>
                <w:szCs w:val="18"/>
                <w:color w:val="auto"/>
              </w:rPr>
              <w:t>34,068</w:t>
            </w:r>
          </w:p>
        </w:tc>
      </w:tr>
      <w:tr>
        <w:trPr>
          <w:trHeight w:val="27"/>
        </w:trPr>
        <w:tc>
          <w:tcPr>
            <w:tcW w:w="7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5"/>
                <w:szCs w:val="25"/>
                <w:color w:val="auto"/>
                <w:vertAlign w:val="superscript"/>
              </w:rPr>
              <w:t>(2)</w:t>
            </w:r>
          </w:p>
        </w:tc>
        <w:tc>
          <w:tcPr>
            <w:tcW w:w="22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42,054</w:t>
            </w:r>
          </w:p>
        </w:tc>
        <w:tc>
          <w:tcPr>
            <w:tcW w:w="1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33,312</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0"/>
        </w:trPr>
        <w:tc>
          <w:tcPr>
            <w:tcW w:w="7420" w:type="dxa"/>
            <w:vAlign w:val="bottom"/>
          </w:tcPr>
          <w:p>
            <w:pPr>
              <w:ind w:left="40"/>
              <w:spacing w:after="0"/>
              <w:rPr>
                <w:sz w:val="20"/>
                <w:szCs w:val="20"/>
                <w:color w:val="auto"/>
              </w:rPr>
            </w:pPr>
            <w:r>
              <w:rPr>
                <w:rFonts w:ascii="Arial" w:cs="Arial" w:eastAsia="Arial" w:hAnsi="Arial"/>
                <w:sz w:val="18"/>
                <w:szCs w:val="18"/>
                <w:color w:val="auto"/>
              </w:rPr>
              <w:t>(1)  Includes:</w:t>
            </w:r>
          </w:p>
        </w:tc>
        <w:tc>
          <w:tcPr>
            <w:tcW w:w="222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70"/>
        </w:trPr>
        <w:tc>
          <w:tcPr>
            <w:tcW w:w="7420" w:type="dxa"/>
            <w:vAlign w:val="bottom"/>
          </w:tcPr>
          <w:p>
            <w:pPr>
              <w:ind w:left="440"/>
              <w:spacing w:after="0"/>
              <w:rPr>
                <w:sz w:val="20"/>
                <w:szCs w:val="20"/>
                <w:color w:val="auto"/>
              </w:rPr>
            </w:pPr>
            <w:r>
              <w:rPr>
                <w:rFonts w:ascii="Arial" w:cs="Arial" w:eastAsia="Arial" w:hAnsi="Arial"/>
                <w:sz w:val="18"/>
                <w:szCs w:val="18"/>
                <w:color w:val="auto"/>
              </w:rPr>
              <w:t>Stock-based compensation expense</w:t>
            </w:r>
          </w:p>
        </w:tc>
        <w:tc>
          <w:tcPr>
            <w:tcW w:w="2220" w:type="dxa"/>
            <w:vAlign w:val="bottom"/>
          </w:tcPr>
          <w:p>
            <w:pPr>
              <w:jc w:val="right"/>
              <w:ind w:right="432"/>
              <w:spacing w:after="0"/>
              <w:rPr>
                <w:sz w:val="20"/>
                <w:szCs w:val="20"/>
                <w:color w:val="auto"/>
              </w:rPr>
            </w:pPr>
            <w:r>
              <w:rPr>
                <w:rFonts w:ascii="Arial" w:cs="Arial" w:eastAsia="Arial" w:hAnsi="Arial"/>
                <w:sz w:val="18"/>
                <w:szCs w:val="18"/>
                <w:color w:val="auto"/>
              </w:rPr>
              <w:t>7,852</w:t>
            </w:r>
          </w:p>
        </w:tc>
        <w:tc>
          <w:tcPr>
            <w:tcW w:w="1780" w:type="dxa"/>
            <w:vAlign w:val="bottom"/>
          </w:tcPr>
          <w:p>
            <w:pPr>
              <w:jc w:val="right"/>
              <w:ind w:right="91"/>
              <w:spacing w:after="0"/>
              <w:rPr>
                <w:sz w:val="20"/>
                <w:szCs w:val="20"/>
                <w:color w:val="auto"/>
              </w:rPr>
            </w:pPr>
            <w:r>
              <w:rPr>
                <w:rFonts w:ascii="Arial" w:cs="Arial" w:eastAsia="Arial" w:hAnsi="Arial"/>
                <w:sz w:val="18"/>
                <w:szCs w:val="18"/>
                <w:color w:val="auto"/>
              </w:rPr>
              <w:t>3,870</w:t>
            </w:r>
          </w:p>
        </w:tc>
      </w:tr>
      <w:tr>
        <w:trPr>
          <w:trHeight w:val="270"/>
        </w:trPr>
        <w:tc>
          <w:tcPr>
            <w:tcW w:w="7420" w:type="dxa"/>
            <w:vAlign w:val="bottom"/>
          </w:tcPr>
          <w:p>
            <w:pPr>
              <w:ind w:left="440"/>
              <w:spacing w:after="0"/>
              <w:rPr>
                <w:sz w:val="20"/>
                <w:szCs w:val="20"/>
                <w:color w:val="auto"/>
              </w:rPr>
            </w:pPr>
            <w:r>
              <w:rPr>
                <w:rFonts w:ascii="Arial" w:cs="Arial" w:eastAsia="Arial" w:hAnsi="Arial"/>
                <w:sz w:val="18"/>
                <w:szCs w:val="18"/>
                <w:color w:val="auto"/>
              </w:rPr>
              <w:t>Patent settlement income</w:t>
            </w:r>
          </w:p>
        </w:tc>
        <w:tc>
          <w:tcPr>
            <w:tcW w:w="2220" w:type="dxa"/>
            <w:vAlign w:val="bottom"/>
          </w:tcPr>
          <w:p>
            <w:pPr>
              <w:jc w:val="right"/>
              <w:ind w:right="432"/>
              <w:spacing w:after="0"/>
              <w:rPr>
                <w:sz w:val="20"/>
                <w:szCs w:val="20"/>
                <w:color w:val="auto"/>
              </w:rPr>
            </w:pPr>
            <w:r>
              <w:rPr>
                <w:rFonts w:ascii="Arial" w:cs="Arial" w:eastAsia="Arial" w:hAnsi="Arial"/>
                <w:sz w:val="18"/>
                <w:szCs w:val="18"/>
                <w:color w:val="auto"/>
              </w:rPr>
              <w:t>478</w:t>
            </w:r>
          </w:p>
        </w:tc>
        <w:tc>
          <w:tcPr>
            <w:tcW w:w="1780" w:type="dxa"/>
            <w:vAlign w:val="bottom"/>
          </w:tcPr>
          <w:p>
            <w:pPr>
              <w:jc w:val="right"/>
              <w:ind w:right="91"/>
              <w:spacing w:after="0"/>
              <w:rPr>
                <w:sz w:val="20"/>
                <w:szCs w:val="20"/>
                <w:color w:val="auto"/>
              </w:rPr>
            </w:pPr>
            <w:r>
              <w:rPr>
                <w:rFonts w:ascii="Arial" w:cs="Arial" w:eastAsia="Arial" w:hAnsi="Arial"/>
                <w:sz w:val="18"/>
                <w:szCs w:val="18"/>
                <w:color w:val="auto"/>
              </w:rPr>
              <w:t>478</w:t>
            </w:r>
          </w:p>
        </w:tc>
      </w:tr>
    </w:tbl>
    <w:p>
      <w:pPr>
        <w:spacing w:after="0" w:line="40" w:lineRule="exact"/>
        <w:rPr>
          <w:sz w:val="20"/>
          <w:szCs w:val="20"/>
          <w:color w:val="auto"/>
        </w:rPr>
      </w:pPr>
    </w:p>
    <w:p>
      <w:pPr>
        <w:ind w:left="40" w:right="440" w:hanging="5"/>
        <w:spacing w:after="0" w:line="277" w:lineRule="auto"/>
        <w:tabs>
          <w:tab w:leader="none" w:pos="4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Free cash flow is a non-GAAP financial measure, which is defined as net cash provided by operating activities less capital expenditures, as further described below.</w:t>
      </w:r>
    </w:p>
    <w:p>
      <w:pPr>
        <w:spacing w:after="0" w:line="19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deferred revenue balance consists of the unamortized portion of services revenue from subscription and support service contracts. We monitor our deferred revenue balance because it represents a significant portion of revenue to be recognized in future periods. The following table reflects the calculation of billings as discussed in the paragraph above. For a discussion of the limitations of non-GAAP financial measures, see “—Other Non-GAAP Financial Measures” below.</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280" w:type="dxa"/>
            <w:vAlign w:val="bottom"/>
          </w:tcPr>
          <w:p>
            <w:pPr>
              <w:spacing w:after="0"/>
              <w:rPr>
                <w:sz w:val="18"/>
                <w:szCs w:val="18"/>
                <w:color w:val="auto"/>
              </w:rPr>
            </w:pPr>
          </w:p>
        </w:tc>
      </w:tr>
      <w:tr>
        <w:trPr>
          <w:trHeight w:val="33"/>
        </w:trPr>
        <w:tc>
          <w:tcPr>
            <w:tcW w:w="72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280" w:type="dxa"/>
            <w:vAlign w:val="bottom"/>
          </w:tcPr>
          <w:p>
            <w:pPr>
              <w:spacing w:after="0"/>
              <w:rPr>
                <w:sz w:val="18"/>
                <w:szCs w:val="18"/>
                <w:color w:val="auto"/>
              </w:rPr>
            </w:pPr>
          </w:p>
        </w:tc>
        <w:tc>
          <w:tcPr>
            <w:tcW w:w="1240" w:type="dxa"/>
            <w:vAlign w:val="bottom"/>
          </w:tcPr>
          <w:p>
            <w:pPr>
              <w:ind w:left="680"/>
              <w:spacing w:after="0"/>
              <w:rPr>
                <w:sz w:val="20"/>
                <w:szCs w:val="20"/>
                <w:color w:val="auto"/>
              </w:rPr>
            </w:pPr>
            <w:r>
              <w:rPr>
                <w:rFonts w:ascii="Arial" w:cs="Arial" w:eastAsia="Arial" w:hAnsi="Arial"/>
                <w:sz w:val="16"/>
                <w:szCs w:val="16"/>
                <w:b w:val="1"/>
                <w:bCs w:val="1"/>
                <w:color w:val="auto"/>
                <w:w w:val="84"/>
              </w:rPr>
              <w:t>June 30,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right"/>
              <w:ind w:right="594"/>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8520" w:type="dxa"/>
            <w:vAlign w:val="bottom"/>
            <w:gridSpan w:val="2"/>
          </w:tcPr>
          <w:p>
            <w:pPr>
              <w:ind w:left="8100"/>
              <w:spacing w:after="0"/>
              <w:rPr>
                <w:sz w:val="20"/>
                <w:szCs w:val="20"/>
                <w:color w:val="auto"/>
              </w:rPr>
            </w:pPr>
            <w:r>
              <w:rPr>
                <w:rFonts w:ascii="Arial" w:cs="Arial" w:eastAsia="Arial" w:hAnsi="Arial"/>
                <w:sz w:val="16"/>
                <w:szCs w:val="16"/>
                <w:b w:val="1"/>
                <w:bCs w:val="1"/>
                <w:color w:val="auto"/>
              </w:rPr>
              <w:t>2012</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right"/>
              <w:ind w:right="714"/>
              <w:spacing w:after="0"/>
              <w:rPr>
                <w:sz w:val="20"/>
                <w:szCs w:val="20"/>
                <w:color w:val="auto"/>
              </w:rPr>
            </w:pPr>
            <w:r>
              <w:rPr>
                <w:rFonts w:ascii="Arial" w:cs="Arial" w:eastAsia="Arial" w:hAnsi="Arial"/>
                <w:sz w:val="16"/>
                <w:szCs w:val="16"/>
                <w:b w:val="1"/>
                <w:bCs w:val="1"/>
                <w:color w:val="auto"/>
              </w:rPr>
              <w:t>2011</w:t>
            </w:r>
          </w:p>
        </w:tc>
      </w:tr>
      <w:tr>
        <w:trPr>
          <w:trHeight w:val="33"/>
        </w:trPr>
        <w:tc>
          <w:tcPr>
            <w:tcW w:w="72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 amounts in 000's)</w:t>
            </w:r>
          </w:p>
        </w:tc>
        <w:tc>
          <w:tcPr>
            <w:tcW w:w="1280" w:type="dxa"/>
            <w:vAlign w:val="bottom"/>
          </w:tcPr>
          <w:p>
            <w:pPr>
              <w:spacing w:after="0"/>
              <w:rPr>
                <w:sz w:val="18"/>
                <w:szCs w:val="18"/>
                <w:color w:val="auto"/>
              </w:rPr>
            </w:pPr>
          </w:p>
        </w:tc>
      </w:tr>
      <w:tr>
        <w:trPr>
          <w:trHeight w:val="33"/>
        </w:trPr>
        <w:tc>
          <w:tcPr>
            <w:tcW w:w="7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w w:val="89"/>
              </w:rPr>
              <w:t>128,962</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103,023</w:t>
            </w:r>
          </w:p>
        </w:tc>
      </w:tr>
      <w:tr>
        <w:trPr>
          <w:trHeight w:val="27"/>
        </w:trPr>
        <w:tc>
          <w:tcPr>
            <w:tcW w:w="7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deferred revenue</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16,796</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7,170</w:t>
            </w:r>
          </w:p>
        </w:tc>
      </w:tr>
      <w:tr>
        <w:trPr>
          <w:trHeight w:val="257"/>
        </w:trPr>
        <w:tc>
          <w:tcPr>
            <w:tcW w:w="7280" w:type="dxa"/>
            <w:vAlign w:val="bottom"/>
          </w:tcPr>
          <w:p>
            <w:pPr>
              <w:ind w:left="40"/>
              <w:spacing w:after="0"/>
              <w:rPr>
                <w:sz w:val="20"/>
                <w:szCs w:val="20"/>
                <w:color w:val="auto"/>
              </w:rPr>
            </w:pPr>
            <w:r>
              <w:rPr>
                <w:rFonts w:ascii="Arial" w:cs="Arial" w:eastAsia="Arial" w:hAnsi="Arial"/>
                <w:sz w:val="18"/>
                <w:szCs w:val="18"/>
                <w:color w:val="auto"/>
              </w:rPr>
              <w:t>Total billings (Non-GAAP)</w:t>
            </w:r>
          </w:p>
        </w:tc>
        <w:tc>
          <w:tcPr>
            <w:tcW w:w="12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89"/>
              </w:rPr>
              <w:t>145,758</w:t>
            </w:r>
          </w:p>
        </w:tc>
        <w:tc>
          <w:tcPr>
            <w:tcW w:w="2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110,193</w:t>
            </w:r>
          </w:p>
        </w:tc>
      </w:tr>
      <w:tr>
        <w:trPr>
          <w:trHeight w:val="20"/>
        </w:trPr>
        <w:tc>
          <w:tcPr>
            <w:tcW w:w="7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6"/>
          <w:szCs w:val="16"/>
          <w:i w:val="1"/>
          <w:iCs w:val="1"/>
          <w:color w:val="auto"/>
        </w:rPr>
        <w:t xml:space="preserve">Cash flow from operations. </w:t>
      </w:r>
      <w:r>
        <w:rPr>
          <w:rFonts w:ascii="Arial" w:cs="Arial" w:eastAsia="Arial" w:hAnsi="Arial"/>
          <w:sz w:val="16"/>
          <w:szCs w:val="16"/>
          <w:color w:val="auto"/>
        </w:rPr>
        <w:t>We monitor cash flow from operations as a measure of our overall business performance. Our cash flow from operations is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in large part by advance payments for both new and renewal contracts for subscription and support services, consistent with our billings for the period. Monitoring cash flow from operations and free cash flow enables us to analyze our financial performance excluding the non-cash effects of certain items such as depreciation, amortization and stock-based compensation expenses, thereby allowing us to better understand and manage the cash needs of our business.</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Free cash flow, an alternative non-GAAP financial measure of liquidity, is defined as net cash provided by operating activities less capital expenditures. For a discussion of the limitations of non-GAAP financial measures, see “—Other Non-GAAP Financial Measures” below.</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280" w:type="dxa"/>
            <w:vAlign w:val="bottom"/>
          </w:tcPr>
          <w:p>
            <w:pPr>
              <w:spacing w:after="0"/>
              <w:rPr>
                <w:sz w:val="18"/>
                <w:szCs w:val="18"/>
                <w:color w:val="auto"/>
              </w:rPr>
            </w:pPr>
          </w:p>
        </w:tc>
      </w:tr>
      <w:tr>
        <w:trPr>
          <w:trHeight w:val="33"/>
        </w:trPr>
        <w:tc>
          <w:tcPr>
            <w:tcW w:w="72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280" w:type="dxa"/>
            <w:vAlign w:val="bottom"/>
          </w:tcPr>
          <w:p>
            <w:pPr>
              <w:spacing w:after="0"/>
              <w:rPr>
                <w:sz w:val="18"/>
                <w:szCs w:val="18"/>
                <w:color w:val="auto"/>
              </w:rPr>
            </w:pPr>
          </w:p>
        </w:tc>
        <w:tc>
          <w:tcPr>
            <w:tcW w:w="1280" w:type="dxa"/>
            <w:vAlign w:val="bottom"/>
          </w:tcPr>
          <w:p>
            <w:pPr>
              <w:ind w:left="680"/>
              <w:spacing w:after="0"/>
              <w:rPr>
                <w:sz w:val="20"/>
                <w:szCs w:val="20"/>
                <w:color w:val="auto"/>
              </w:rPr>
            </w:pPr>
            <w:r>
              <w:rPr>
                <w:rFonts w:ascii="Arial" w:cs="Arial" w:eastAsia="Arial" w:hAnsi="Arial"/>
                <w:sz w:val="16"/>
                <w:szCs w:val="16"/>
                <w:b w:val="1"/>
                <w:bCs w:val="1"/>
                <w:color w:val="auto"/>
                <w:w w:val="90"/>
              </w:rPr>
              <w:t>June 30,</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right"/>
              <w:ind w:right="594"/>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8560" w:type="dxa"/>
            <w:vAlign w:val="bottom"/>
            <w:gridSpan w:val="2"/>
          </w:tcPr>
          <w:p>
            <w:pPr>
              <w:ind w:left="8100"/>
              <w:spacing w:after="0"/>
              <w:rPr>
                <w:sz w:val="20"/>
                <w:szCs w:val="20"/>
                <w:color w:val="auto"/>
              </w:rPr>
            </w:pPr>
            <w:r>
              <w:rPr>
                <w:rFonts w:ascii="Arial" w:cs="Arial" w:eastAsia="Arial" w:hAnsi="Arial"/>
                <w:sz w:val="16"/>
                <w:szCs w:val="16"/>
                <w:b w:val="1"/>
                <w:bCs w:val="1"/>
                <w:color w:val="auto"/>
              </w:rPr>
              <w:t>2012</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right"/>
              <w:ind w:right="714"/>
              <w:spacing w:after="0"/>
              <w:rPr>
                <w:sz w:val="20"/>
                <w:szCs w:val="20"/>
                <w:color w:val="auto"/>
              </w:rPr>
            </w:pPr>
            <w:r>
              <w:rPr>
                <w:rFonts w:ascii="Arial" w:cs="Arial" w:eastAsia="Arial" w:hAnsi="Arial"/>
                <w:sz w:val="16"/>
                <w:szCs w:val="16"/>
                <w:b w:val="1"/>
                <w:bCs w:val="1"/>
                <w:color w:val="auto"/>
              </w:rPr>
              <w:t>2011</w:t>
            </w:r>
          </w:p>
        </w:tc>
      </w:tr>
      <w:tr>
        <w:trPr>
          <w:trHeight w:val="33"/>
        </w:trPr>
        <w:tc>
          <w:tcPr>
            <w:tcW w:w="72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 amounts in 000's)</w:t>
            </w:r>
          </w:p>
        </w:tc>
        <w:tc>
          <w:tcPr>
            <w:tcW w:w="1280" w:type="dxa"/>
            <w:vAlign w:val="bottom"/>
          </w:tcPr>
          <w:p>
            <w:pPr>
              <w:spacing w:after="0"/>
              <w:rPr>
                <w:sz w:val="18"/>
                <w:szCs w:val="18"/>
                <w:color w:val="auto"/>
              </w:rPr>
            </w:pPr>
          </w:p>
        </w:tc>
      </w:tr>
      <w:tr>
        <w:trPr>
          <w:trHeight w:val="33"/>
        </w:trPr>
        <w:tc>
          <w:tcPr>
            <w:tcW w:w="7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w w:val="98"/>
              </w:rPr>
              <w:t>44,285</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34,068</w:t>
            </w:r>
          </w:p>
        </w:tc>
      </w:tr>
      <w:tr>
        <w:trPr>
          <w:trHeight w:val="27"/>
        </w:trPr>
        <w:tc>
          <w:tcPr>
            <w:tcW w:w="7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purchases of property and equipment</w:t>
            </w:r>
          </w:p>
        </w:tc>
        <w:tc>
          <w:tcPr>
            <w:tcW w:w="1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57"/>
        </w:trPr>
        <w:tc>
          <w:tcPr>
            <w:tcW w:w="7280" w:type="dxa"/>
            <w:vAlign w:val="bottom"/>
          </w:tcPr>
          <w:p>
            <w:pPr>
              <w:ind w:left="180"/>
              <w:spacing w:after="0"/>
              <w:rPr>
                <w:sz w:val="20"/>
                <w:szCs w:val="20"/>
                <w:color w:val="auto"/>
              </w:rPr>
            </w:pPr>
            <w:r>
              <w:rPr>
                <w:rFonts w:ascii="Arial" w:cs="Arial" w:eastAsia="Arial" w:hAnsi="Arial"/>
                <w:sz w:val="18"/>
                <w:szCs w:val="18"/>
                <w:color w:val="auto"/>
              </w:rPr>
              <w:t>Free cash flow (Non-GAAP)</w:t>
            </w:r>
          </w:p>
        </w:tc>
        <w:tc>
          <w:tcPr>
            <w:tcW w:w="12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8"/>
              </w:rPr>
              <w:t>42,054</w:t>
            </w:r>
          </w:p>
        </w:tc>
        <w:tc>
          <w:tcPr>
            <w:tcW w:w="2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33,312</w:t>
            </w:r>
          </w:p>
        </w:tc>
      </w:tr>
      <w:tr>
        <w:trPr>
          <w:trHeight w:val="20"/>
        </w:trPr>
        <w:tc>
          <w:tcPr>
            <w:tcW w:w="7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341"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Non-GAAP Financial Measures</w:t>
      </w:r>
    </w:p>
    <w:p>
      <w:pPr>
        <w:spacing w:after="0" w:line="225"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To supplement our condensed consolidated financial statements presented in accordance with U.S. GAAP, we consider certain financial measures that are not prepared in accordance with GAAP, including billings and free cash flow discussed above as well as non-GAAP gross margin, non-GAAP income from operations and non-GAAP operating margin, non-GAAP operating expenses and non-GAAP net income. These non-GAAP financial measures are not based on any standardized methodology prescribed by GAAP and are not necessarily comparable to similar measures presented by other companies.</w:t>
      </w:r>
    </w:p>
    <w:p>
      <w:pPr>
        <w:spacing w:after="0" w:line="154"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use these non-GAAP financial measures internally in analyzing our financial results and believe they are useful to investors, as a supplement to GAAP measures, in evaluating our ongoing operational performance and enhancing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also believe that the use of these non-GAAP financial measures provides an additional tool for investors to use in comparing our recurring core business operating results over multiple periods with other companies in our industry, many of which present similar non-GAAP financial measures to investors.</w:t>
      </w:r>
    </w:p>
    <w:p>
      <w:pPr>
        <w:spacing w:after="0" w:line="16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certain recurring, non-cash charges such as stock-based compensation expense and a patent settlement. Stock-based compensation has been, and will continue to be for the foreseeable future, a significant recurring expense in our business and is an important part of our employees' overall compensation. Second, the expenses that we exclude in our calculation of these non-GAAP financial measures may differ from the expenses, if any, that our peer companies may exclude when they report their results of operations. We compensate for these limitations by providing the nearest GAAP equivalents of these non-GAAP financial measures and describing these GAAP equivalents in our Results of Operations below.</w:t>
      </w:r>
    </w:p>
    <w:p>
      <w:pPr>
        <w:spacing w:after="0" w:line="16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Non-GAAP gross margin is gross margin as reported on our condensed consolidated statements of operations, excluding the impact of stock-based compensation expense, which is a non-cash charge. Non-GAAP income from operations is operating income, as reported on our condensed consolidated statements of operations, excluding the impact of stock-based compensation expense and the income from a patent settlement. Non-GAAP operating margin is non-GAAP income from operations divided by revenue. The following tables reconcile GAAP gross margin, income from operations, and operating margin to non-GAAP gross margin, non-GAAP income from operations, and non-GAAP operating margin for the three months ended June 30, 2012 and June 30, 2011.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gridSpan w:val="4"/>
          </w:tcPr>
          <w:p>
            <w:pPr>
              <w:jc w:val="center"/>
              <w:ind w:left="279"/>
              <w:spacing w:after="0"/>
              <w:rPr>
                <w:sz w:val="20"/>
                <w:szCs w:val="20"/>
                <w:color w:val="auto"/>
              </w:rPr>
            </w:pPr>
            <w:r>
              <w:rPr>
                <w:rFonts w:ascii="Arial" w:cs="Arial" w:eastAsia="Arial" w:hAnsi="Arial"/>
                <w:sz w:val="16"/>
                <w:szCs w:val="16"/>
                <w:b w:val="1"/>
                <w:bCs w:val="1"/>
                <w:color w:val="auto"/>
                <w:w w:val="93"/>
              </w:rPr>
              <w:t>Three Months Ended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1980" w:type="dxa"/>
            <w:vAlign w:val="bottom"/>
            <w:gridSpan w:val="3"/>
          </w:tcPr>
          <w:p>
            <w:pPr>
              <w:ind w:left="1040"/>
              <w:spacing w:after="0"/>
              <w:rPr>
                <w:sz w:val="20"/>
                <w:szCs w:val="20"/>
                <w:color w:val="auto"/>
              </w:rPr>
            </w:pPr>
            <w:r>
              <w:rPr>
                <w:rFonts w:ascii="Arial" w:cs="Arial" w:eastAsia="Arial" w:hAnsi="Arial"/>
                <w:sz w:val="16"/>
                <w:szCs w:val="16"/>
                <w:b w:val="1"/>
                <w:bCs w:val="1"/>
                <w:color w:val="auto"/>
                <w:w w:val="88"/>
              </w:rPr>
              <w:t>June 30, 2012</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gridSpan w:val="3"/>
          </w:tcPr>
          <w:p>
            <w:pPr>
              <w:ind w:left="380"/>
              <w:spacing w:after="0"/>
              <w:rPr>
                <w:sz w:val="20"/>
                <w:szCs w:val="20"/>
                <w:color w:val="auto"/>
              </w:rPr>
            </w:pPr>
            <w:r>
              <w:rPr>
                <w:rFonts w:ascii="Arial" w:cs="Arial" w:eastAsia="Arial" w:hAnsi="Arial"/>
                <w:sz w:val="16"/>
                <w:szCs w:val="16"/>
                <w:b w:val="1"/>
                <w:bCs w:val="1"/>
                <w:color w:val="auto"/>
                <w:w w:val="88"/>
              </w:rPr>
              <w:t>June 30, 2011</w:t>
            </w: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11"/>
              <w:spacing w:after="0"/>
              <w:rPr>
                <w:sz w:val="20"/>
                <w:szCs w:val="20"/>
                <w:color w:val="auto"/>
              </w:rPr>
            </w:pPr>
            <w:r>
              <w:rPr>
                <w:rFonts w:ascii="Arial" w:cs="Arial" w:eastAsia="Arial" w:hAnsi="Arial"/>
                <w:sz w:val="16"/>
                <w:szCs w:val="16"/>
                <w:b w:val="1"/>
                <w:bCs w:val="1"/>
                <w:color w:val="auto"/>
              </w:rPr>
              <w:t>% of</w:t>
            </w:r>
          </w:p>
        </w:tc>
      </w:tr>
      <w:tr>
        <w:trPr>
          <w:trHeight w:val="210"/>
        </w:trPr>
        <w:tc>
          <w:tcPr>
            <w:tcW w:w="5260" w:type="dxa"/>
            <w:vAlign w:val="bottom"/>
          </w:tcPr>
          <w:p>
            <w:pPr>
              <w:spacing w:after="0"/>
              <w:rPr>
                <w:sz w:val="18"/>
                <w:szCs w:val="18"/>
                <w:color w:val="auto"/>
              </w:rPr>
            </w:pPr>
          </w:p>
        </w:tc>
        <w:tc>
          <w:tcPr>
            <w:tcW w:w="1980" w:type="dxa"/>
            <w:vAlign w:val="bottom"/>
            <w:gridSpan w:val="3"/>
          </w:tcPr>
          <w:p>
            <w:pPr>
              <w:ind w:left="400"/>
              <w:spacing w:after="0"/>
              <w:rPr>
                <w:sz w:val="20"/>
                <w:szCs w:val="20"/>
                <w:color w:val="auto"/>
              </w:rPr>
            </w:pPr>
            <w:r>
              <w:rPr>
                <w:rFonts w:ascii="Arial" w:cs="Arial" w:eastAsia="Arial" w:hAnsi="Arial"/>
                <w:sz w:val="16"/>
                <w:szCs w:val="16"/>
                <w:b w:val="1"/>
                <w:bCs w:val="1"/>
                <w:color w:val="auto"/>
              </w:rPr>
              <w:t>Amount</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Revenue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4"/>
          </w:tcPr>
          <w:p>
            <w:pPr>
              <w:ind w:left="400"/>
              <w:spacing w:after="0"/>
              <w:rPr>
                <w:sz w:val="20"/>
                <w:szCs w:val="20"/>
                <w:color w:val="auto"/>
              </w:rPr>
            </w:pPr>
            <w:r>
              <w:rPr>
                <w:rFonts w:ascii="Arial" w:cs="Arial" w:eastAsia="Arial" w:hAnsi="Arial"/>
                <w:sz w:val="16"/>
                <w:szCs w:val="16"/>
                <w:b w:val="1"/>
                <w:bCs w:val="1"/>
                <w:color w:val="auto"/>
              </w:rPr>
              <w:t>Amount</w:t>
            </w:r>
          </w:p>
        </w:tc>
        <w:tc>
          <w:tcPr>
            <w:tcW w:w="980" w:type="dxa"/>
            <w:vAlign w:val="bottom"/>
          </w:tcPr>
          <w:p>
            <w:pPr>
              <w:jc w:val="right"/>
              <w:ind w:right="291"/>
              <w:spacing w:after="0"/>
              <w:rPr>
                <w:sz w:val="20"/>
                <w:szCs w:val="20"/>
                <w:color w:val="auto"/>
              </w:rPr>
            </w:pPr>
            <w:r>
              <w:rPr>
                <w:rFonts w:ascii="Arial" w:cs="Arial" w:eastAsia="Arial" w:hAnsi="Arial"/>
                <w:sz w:val="16"/>
                <w:szCs w:val="16"/>
                <w:b w:val="1"/>
                <w:bCs w:val="1"/>
                <w:color w:val="auto"/>
                <w:w w:val="86"/>
              </w:rPr>
              <w:t>Revenue</w:t>
            </w: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gridSpan w:val="4"/>
          </w:tcPr>
          <w:p>
            <w:pPr>
              <w:jc w:val="center"/>
              <w:ind w:left="259"/>
              <w:spacing w:after="0"/>
              <w:rPr>
                <w:sz w:val="20"/>
                <w:szCs w:val="20"/>
                <w:color w:val="auto"/>
              </w:rPr>
            </w:pPr>
            <w:r>
              <w:rPr>
                <w:rFonts w:ascii="Arial" w:cs="Arial" w:eastAsia="Arial" w:hAnsi="Arial"/>
                <w:sz w:val="16"/>
                <w:szCs w:val="16"/>
                <w:b w:val="1"/>
                <w:bCs w:val="1"/>
                <w:color w:val="auto"/>
                <w:w w:val="90"/>
              </w:rPr>
              <w:t>($ amounts in 000's)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128,962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103,023</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52"/>
        </w:trPr>
        <w:tc>
          <w:tcPr>
            <w:tcW w:w="5260" w:type="dxa"/>
            <w:vAlign w:val="bottom"/>
          </w:tcPr>
          <w:p>
            <w:pPr>
              <w:ind w:left="40"/>
              <w:spacing w:after="0"/>
              <w:rPr>
                <w:sz w:val="20"/>
                <w:szCs w:val="20"/>
                <w:color w:val="auto"/>
              </w:rPr>
            </w:pPr>
            <w:r>
              <w:rPr>
                <w:rFonts w:ascii="Arial" w:cs="Arial" w:eastAsia="Arial" w:hAnsi="Arial"/>
                <w:sz w:val="18"/>
                <w:szCs w:val="18"/>
                <w:color w:val="auto"/>
              </w:rPr>
              <w:t>GAAP gross profit and margin</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91,835</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71</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76,465</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1,029</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gross profit and margin</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92,864</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72</w:t>
            </w:r>
          </w:p>
        </w:tc>
        <w:tc>
          <w:tcPr>
            <w:tcW w:w="24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76,870</w:t>
            </w:r>
          </w:p>
        </w:tc>
        <w:tc>
          <w:tcPr>
            <w:tcW w:w="2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w:t>
            </w:r>
          </w:p>
        </w:tc>
      </w:tr>
      <w:tr>
        <w:trPr>
          <w:trHeight w:val="176"/>
        </w:trPr>
        <w:tc>
          <w:tcPr>
            <w:tcW w:w="5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GAAP income from operations and margin</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20,950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16</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18,779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2,292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985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1,681</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799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7,852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Patent settlement</w:t>
            </w:r>
          </w:p>
        </w:tc>
        <w:tc>
          <w:tcPr>
            <w:tcW w:w="138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20" w:type="dxa"/>
            <w:vAlign w:val="bottom"/>
            <w:gridSpan w:val="3"/>
          </w:tcPr>
          <w:p>
            <w:pPr>
              <w:jc w:val="right"/>
              <w:ind w:right="91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income from operations and margin</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28,324</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22</w:t>
            </w:r>
          </w:p>
        </w:tc>
        <w:tc>
          <w:tcPr>
            <w:tcW w:w="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22,171</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Non-GAAP operating expenses exclude the impact of stock-based compensation expense and the income from a patent settlement. The following tables reconcile GAAP operating expenses to non-GAAP operating expenses for the three months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2012 and June 30, 2011.</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gridSpan w:val="5"/>
          </w:tcPr>
          <w:p>
            <w:pPr>
              <w:jc w:val="center"/>
              <w:ind w:right="960"/>
              <w:spacing w:after="0"/>
              <w:rPr>
                <w:sz w:val="20"/>
                <w:szCs w:val="20"/>
                <w:color w:val="auto"/>
              </w:rPr>
            </w:pPr>
            <w:r>
              <w:rPr>
                <w:rFonts w:ascii="Arial" w:cs="Arial" w:eastAsia="Arial" w:hAnsi="Arial"/>
                <w:sz w:val="16"/>
                <w:szCs w:val="16"/>
                <w:b w:val="1"/>
                <w:bCs w:val="1"/>
                <w:color w:val="auto"/>
                <w:w w:val="93"/>
              </w:rPr>
              <w:t>Three Months Ended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60" w:type="dxa"/>
            <w:vAlign w:val="bottom"/>
          </w:tcPr>
          <w:p>
            <w:pPr>
              <w:spacing w:after="0"/>
              <w:rPr>
                <w:sz w:val="18"/>
                <w:szCs w:val="18"/>
                <w:color w:val="auto"/>
              </w:rPr>
            </w:pPr>
          </w:p>
        </w:tc>
        <w:tc>
          <w:tcPr>
            <w:tcW w:w="1980" w:type="dxa"/>
            <w:vAlign w:val="bottom"/>
            <w:gridSpan w:val="3"/>
          </w:tcPr>
          <w:p>
            <w:pPr>
              <w:ind w:left="1040"/>
              <w:spacing w:after="0"/>
              <w:rPr>
                <w:sz w:val="20"/>
                <w:szCs w:val="20"/>
                <w:color w:val="auto"/>
              </w:rPr>
            </w:pPr>
            <w:r>
              <w:rPr>
                <w:rFonts w:ascii="Arial" w:cs="Arial" w:eastAsia="Arial" w:hAnsi="Arial"/>
                <w:sz w:val="16"/>
                <w:szCs w:val="16"/>
                <w:b w:val="1"/>
                <w:bCs w:val="1"/>
                <w:color w:val="auto"/>
                <w:w w:val="88"/>
              </w:rPr>
              <w:t>June 30, 2012</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3"/>
          </w:tcPr>
          <w:p>
            <w:pPr>
              <w:ind w:left="1020"/>
              <w:spacing w:after="0"/>
              <w:rPr>
                <w:sz w:val="20"/>
                <w:szCs w:val="20"/>
                <w:color w:val="auto"/>
              </w:rPr>
            </w:pPr>
            <w:r>
              <w:rPr>
                <w:rFonts w:ascii="Arial" w:cs="Arial" w:eastAsia="Arial" w:hAnsi="Arial"/>
                <w:sz w:val="16"/>
                <w:szCs w:val="16"/>
                <w:b w:val="1"/>
                <w:bCs w:val="1"/>
                <w:color w:val="auto"/>
                <w:w w:val="88"/>
              </w:rPr>
              <w:t>June 30, 2011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 of</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11"/>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980" w:type="dxa"/>
            <w:vAlign w:val="bottom"/>
            <w:gridSpan w:val="3"/>
          </w:tcPr>
          <w:p>
            <w:pPr>
              <w:ind w:left="400"/>
              <w:spacing w:after="0"/>
              <w:rPr>
                <w:sz w:val="20"/>
                <w:szCs w:val="20"/>
                <w:color w:val="auto"/>
              </w:rPr>
            </w:pPr>
            <w:r>
              <w:rPr>
                <w:rFonts w:ascii="Arial" w:cs="Arial" w:eastAsia="Arial" w:hAnsi="Arial"/>
                <w:sz w:val="16"/>
                <w:szCs w:val="16"/>
                <w:b w:val="1"/>
                <w:bCs w:val="1"/>
                <w:color w:val="auto"/>
              </w:rPr>
              <w:t>Amount</w:t>
            </w:r>
          </w:p>
        </w:tc>
        <w:tc>
          <w:tcPr>
            <w:tcW w:w="124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89"/>
              </w:rPr>
              <w:t>Revenue</w:t>
            </w:r>
          </w:p>
        </w:tc>
        <w:tc>
          <w:tcPr>
            <w:tcW w:w="1960" w:type="dxa"/>
            <w:vAlign w:val="bottom"/>
            <w:gridSpan w:val="3"/>
          </w:tcPr>
          <w:p>
            <w:pPr>
              <w:ind w:left="400"/>
              <w:spacing w:after="0"/>
              <w:rPr>
                <w:sz w:val="20"/>
                <w:szCs w:val="20"/>
                <w:color w:val="auto"/>
              </w:rPr>
            </w:pPr>
            <w:r>
              <w:rPr>
                <w:rFonts w:ascii="Arial" w:cs="Arial" w:eastAsia="Arial" w:hAnsi="Arial"/>
                <w:sz w:val="16"/>
                <w:szCs w:val="16"/>
                <w:b w:val="1"/>
                <w:bCs w:val="1"/>
                <w:color w:val="auto"/>
              </w:rPr>
              <w:t>Amount</w:t>
            </w:r>
          </w:p>
        </w:tc>
        <w:tc>
          <w:tcPr>
            <w:tcW w:w="980" w:type="dxa"/>
            <w:vAlign w:val="bottom"/>
          </w:tcPr>
          <w:p>
            <w:pPr>
              <w:jc w:val="right"/>
              <w:ind w:right="291"/>
              <w:spacing w:after="0"/>
              <w:rPr>
                <w:sz w:val="20"/>
                <w:szCs w:val="20"/>
                <w:color w:val="auto"/>
              </w:rPr>
            </w:pPr>
            <w:r>
              <w:rPr>
                <w:rFonts w:ascii="Arial" w:cs="Arial" w:eastAsia="Arial" w:hAnsi="Arial"/>
                <w:sz w:val="16"/>
                <w:szCs w:val="16"/>
                <w:b w:val="1"/>
                <w:bCs w:val="1"/>
                <w:color w:val="auto"/>
                <w:w w:val="86"/>
              </w:rPr>
              <w:t>Revenue</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92"/>
              </w:rPr>
              <w:t>($ amounts in 000's)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research and development expenses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20,388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15,942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(2,292)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research and development expenses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18,096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14,957</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180"/>
              <w:spacing w:after="0"/>
              <w:rPr>
                <w:sz w:val="20"/>
                <w:szCs w:val="20"/>
                <w:color w:val="auto"/>
              </w:rPr>
            </w:pPr>
            <w:r>
              <w:rPr>
                <w:rFonts w:ascii="Arial" w:cs="Arial" w:eastAsia="Arial" w:hAnsi="Arial"/>
                <w:sz w:val="18"/>
                <w:szCs w:val="18"/>
                <w:color w:val="auto"/>
              </w:rPr>
              <w:t>Sales and marketing expenses:</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sales and marketing expenses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44,259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35,896</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sales and marketing expenses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40,784</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34,215</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180"/>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general and administrative expenses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 settlement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general and administrative expenses</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5,660</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5,527</w:t>
            </w:r>
          </w:p>
        </w:tc>
        <w:tc>
          <w:tcPr>
            <w:tcW w:w="2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26"/>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3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GAAP operating expenses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70,885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57,686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Patent settlement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478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operating expenses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64,540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54,699</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486"/>
        <w:spacing w:after="0" w:line="286" w:lineRule="auto"/>
        <w:rPr>
          <w:sz w:val="20"/>
          <w:szCs w:val="20"/>
          <w:color w:val="auto"/>
        </w:rPr>
      </w:pPr>
      <w:r>
        <w:rPr>
          <w:rFonts w:ascii="Arial" w:cs="Arial" w:eastAsia="Arial" w:hAnsi="Arial"/>
          <w:sz w:val="17"/>
          <w:szCs w:val="17"/>
          <w:color w:val="auto"/>
        </w:rPr>
        <w:t>Non-GAAP net income is net income, as reported in our condensed consolidated statements of operations, excluding the impact of stock-based compensation expense and income from a patent settlement. The following tables reconcile GAAP net income as reported on our condensed consolidated statements of operations to non-GAAP net income for the three months ended June 30, 2012 and June 30, 2011.</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4080" w:type="dxa"/>
            <w:vAlign w:val="bottom"/>
            <w:gridSpan w:val="3"/>
          </w:tcPr>
          <w:p>
            <w:pPr>
              <w:jc w:val="right"/>
              <w:ind w:right="121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160" w:type="dxa"/>
            <w:vAlign w:val="bottom"/>
            <w:gridSpan w:val="2"/>
          </w:tcPr>
          <w:p>
            <w:pPr>
              <w:ind w:left="500"/>
              <w:spacing w:after="0"/>
              <w:rPr>
                <w:sz w:val="20"/>
                <w:szCs w:val="20"/>
                <w:color w:val="auto"/>
              </w:rPr>
            </w:pPr>
            <w:r>
              <w:rPr>
                <w:rFonts w:ascii="Arial" w:cs="Arial" w:eastAsia="Arial" w:hAnsi="Arial"/>
                <w:sz w:val="16"/>
                <w:szCs w:val="16"/>
                <w:b w:val="1"/>
                <w:bCs w:val="1"/>
                <w:color w:val="auto"/>
              </w:rPr>
              <w:t>June 30, 2012</w:t>
            </w:r>
          </w:p>
        </w:tc>
        <w:tc>
          <w:tcPr>
            <w:tcW w:w="192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2011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4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4080" w:type="dxa"/>
            <w:vAlign w:val="bottom"/>
            <w:gridSpan w:val="3"/>
          </w:tcPr>
          <w:p>
            <w:pPr>
              <w:jc w:val="right"/>
              <w:ind w:right="1251"/>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280" w:type="dxa"/>
            <w:vAlign w:val="bottom"/>
          </w:tcPr>
          <w:p>
            <w:pPr>
              <w:ind w:left="260"/>
              <w:spacing w:after="0"/>
              <w:rPr>
                <w:sz w:val="20"/>
                <w:szCs w:val="20"/>
                <w:color w:val="auto"/>
              </w:rPr>
            </w:pPr>
            <w:r>
              <w:rPr>
                <w:rFonts w:ascii="Arial" w:cs="Arial" w:eastAsia="Arial" w:hAnsi="Arial"/>
                <w:sz w:val="18"/>
                <w:szCs w:val="18"/>
                <w:color w:val="auto"/>
              </w:rPr>
              <w:t>GAAP net income</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13,950</w:t>
            </w:r>
          </w:p>
        </w:tc>
        <w:tc>
          <w:tcPr>
            <w:tcW w:w="220" w:type="dxa"/>
            <w:vAlign w:val="bottom"/>
          </w:tcPr>
          <w:p>
            <w:pPr>
              <w:spacing w:after="0"/>
              <w:rPr>
                <w:sz w:val="21"/>
                <w:szCs w:val="21"/>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14,494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5"/>
                <w:szCs w:val="25"/>
                <w:color w:val="auto"/>
                <w:vertAlign w:val="superscript"/>
              </w:rPr>
              <w:t>(1)</w:t>
            </w:r>
          </w:p>
        </w:tc>
        <w:tc>
          <w:tcPr>
            <w:tcW w:w="1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7,852</w:t>
            </w:r>
          </w:p>
        </w:tc>
        <w:tc>
          <w:tcPr>
            <w:tcW w:w="2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280" w:type="dxa"/>
            <w:vAlign w:val="bottom"/>
          </w:tcPr>
          <w:p>
            <w:pPr>
              <w:ind w:left="380"/>
              <w:spacing w:after="0" w:line="270" w:lineRule="exact"/>
              <w:rPr>
                <w:sz w:val="20"/>
                <w:szCs w:val="20"/>
                <w:color w:val="auto"/>
              </w:rPr>
            </w:pPr>
            <w:r>
              <w:rPr>
                <w:rFonts w:ascii="Arial" w:cs="Arial" w:eastAsia="Arial" w:hAnsi="Arial"/>
                <w:sz w:val="18"/>
                <w:szCs w:val="18"/>
                <w:color w:val="auto"/>
              </w:rPr>
              <w:t>Patent settlement</w:t>
            </w:r>
            <w:r>
              <w:rPr>
                <w:rFonts w:ascii="Arial" w:cs="Arial" w:eastAsia="Arial" w:hAnsi="Arial"/>
                <w:sz w:val="25"/>
                <w:szCs w:val="25"/>
                <w:color w:val="auto"/>
                <w:vertAlign w:val="superscript"/>
              </w:rPr>
              <w:t>(2)</w:t>
            </w:r>
          </w:p>
        </w:tc>
        <w:tc>
          <w:tcPr>
            <w:tcW w:w="194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Provision for income taxes</w:t>
            </w:r>
            <w:r>
              <w:rPr>
                <w:rFonts w:ascii="Arial" w:cs="Arial" w:eastAsia="Arial" w:hAnsi="Arial"/>
                <w:sz w:val="25"/>
                <w:szCs w:val="25"/>
                <w:color w:val="auto"/>
                <w:vertAlign w:val="superscript"/>
              </w:rPr>
              <w:t>(3)</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8,276</w:t>
            </w:r>
          </w:p>
        </w:tc>
        <w:tc>
          <w:tcPr>
            <w:tcW w:w="22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280" w:type="dxa"/>
            <w:vAlign w:val="bottom"/>
          </w:tcPr>
          <w:p>
            <w:pPr>
              <w:ind w:left="380"/>
              <w:spacing w:after="0"/>
              <w:rPr>
                <w:sz w:val="20"/>
                <w:szCs w:val="20"/>
                <w:color w:val="auto"/>
              </w:rPr>
            </w:pPr>
            <w:r>
              <w:rPr>
                <w:rFonts w:ascii="Arial" w:cs="Arial" w:eastAsia="Arial" w:hAnsi="Arial"/>
                <w:sz w:val="18"/>
                <w:szCs w:val="18"/>
                <w:color w:val="auto"/>
              </w:rPr>
              <w:t>Non-GAAP income before provision for income taxes</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29,600</w:t>
            </w:r>
          </w:p>
        </w:tc>
        <w:tc>
          <w:tcPr>
            <w:tcW w:w="220" w:type="dxa"/>
            <w:vAlign w:val="bottom"/>
          </w:tcPr>
          <w:p>
            <w:pPr>
              <w:spacing w:after="0"/>
              <w:rPr>
                <w:sz w:val="20"/>
                <w:szCs w:val="20"/>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22,827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Tax effects related to non-GAAP adjustments</w:t>
            </w:r>
            <w:r>
              <w:rPr>
                <w:rFonts w:ascii="Arial" w:cs="Arial" w:eastAsia="Arial" w:hAnsi="Arial"/>
                <w:sz w:val="25"/>
                <w:szCs w:val="25"/>
                <w:color w:val="auto"/>
                <w:vertAlign w:val="superscript"/>
              </w:rPr>
              <w:t>(4)</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22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2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Non-GAAP net income</w:t>
            </w:r>
          </w:p>
        </w:tc>
        <w:tc>
          <w:tcPr>
            <w:tcW w:w="1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19,536</w:t>
            </w:r>
          </w:p>
        </w:tc>
        <w:tc>
          <w:tcPr>
            <w:tcW w:w="2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15,294</w:t>
            </w: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7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Non-GAAP net income per share - diluted</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22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280" w:type="dxa"/>
            <w:vAlign w:val="bottom"/>
          </w:tcPr>
          <w:p>
            <w:pPr>
              <w:ind w:left="260"/>
              <w:spacing w:after="0"/>
              <w:rPr>
                <w:sz w:val="20"/>
                <w:szCs w:val="20"/>
                <w:color w:val="auto"/>
              </w:rPr>
            </w:pPr>
            <w:r>
              <w:rPr>
                <w:rFonts w:ascii="Arial" w:cs="Arial" w:eastAsia="Arial" w:hAnsi="Arial"/>
                <w:sz w:val="18"/>
                <w:szCs w:val="18"/>
                <w:color w:val="auto"/>
              </w:rPr>
              <w:t>Shares used in per share calculation - diluted</w:t>
            </w:r>
          </w:p>
        </w:tc>
        <w:tc>
          <w:tcPr>
            <w:tcW w:w="1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166,061</w:t>
            </w:r>
          </w:p>
        </w:tc>
        <w:tc>
          <w:tcPr>
            <w:tcW w:w="220" w:type="dxa"/>
            <w:vAlign w:val="bottom"/>
          </w:tcPr>
          <w:p>
            <w:pPr>
              <w:spacing w:after="0"/>
              <w:rPr>
                <w:sz w:val="24"/>
                <w:szCs w:val="24"/>
                <w:color w:val="auto"/>
              </w:rPr>
            </w:pPr>
          </w:p>
        </w:tc>
        <w:tc>
          <w:tcPr>
            <w:tcW w:w="1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163,887</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jc w:val="right"/>
              <w:ind w:right="6690"/>
              <w:spacing w:after="0"/>
              <w:rPr>
                <w:sz w:val="20"/>
                <w:szCs w:val="20"/>
                <w:color w:val="auto"/>
              </w:rPr>
            </w:pPr>
            <w:r>
              <w:rPr>
                <w:rFonts w:ascii="Arial" w:cs="Arial" w:eastAsia="Arial" w:hAnsi="Arial"/>
                <w:sz w:val="18"/>
                <w:szCs w:val="18"/>
                <w:color w:val="auto"/>
                <w:w w:val="96"/>
              </w:rPr>
              <w:t>---------</w:t>
            </w: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Stock-based compensation expense is added back to GAAP net income to reconcile to non-GAAP income before taxes.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patent settlement income is removed from GAAP net income to reconcile to non-GAAP income before taxes.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 for income taxes is our GAAP provision that must be added to GAAP net income to reconcile to non-GAAP</w:t>
      </w:r>
    </w:p>
    <w:p>
      <w:pPr>
        <w:sectPr>
          <w:pgSz w:w="11900" w:h="16838" w:orient="portrait"/>
          <w:cols w:equalWidth="0" w:num="1">
            <w:col w:w="11420"/>
          </w:cols>
          <w:pgMar w:left="240" w:top="341"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41"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before taxes.</w:t>
      </w:r>
    </w:p>
    <w:p>
      <w:pPr>
        <w:spacing w:after="0" w:line="23" w:lineRule="exact"/>
        <w:rPr>
          <w:sz w:val="20"/>
          <w:szCs w:val="20"/>
          <w:color w:val="auto"/>
        </w:rPr>
      </w:pPr>
    </w:p>
    <w:p>
      <w:pPr>
        <w:ind w:left="500" w:hanging="492"/>
        <w:spacing w:after="0" w:line="286"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Tax provision related to non-GAAP income before tax reflects 34% and 33% effective tax rates in the three months ended June 30, 2012 and June 30, 2011, respectively. Based on the annual estimate for geographic split of income, as well as various tax credits we expect to achieve in various locations, we currently plan to use a 34% tax rate for the year, subject to discrete items that may occur in a particular quarter.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180" w:firstLine="486"/>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U.S.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significant changes to our critical accounting policies and estimates since the fiscal year ended December 31, 2011.</w:t>
      </w:r>
    </w:p>
    <w:p>
      <w:pPr>
        <w:spacing w:after="0" w:line="221"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—In October 2009, the Financial Accounting Standards Board (“FASB”) amended the Accounting Standards Codification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(“ASC”) as summarized in ASU No. 2009-13, </w:t>
      </w:r>
      <w:r>
        <w:rPr>
          <w:rFonts w:ascii="Arial" w:cs="Arial" w:eastAsia="Arial" w:hAnsi="Arial"/>
          <w:sz w:val="16"/>
          <w:szCs w:val="16"/>
          <w:i w:val="1"/>
          <w:iCs w:val="1"/>
          <w:color w:val="auto"/>
        </w:rPr>
        <w:t>Revenue Recognition (Topic 605): Multiple-Deliverable Revenue Arrangements (“ASU 2009-13”),</w:t>
      </w:r>
      <w:r>
        <w:rPr>
          <w:rFonts w:ascii="Arial" w:cs="Arial" w:eastAsia="Arial" w:hAnsi="Arial"/>
          <w:sz w:val="16"/>
          <w:szCs w:val="16"/>
          <w:color w:val="auto"/>
        </w:rPr>
        <w:t xml:space="preserve"> and ASU No. 2009-14, </w:t>
      </w:r>
      <w:r>
        <w:rPr>
          <w:rFonts w:ascii="Arial" w:cs="Arial" w:eastAsia="Arial" w:hAnsi="Arial"/>
          <w:sz w:val="16"/>
          <w:szCs w:val="16"/>
          <w:i w:val="1"/>
          <w:iCs w:val="1"/>
          <w:color w:val="auto"/>
        </w:rPr>
        <w:t>Software (Topic 985): Certain Revenue Arrangements That Include Software Elements (“ASU 2009-14”)</w:t>
      </w:r>
      <w:r>
        <w:rPr>
          <w:rFonts w:ascii="Arial" w:cs="Arial" w:eastAsia="Arial" w:hAnsi="Arial"/>
          <w:sz w:val="16"/>
          <w:szCs w:val="16"/>
          <w:color w:val="auto"/>
        </w:rPr>
        <w:t>. ASU 2009-13 amended the accounting for multiple-element arrangements to provide guidance on how the deliverables in an arrangement should be separated and eliminates the use of the residual method. ASU 2009-13 also requires an entity to allocate revenue using the relative selling price method. The standard establishes a hierarchy of evidence to determine the stand-alone selling price of a deliverable based on vendor-specific objective evidence (“VSOE”), third party evidence (“TPE”), and the best estimated selling price (“BESP”). If VSOE is available, it would be used to determine the selling price of a deliverable. If VSOE is not available, the entity would determine whether TPE is available. If so, TPE must be used to determine the selling price. If TPE is not available, then the BESP would be used. ASU 2009-14 amended industry specific revenue accounting guidance for software and software related transactions to exclude from its scope tangible products containing software components and non-software components that function together to deliver the product's essential functionality.</w:t>
      </w:r>
    </w:p>
    <w:p>
      <w:pPr>
        <w:spacing w:after="0" w:line="165"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This guidance does not generally change the units of accounting for our revenue transactions. Most non-software products and services qualify as separate units of accounting because they have value to the customer on a standalone basis and our revenue arrangements generally do not include a right of return relative to delivered products.</w:t>
      </w:r>
    </w:p>
    <w:p>
      <w:pPr>
        <w:spacing w:after="0" w:line="18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majority of our products are hardware appliances containing software components that function together to provide the essential functionality of the product, therefore, our hardware appliances are considered non-software deliverables and are no longer within the scope of ASC 985-605.</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product revenue also includes software products that may operate on the hardware appliances, but are not considered essential to the functionality of the hardware and continue to be subject to the guidance at ASC 985-605, which remains unchanged. Certain of our software, when sold with our appliances, is considered essential to its functionality and as a result is no longer accounted for under ASC 985-605; however, this same software if sold separately is accounted for under the guidance at ASC 985-605.</w:t>
      </w:r>
    </w:p>
    <w:p>
      <w:pPr>
        <w:spacing w:after="0" w:line="1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For all transactions originating or materially modified after December 31, 2010, we recognize revenue in accordance with ASU 2009-13. Certain arrangements with multiple deliverables may continue to have software deliverables that are subject to ASC 985-605 along with non-software deliverables that are subject to ASU 2009-13. When a sales arrangement contains multiple elements, such as hardware appliances, software, customer support services, and/or professional services, we allocate revenue to each element based on the aforementioned selling price hierarchy. In multiple element arrangements where software is more-than-incidental, revenue is allocated to each separate unit of accounting for each of the non-software deliverables and to the software deliverables as a group using the relative selling prices of each of the deliverables in the arrangement based on the selling price hierarchy in ASU 2009-13.</w:t>
      </w:r>
    </w:p>
    <w:p>
      <w:pPr>
        <w:spacing w:after="0" w:line="16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VSOE of fair value for elements of an arrangement is based upon the normal pricing and discounting practices for those services when sold separately. In determining VSOE, we require that a substantial majority of the selling prices for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service fall within a reasonably narrow pricing range, generally evidenced by a substantial majority of such historical stand-alone transactions falling within a reasonably narrow range of the median rates. In addition, we consider major segments, geographies, customer classifications, and other variables in determining VSOE.</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typically not able to determine TPE for our products or services. TPE is determined based on competitor prices for similar deliverables when sold separately. Generally, our go-to-market strategy differs from that of our peers and our offerings contain a significant level of differentiation such that the comparable pricing of products with similar functionality cannot be obtained. Furthermore, we are unable to reliably determine what similar competitor products' selling prices are on a stand-alone basis.</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For our hardware appliances, we use BESP as our selling price. For our support and other services, we generally use VSOE as our selling price. When we are unable to establish a selling price using VSOE for our support and other services, we use BESP in our allocation of arrangement consideration. The objective of BESP is to determine the price at which we would transact a sale if the product or service were sold on a stand-alone basis. We determine BESP for a product or service by considering multiple factors including, but not limited to, cost of products, gross margin objectives, pricing practices, geographies, customer classes and distribution channels. We review our BESP estimates on a quarterly basis to coincide with our VSOE review process.</w:t>
      </w:r>
    </w:p>
    <w:p>
      <w:pPr>
        <w:spacing w:after="0" w:line="15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recognize revenue for our software sales based on software revenue recognition guidance pursuant to ASC 985-605. Under ASC 985-605, we use the residual method to recognize revenue when a product agreement includes one or more elements to be delivered and VSOE of fair value for all undelivered elements exists. If evidence of the fair value of one or more undelivered elements does not exist, all revenue is generally deferred and recognized when delivery of those elements occurs or when fair value can be established. When the undelivered element for which we do not have VSOE of fair value is support, revenue for the entire arrangement is recognized ratably over the support period.</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derive revenue from sales of products, including appliances and software, and services, including subscription, support and other services. Our appliances include operating system software that is integrated into the appliance hardware and is deemed essential to its functionality. As a result, we account for revenue in accordance with ASU 2009-13 and all related interpretations.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225" w:lineRule="exact"/>
        <w:rPr>
          <w:sz w:val="20"/>
          <w:szCs w:val="20"/>
          <w:color w:val="auto"/>
        </w:rPr>
      </w:pPr>
    </w:p>
    <w:p>
      <w:pPr>
        <w:ind w:left="1300" w:right="4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Persuasive evidence of an arrangement exists. Binding contracts or purchase orders are generally used to determine the existence of an arrangement.</w:t>
      </w:r>
    </w:p>
    <w:p>
      <w:pPr>
        <w:spacing w:after="0" w:line="170"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Delivery has occurred. Delivery occurs when we fulfill an order and title and risk of loss has been transferred or upon delivery of the service contract registration code.</w:t>
      </w:r>
    </w:p>
    <w:p>
      <w:pPr>
        <w:spacing w:after="0" w:line="170" w:lineRule="exact"/>
        <w:rPr>
          <w:rFonts w:ascii="Arial" w:cs="Arial" w:eastAsia="Arial" w:hAnsi="Arial"/>
          <w:sz w:val="18"/>
          <w:szCs w:val="18"/>
          <w:color w:val="auto"/>
        </w:rPr>
      </w:pPr>
    </w:p>
    <w:p>
      <w:pPr>
        <w:ind w:left="1300" w:right="80" w:hanging="644"/>
        <w:spacing w:after="0" w:line="31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fee is fixed or determinable. We assess whether the fee is fixed or determinable based on the payment terms associated with the transaction. In 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146"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Collectability is probable. We assess collectability based primarily on creditworthiness as determined by credit checks and analysis, as well as payment history. Payment terms generally range from 30 to 90 days from invoice date.</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For arrangements which include end-customer acceptance criteria, revenue is recognized upon acceptance. We recognize product revenue on sales to distributors that have no general right of return and direct sales to end-customers upon shipment, once all other revenue recognition criteria have been met. We also recognize revenue upon sell-through for distributor agreements that allow for rights of return. Such returns are estimated and recorded as a reduction to revenue.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6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subscription and support services start on the date the customer registers the appliance. The customer is then entitled to service for the stated contractual period beginning on the registration date.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32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See Note 1 of notes to condensed consolidated financial statements for a full description of recently adopted accounting pronouncements.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225"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In August 2012, we purchased certain real property in Sunnyvale, California, for a total cash consideration of $14.5 million, to serve as the future corporate headquarters office for the Company.</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341"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2012 and June 30,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760" w:type="dxa"/>
            <w:vAlign w:val="bottom"/>
            <w:gridSpan w:val="4"/>
          </w:tcPr>
          <w:p>
            <w:pPr>
              <w:ind w:left="820"/>
              <w:spacing w:after="0"/>
              <w:rPr>
                <w:sz w:val="20"/>
                <w:szCs w:val="20"/>
                <w:color w:val="auto"/>
              </w:rPr>
            </w:pPr>
            <w:r>
              <w:rPr>
                <w:rFonts w:ascii="Arial" w:cs="Arial" w:eastAsia="Arial" w:hAnsi="Arial"/>
                <w:sz w:val="16"/>
                <w:szCs w:val="16"/>
                <w:b w:val="1"/>
                <w:bCs w:val="1"/>
                <w:color w:val="auto"/>
              </w:rPr>
              <w:t>June 30, 2012</w:t>
            </w:r>
          </w:p>
        </w:tc>
        <w:tc>
          <w:tcPr>
            <w:tcW w:w="2740" w:type="dxa"/>
            <w:vAlign w:val="bottom"/>
            <w:gridSpan w:val="4"/>
          </w:tcPr>
          <w:p>
            <w:pPr>
              <w:ind w:left="820"/>
              <w:spacing w:after="0"/>
              <w:rPr>
                <w:sz w:val="20"/>
                <w:szCs w:val="20"/>
                <w:color w:val="auto"/>
              </w:rPr>
            </w:pPr>
            <w:r>
              <w:rPr>
                <w:rFonts w:ascii="Arial" w:cs="Arial" w:eastAsia="Arial" w:hAnsi="Arial"/>
                <w:sz w:val="16"/>
                <w:szCs w:val="16"/>
                <w:b w:val="1"/>
                <w:bCs w:val="1"/>
                <w:color w:val="auto"/>
              </w:rPr>
              <w:t>June 30, 2011</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211"/>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ind w:left="540"/>
              <w:spacing w:after="0"/>
              <w:rPr>
                <w:sz w:val="20"/>
                <w:szCs w:val="20"/>
                <w:color w:val="auto"/>
              </w:rPr>
            </w:pPr>
            <w:r>
              <w:rPr>
                <w:rFonts w:ascii="Arial" w:cs="Arial" w:eastAsia="Arial" w:hAnsi="Arial"/>
                <w:sz w:val="16"/>
                <w:szCs w:val="16"/>
                <w:b w:val="1"/>
                <w:bCs w:val="1"/>
                <w:color w:val="auto"/>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61,692</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46,687</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15,005</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65,412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52,671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12,741</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1,858</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3,665</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(1,807)</w:t>
            </w: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128,962</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103,023</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25,939</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3"/>
        </w:trPr>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Americas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51,922</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40,541</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11,381</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EMEA</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43,664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36,633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7,031</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APAC</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33,376</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25,849</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7,527</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128,962</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103,023</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25,939</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Total revenue increased by $25.9 million, or 25%, during the three months ended June 30, 2012 compared to the three months ended June 30, 2011. The Americas and APAC regions contributed the largest portion of our revenue growth on a percentage basis. Product revenue increased by $15.0 million, or 32%, compared to the three months ended June 30, 2011, as we experienced higher sales volumes and increased demand for our mid-range and high-end products from our enterprise and service provider customers. Strong demand for the FortiGate-200B, Fortigate-300C and FortiGate-600C mid-range models and the FortiGate-1000C, 3950B and 5000-series high-end appliance products all contributed to the growth. Services revenue increased by $12.7 million, or 24%, during the three months ended June 30, 2012 compared to the three months ended June 30, 2011 due to recognition of revenue from our growing deferred revenue balance consisting of subscription and support contracts sold to a larger customer base. The decline in ratable and other revenue was primarily due to the decline in amortization of ratable revenue. Excluding the decline in ratable and other revenue, product and services revenue combined together increased by 28% compared to the three months ended June 30,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3440" w:type="dxa"/>
            <w:vAlign w:val="bottom"/>
            <w:gridSpan w:val="4"/>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9"/>
        </w:trPr>
        <w:tc>
          <w:tcPr>
            <w:tcW w:w="5040" w:type="dxa"/>
            <w:vAlign w:val="bottom"/>
          </w:tcPr>
          <w:p>
            <w:pPr>
              <w:spacing w:after="0"/>
              <w:rPr>
                <w:sz w:val="18"/>
                <w:szCs w:val="18"/>
                <w:color w:val="auto"/>
              </w:rPr>
            </w:pPr>
          </w:p>
        </w:tc>
        <w:tc>
          <w:tcPr>
            <w:tcW w:w="172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72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1500" w:type="dxa"/>
            <w:vAlign w:val="bottom"/>
          </w:tcPr>
          <w:p>
            <w:pPr>
              <w:jc w:val="right"/>
              <w:ind w:right="512"/>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500" w:type="dxa"/>
            <w:vAlign w:val="bottom"/>
          </w:tcPr>
          <w:p>
            <w:pPr>
              <w:jc w:val="right"/>
              <w:ind w:right="512"/>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38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c>
          <w:tcPr>
            <w:tcW w:w="156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3"/>
          </w:tcPr>
          <w:p>
            <w:pPr>
              <w:jc w:val="right"/>
              <w:ind w:right="831"/>
              <w:spacing w:after="0"/>
              <w:rPr>
                <w:sz w:val="20"/>
                <w:szCs w:val="20"/>
                <w:color w:val="auto"/>
              </w:rPr>
            </w:pPr>
            <w:r>
              <w:rPr>
                <w:rFonts w:ascii="Arial" w:cs="Arial" w:eastAsia="Arial" w:hAnsi="Arial"/>
                <w:sz w:val="16"/>
                <w:szCs w:val="16"/>
                <w:b w:val="1"/>
                <w:bCs w:val="1"/>
                <w:color w:val="auto"/>
              </w:rPr>
              <w:t>($ amounts in 000's)</w:t>
            </w:r>
          </w:p>
        </w:tc>
        <w:tc>
          <w:tcPr>
            <w:tcW w:w="15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23,935</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16,591</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7,344</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44</w:t>
            </w: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12,467</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8,596</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3,871</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1,371</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(646)</w:t>
            </w:r>
          </w:p>
        </w:tc>
        <w:tc>
          <w:tcPr>
            <w:tcW w:w="1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0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37,127</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26,558</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10,569</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3"/>
        </w:trPr>
        <w:tc>
          <w:tcPr>
            <w:tcW w:w="5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w:t>
            </w: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80.9</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gross margin</w:t>
            </w: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74.2</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560" w:type="dxa"/>
            <w:vAlign w:val="bottom"/>
            <w:shd w:val="clear" w:color="auto" w:fill="CCEEFF"/>
          </w:tcPr>
          <w:p>
            <w:pPr>
              <w:spacing w:after="0"/>
              <w:rPr>
                <w:sz w:val="21"/>
                <w:szCs w:val="21"/>
                <w:color w:val="auto"/>
              </w:rPr>
            </w:pPr>
          </w:p>
        </w:tc>
      </w:tr>
      <w:tr>
        <w:trPr>
          <w:trHeight w:val="27"/>
        </w:trPr>
        <w:tc>
          <w:tcPr>
            <w:tcW w:w="50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Total gross margin decreased by 3.0 percentage points during the three months ended June 30, 2012 as both product and services gross margins declined. Product gross margin decreased by 3.3 percentage points during the three months ended June 30, 2012 compared to the three months ended June 30, 2011, primarily related to a higher quantity of mid-range products purchased by a large retail customer with lower than average gross margins. Overall, the average selling price for FortiGate</w:t>
      </w:r>
    </w:p>
    <w:p>
      <w:pPr>
        <w:sectPr>
          <w:pgSz w:w="11900" w:h="16838" w:orient="portrait"/>
          <w:cols w:equalWidth="0" w:num="1">
            <w:col w:w="11420"/>
          </w:cols>
          <w:pgMar w:left="240" w:top="34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41"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related products remained consistent compared to the three months ended June 30, 2011, while unit volume increased to drive the growth. We also experienced the impact from cost increases related to higher material costs incurred to support higher density storage requirements for our upcoming release of FortiOS 5.0, our next generation operating system. We expect these product cost increases to be temporary as we begin to bring costs down in the future. From time to time, we have experienced sales of previously reserved inventory. During the three months ended June 30, 2012, we experienced a positive impact to gross margin of 0.3 of a percentage point due to the sale of fully reserved inventory compared to a positive impact to gross margin of 0.4 of a percentage point during the three months ended June 30, 2011. The 2.8 percentage points' decrease in services gross margin was primarily due to our continued investment in our technical support organization to accommodate our expanding customer base and higher demands from large enterprise customers. In addition, we experienced growth in our professional consulting services which have lower gross margins than our support and subscription services. A $3.9 million increase in services costs consisted primarily of a $2.0 million increase in cash-based personnel costs related to headcount growth, a $0.3 million increase in warranty costs, a $0.2 million increase in travel expenses, a $0.2 million increase in occupancy-related costs, and a $0.6 million increase in depreciation and other expenses. Higher stock-based compensation expense of $0.6 million also reduced services gross margin by 0.6 of a percentage point compared to the three months ended June 30,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300" w:type="dxa"/>
            <w:vAlign w:val="bottom"/>
            <w:gridSpan w:val="3"/>
          </w:tcPr>
          <w:p>
            <w:pPr>
              <w:ind w:left="820"/>
              <w:spacing w:after="0"/>
              <w:rPr>
                <w:sz w:val="20"/>
                <w:szCs w:val="20"/>
                <w:color w:val="auto"/>
              </w:rPr>
            </w:pPr>
            <w:r>
              <w:rPr>
                <w:rFonts w:ascii="Arial" w:cs="Arial" w:eastAsia="Arial" w:hAnsi="Arial"/>
                <w:sz w:val="16"/>
                <w:szCs w:val="16"/>
                <w:b w:val="1"/>
                <w:bCs w:val="1"/>
                <w:color w:val="auto"/>
              </w:rPr>
              <w:t>June 30, 2012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ind w:left="820"/>
              <w:spacing w:after="0"/>
              <w:rPr>
                <w:sz w:val="20"/>
                <w:szCs w:val="20"/>
                <w:color w:val="auto"/>
              </w:rPr>
            </w:pPr>
            <w:r>
              <w:rPr>
                <w:rFonts w:ascii="Arial" w:cs="Arial" w:eastAsia="Arial" w:hAnsi="Arial"/>
                <w:sz w:val="16"/>
                <w:szCs w:val="16"/>
                <w:b w:val="1"/>
                <w:bCs w:val="1"/>
                <w:color w:val="auto"/>
              </w:rPr>
              <w:t>June 30, 2011</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left="179"/>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920" w:type="dxa"/>
            <w:vAlign w:val="bottom"/>
          </w:tcPr>
          <w:p>
            <w:pPr>
              <w:jc w:val="center"/>
              <w:ind w:left="159"/>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212"/>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ind w:left="540"/>
              <w:spacing w:after="0"/>
              <w:rPr>
                <w:sz w:val="20"/>
                <w:szCs w:val="20"/>
                <w:color w:val="auto"/>
              </w:rPr>
            </w:pPr>
            <w:r>
              <w:rPr>
                <w:rFonts w:ascii="Arial" w:cs="Arial" w:eastAsia="Arial" w:hAnsi="Arial"/>
                <w:sz w:val="16"/>
                <w:szCs w:val="16"/>
                <w:b w:val="1"/>
                <w:bCs w:val="1"/>
                <w:color w:val="auto"/>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20,388</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16</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15,942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4,446</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44,259</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35,896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6,238</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5,848</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390</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70,885</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57,686</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13,199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Research and development expense increased by $4.4 million, or 28%, during the three months ended June 30, 2012 compared to the three months ended June 30, 2011, primarily due to an increase in personnel costs. Cash-based personnel costs increased by $2.0 million primarily due to increased headcount to support the development of new products and continued enhancements of our existing products. In addition, stock-compensation expense increased by $1.3 million; product development and certification expenses increased by $0.5 million; and depreciation and other expenses increased by $0.6 million. We intend to continue to invest in our research and development organization but expect expense as a percentage of revenue to remain comparable or decline in the second half of fiscal 2012.</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Sales and marketing expense increased by $8.4 million, or 23%, in the three months ended June 30, 2012 compared to the three months ended June 30, 2011, primarily due to increased personnel costs. Cash-based personnel costs increased by $5.5 million due to higher salaries, commissions, and benefits resulting from increased headcount in order to expand our sales infrastructure. We also incurred a $1.8 million increase in stock-based compensation expense, a $0.6 million increase in marketing related activities, a $0.2 million increase in occupancy-related costs, and a $0.3 million increase in depreciation and other expenses. We intend to continue to make investments in our sales resources and infrastructure, which are critical to support sustainable growth but expect sales and marketing expense as a percentage of revenue to decline in the second half of fiscal 2012.</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300" w:firstLine="486"/>
        <w:spacing w:after="0" w:line="312" w:lineRule="auto"/>
        <w:rPr>
          <w:sz w:val="20"/>
          <w:szCs w:val="20"/>
          <w:color w:val="auto"/>
        </w:rPr>
      </w:pPr>
      <w:r>
        <w:rPr>
          <w:rFonts w:ascii="Arial" w:cs="Arial" w:eastAsia="Arial" w:hAnsi="Arial"/>
          <w:sz w:val="16"/>
          <w:szCs w:val="16"/>
          <w:color w:val="auto"/>
        </w:rPr>
        <w:t>General and administrative expense increased by $0.4 million, or 7% in the three months ended June 30, 2012, compared to the three months ended June 30, 2011. The increase was primarily due to a $0.3 million increase in stock-based compensation expense and a $0.1 million increase in professional services. We expect general and administrative expense as a percentage of revenue to remain at comparable levels during the remainder of fiscal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200" w:type="dxa"/>
            <w:vAlign w:val="bottom"/>
            <w:gridSpan w:val="2"/>
          </w:tcPr>
          <w:p>
            <w:pPr>
              <w:jc w:val="right"/>
              <w:ind w:right="755"/>
              <w:spacing w:after="0"/>
              <w:rPr>
                <w:sz w:val="20"/>
                <w:szCs w:val="20"/>
                <w:color w:val="auto"/>
              </w:rPr>
            </w:pPr>
            <w:r>
              <w:rPr>
                <w:rFonts w:ascii="Arial" w:cs="Arial" w:eastAsia="Arial" w:hAnsi="Arial"/>
                <w:sz w:val="16"/>
                <w:szCs w:val="16"/>
                <w:b w:val="1"/>
                <w:bCs w:val="1"/>
                <w:color w:val="auto"/>
              </w:rPr>
              <w:t>Three Months Ended</w:t>
            </w:r>
          </w:p>
        </w:tc>
        <w:tc>
          <w:tcPr>
            <w:tcW w:w="1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5000" w:type="dxa"/>
            <w:vAlign w:val="bottom"/>
          </w:tcPr>
          <w:p>
            <w:pPr>
              <w:spacing w:after="0"/>
              <w:rPr>
                <w:sz w:val="18"/>
                <w:szCs w:val="18"/>
                <w:color w:val="auto"/>
              </w:rPr>
            </w:pPr>
          </w:p>
        </w:tc>
        <w:tc>
          <w:tcPr>
            <w:tcW w:w="1760" w:type="dxa"/>
            <w:vAlign w:val="bottom"/>
          </w:tcPr>
          <w:p>
            <w:pPr>
              <w:jc w:val="right"/>
              <w:ind w:right="655"/>
              <w:spacing w:after="0"/>
              <w:rPr>
                <w:sz w:val="20"/>
                <w:szCs w:val="20"/>
                <w:color w:val="auto"/>
              </w:rPr>
            </w:pPr>
            <w:r>
              <w:rPr>
                <w:rFonts w:ascii="Arial" w:cs="Arial" w:eastAsia="Arial" w:hAnsi="Arial"/>
                <w:sz w:val="16"/>
                <w:szCs w:val="16"/>
                <w:b w:val="1"/>
                <w:bCs w:val="1"/>
                <w:color w:val="auto"/>
              </w:rPr>
              <w:t>June 30,</w:t>
            </w:r>
          </w:p>
        </w:tc>
        <w:tc>
          <w:tcPr>
            <w:tcW w:w="1440" w:type="dxa"/>
            <w:vAlign w:val="bottom"/>
          </w:tcPr>
          <w:p>
            <w:pPr>
              <w:jc w:val="right"/>
              <w:ind w:right="375"/>
              <w:spacing w:after="0"/>
              <w:rPr>
                <w:sz w:val="20"/>
                <w:szCs w:val="20"/>
                <w:color w:val="auto"/>
              </w:rPr>
            </w:pPr>
            <w:r>
              <w:rPr>
                <w:rFonts w:ascii="Arial" w:cs="Arial" w:eastAsia="Arial" w:hAnsi="Arial"/>
                <w:sz w:val="16"/>
                <w:szCs w:val="16"/>
                <w:b w:val="1"/>
                <w:bCs w:val="1"/>
                <w:color w:val="auto"/>
              </w:rPr>
              <w:t>June 30,</w:t>
            </w:r>
          </w:p>
        </w:tc>
        <w:tc>
          <w:tcPr>
            <w:tcW w:w="1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1760" w:type="dxa"/>
            <w:vAlign w:val="bottom"/>
          </w:tcPr>
          <w:p>
            <w:pPr>
              <w:jc w:val="right"/>
              <w:ind w:right="755"/>
              <w:spacing w:after="0"/>
              <w:rPr>
                <w:sz w:val="20"/>
                <w:szCs w:val="20"/>
                <w:color w:val="auto"/>
              </w:rPr>
            </w:pPr>
            <w:r>
              <w:rPr>
                <w:rFonts w:ascii="Arial" w:cs="Arial" w:eastAsia="Arial" w:hAnsi="Arial"/>
                <w:sz w:val="16"/>
                <w:szCs w:val="16"/>
                <w:b w:val="1"/>
                <w:bCs w:val="1"/>
                <w:color w:val="auto"/>
              </w:rPr>
              <w:t>2012</w:t>
            </w:r>
          </w:p>
        </w:tc>
        <w:tc>
          <w:tcPr>
            <w:tcW w:w="1440" w:type="dxa"/>
            <w:vAlign w:val="bottom"/>
          </w:tcPr>
          <w:p>
            <w:pPr>
              <w:jc w:val="right"/>
              <w:ind w:right="495"/>
              <w:spacing w:after="0"/>
              <w:rPr>
                <w:sz w:val="20"/>
                <w:szCs w:val="20"/>
                <w:color w:val="auto"/>
              </w:rPr>
            </w:pPr>
            <w:r>
              <w:rPr>
                <w:rFonts w:ascii="Arial" w:cs="Arial" w:eastAsia="Arial" w:hAnsi="Arial"/>
                <w:sz w:val="16"/>
                <w:szCs w:val="16"/>
                <w:b w:val="1"/>
                <w:bCs w:val="1"/>
                <w:color w:val="auto"/>
              </w:rPr>
              <w:t>2011</w:t>
            </w:r>
          </w:p>
        </w:tc>
        <w:tc>
          <w:tcPr>
            <w:tcW w:w="1800" w:type="dxa"/>
            <w:vAlign w:val="bottom"/>
          </w:tcPr>
          <w:p>
            <w:pPr>
              <w:jc w:val="right"/>
              <w:ind w:right="533"/>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5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40" w:type="dxa"/>
            <w:vAlign w:val="bottom"/>
            <w:gridSpan w:val="2"/>
          </w:tcPr>
          <w:p>
            <w:pPr>
              <w:jc w:val="right"/>
              <w:ind w:right="1033"/>
              <w:spacing w:after="0"/>
              <w:rPr>
                <w:sz w:val="20"/>
                <w:szCs w:val="20"/>
                <w:color w:val="auto"/>
              </w:rPr>
            </w:pPr>
            <w:r>
              <w:rPr>
                <w:rFonts w:ascii="Arial" w:cs="Arial" w:eastAsia="Arial" w:hAnsi="Arial"/>
                <w:sz w:val="16"/>
                <w:szCs w:val="16"/>
                <w:b w:val="1"/>
                <w:bCs w:val="1"/>
                <w:color w:val="auto"/>
              </w:rPr>
              <w:t>($ amounts in 000's)</w:t>
            </w: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7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8"/>
                <w:szCs w:val="18"/>
                <w:color w:val="auto"/>
              </w:rPr>
              <w:t>1,203</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863</w:t>
            </w:r>
          </w:p>
        </w:tc>
        <w:tc>
          <w:tcPr>
            <w:tcW w:w="180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340</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760" w:type="dxa"/>
            <w:vAlign w:val="bottom"/>
          </w:tcPr>
          <w:p>
            <w:pPr>
              <w:jc w:val="right"/>
              <w:ind w:right="315"/>
              <w:spacing w:after="0"/>
              <w:rPr>
                <w:sz w:val="20"/>
                <w:szCs w:val="20"/>
                <w:color w:val="auto"/>
              </w:rPr>
            </w:pPr>
            <w:r>
              <w:rPr>
                <w:rFonts w:ascii="Arial" w:cs="Arial" w:eastAsia="Arial" w:hAnsi="Arial"/>
                <w:sz w:val="18"/>
                <w:szCs w:val="18"/>
                <w:color w:val="auto"/>
              </w:rPr>
              <w:t>73</w:t>
            </w:r>
          </w:p>
        </w:tc>
        <w:tc>
          <w:tcPr>
            <w:tcW w:w="1440" w:type="dxa"/>
            <w:vAlign w:val="bottom"/>
          </w:tcPr>
          <w:p>
            <w:pPr>
              <w:jc w:val="right"/>
              <w:spacing w:after="0"/>
              <w:rPr>
                <w:sz w:val="20"/>
                <w:szCs w:val="20"/>
                <w:color w:val="auto"/>
              </w:rPr>
            </w:pPr>
            <w:r>
              <w:rPr>
                <w:rFonts w:ascii="Arial" w:cs="Arial" w:eastAsia="Arial" w:hAnsi="Arial"/>
                <w:sz w:val="18"/>
                <w:szCs w:val="18"/>
                <w:color w:val="auto"/>
              </w:rPr>
              <w:t>(207)</w:t>
            </w:r>
          </w:p>
        </w:tc>
        <w:tc>
          <w:tcPr>
            <w:tcW w:w="1800" w:type="dxa"/>
            <w:vAlign w:val="bottom"/>
          </w:tcPr>
          <w:p>
            <w:pPr>
              <w:jc w:val="right"/>
              <w:ind w:right="233"/>
              <w:spacing w:after="0"/>
              <w:rPr>
                <w:sz w:val="20"/>
                <w:szCs w:val="20"/>
                <w:color w:val="auto"/>
              </w:rPr>
            </w:pPr>
            <w:r>
              <w:rPr>
                <w:rFonts w:ascii="Arial" w:cs="Arial" w:eastAsia="Arial" w:hAnsi="Arial"/>
                <w:sz w:val="18"/>
                <w:szCs w:val="18"/>
                <w:color w:val="auto"/>
              </w:rPr>
              <w:t>280</w:t>
            </w:r>
          </w:p>
        </w:tc>
        <w:tc>
          <w:tcPr>
            <w:tcW w:w="1360" w:type="dxa"/>
            <w:vAlign w:val="bottom"/>
          </w:tcPr>
          <w:p>
            <w:pPr>
              <w:jc w:val="right"/>
              <w:spacing w:after="0"/>
              <w:rPr>
                <w:sz w:val="20"/>
                <w:szCs w:val="20"/>
                <w:color w:val="auto"/>
              </w:rPr>
            </w:pPr>
            <w:r>
              <w:rPr>
                <w:rFonts w:ascii="Arial" w:cs="Arial" w:eastAsia="Arial" w:hAnsi="Arial"/>
                <w:sz w:val="18"/>
                <w:szCs w:val="18"/>
                <w:color w:val="auto"/>
              </w:rPr>
              <w:t>(135)</w:t>
            </w:r>
          </w:p>
        </w:tc>
      </w:tr>
    </w:tbl>
    <w:p>
      <w:pPr>
        <w:spacing w:after="0" w:line="22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$0.3 million increase in interest income in the three months ended June 30, 2012 compared to the three months ended June 30, 2011 was due to interest earned on higher invested balances. The $0.3 million change in other income (expense), net for the three months ended June 30, 2012 compared to the three months ended June 30, 2011 was due to foreign exchange gains.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200" w:type="dxa"/>
            <w:vAlign w:val="bottom"/>
            <w:gridSpan w:val="2"/>
          </w:tcPr>
          <w:p>
            <w:pPr>
              <w:jc w:val="right"/>
              <w:ind w:right="755"/>
              <w:spacing w:after="0"/>
              <w:rPr>
                <w:sz w:val="20"/>
                <w:szCs w:val="20"/>
                <w:color w:val="auto"/>
              </w:rPr>
            </w:pPr>
            <w:r>
              <w:rPr>
                <w:rFonts w:ascii="Arial" w:cs="Arial" w:eastAsia="Arial" w:hAnsi="Arial"/>
                <w:sz w:val="16"/>
                <w:szCs w:val="16"/>
                <w:b w:val="1"/>
                <w:bCs w:val="1"/>
                <w:color w:val="auto"/>
              </w:rPr>
              <w:t>Three Months Ended</w:t>
            </w:r>
          </w:p>
        </w:tc>
        <w:tc>
          <w:tcPr>
            <w:tcW w:w="1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5000" w:type="dxa"/>
            <w:vAlign w:val="bottom"/>
          </w:tcPr>
          <w:p>
            <w:pPr>
              <w:spacing w:after="0"/>
              <w:rPr>
                <w:sz w:val="18"/>
                <w:szCs w:val="18"/>
                <w:color w:val="auto"/>
              </w:rPr>
            </w:pPr>
          </w:p>
        </w:tc>
        <w:tc>
          <w:tcPr>
            <w:tcW w:w="1760" w:type="dxa"/>
            <w:vAlign w:val="bottom"/>
          </w:tcPr>
          <w:p>
            <w:pPr>
              <w:jc w:val="right"/>
              <w:ind w:right="655"/>
              <w:spacing w:after="0"/>
              <w:rPr>
                <w:sz w:val="20"/>
                <w:szCs w:val="20"/>
                <w:color w:val="auto"/>
              </w:rPr>
            </w:pPr>
            <w:r>
              <w:rPr>
                <w:rFonts w:ascii="Arial" w:cs="Arial" w:eastAsia="Arial" w:hAnsi="Arial"/>
                <w:sz w:val="16"/>
                <w:szCs w:val="16"/>
                <w:b w:val="1"/>
                <w:bCs w:val="1"/>
                <w:color w:val="auto"/>
              </w:rPr>
              <w:t>June 30,</w:t>
            </w:r>
          </w:p>
        </w:tc>
        <w:tc>
          <w:tcPr>
            <w:tcW w:w="1440" w:type="dxa"/>
            <w:vAlign w:val="bottom"/>
          </w:tcPr>
          <w:p>
            <w:pPr>
              <w:jc w:val="right"/>
              <w:ind w:right="375"/>
              <w:spacing w:after="0"/>
              <w:rPr>
                <w:sz w:val="20"/>
                <w:szCs w:val="20"/>
                <w:color w:val="auto"/>
              </w:rPr>
            </w:pPr>
            <w:r>
              <w:rPr>
                <w:rFonts w:ascii="Arial" w:cs="Arial" w:eastAsia="Arial" w:hAnsi="Arial"/>
                <w:sz w:val="16"/>
                <w:szCs w:val="16"/>
                <w:b w:val="1"/>
                <w:bCs w:val="1"/>
                <w:color w:val="auto"/>
              </w:rPr>
              <w:t>June 30,</w:t>
            </w:r>
          </w:p>
        </w:tc>
        <w:tc>
          <w:tcPr>
            <w:tcW w:w="1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1760" w:type="dxa"/>
            <w:vAlign w:val="bottom"/>
          </w:tcPr>
          <w:p>
            <w:pPr>
              <w:jc w:val="right"/>
              <w:ind w:right="755"/>
              <w:spacing w:after="0"/>
              <w:rPr>
                <w:sz w:val="20"/>
                <w:szCs w:val="20"/>
                <w:color w:val="auto"/>
              </w:rPr>
            </w:pPr>
            <w:r>
              <w:rPr>
                <w:rFonts w:ascii="Arial" w:cs="Arial" w:eastAsia="Arial" w:hAnsi="Arial"/>
                <w:sz w:val="16"/>
                <w:szCs w:val="16"/>
                <w:b w:val="1"/>
                <w:bCs w:val="1"/>
                <w:color w:val="auto"/>
              </w:rPr>
              <w:t>2012</w:t>
            </w:r>
          </w:p>
        </w:tc>
        <w:tc>
          <w:tcPr>
            <w:tcW w:w="1440" w:type="dxa"/>
            <w:vAlign w:val="bottom"/>
          </w:tcPr>
          <w:p>
            <w:pPr>
              <w:jc w:val="right"/>
              <w:ind w:right="495"/>
              <w:spacing w:after="0"/>
              <w:rPr>
                <w:sz w:val="20"/>
                <w:szCs w:val="20"/>
                <w:color w:val="auto"/>
              </w:rPr>
            </w:pPr>
            <w:r>
              <w:rPr>
                <w:rFonts w:ascii="Arial" w:cs="Arial" w:eastAsia="Arial" w:hAnsi="Arial"/>
                <w:sz w:val="16"/>
                <w:szCs w:val="16"/>
                <w:b w:val="1"/>
                <w:bCs w:val="1"/>
                <w:color w:val="auto"/>
              </w:rPr>
              <w:t>2011</w:t>
            </w:r>
          </w:p>
        </w:tc>
        <w:tc>
          <w:tcPr>
            <w:tcW w:w="1800" w:type="dxa"/>
            <w:vAlign w:val="bottom"/>
          </w:tcPr>
          <w:p>
            <w:pPr>
              <w:jc w:val="right"/>
              <w:ind w:right="533"/>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5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40" w:type="dxa"/>
            <w:vAlign w:val="bottom"/>
            <w:gridSpan w:val="2"/>
          </w:tcPr>
          <w:p>
            <w:pPr>
              <w:jc w:val="right"/>
              <w:ind w:right="1033"/>
              <w:spacing w:after="0"/>
              <w:rPr>
                <w:sz w:val="20"/>
                <w:szCs w:val="20"/>
                <w:color w:val="auto"/>
              </w:rPr>
            </w:pPr>
            <w:r>
              <w:rPr>
                <w:rFonts w:ascii="Arial" w:cs="Arial" w:eastAsia="Arial" w:hAnsi="Arial"/>
                <w:sz w:val="16"/>
                <w:szCs w:val="16"/>
                <w:b w:val="1"/>
                <w:bCs w:val="1"/>
                <w:color w:val="auto"/>
              </w:rPr>
              <w:t>($ amounts in 000's)</w:t>
            </w: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7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8"/>
                <w:szCs w:val="18"/>
                <w:color w:val="auto"/>
              </w:rPr>
              <w:t>8,276</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4,941</w:t>
            </w:r>
          </w:p>
        </w:tc>
        <w:tc>
          <w:tcPr>
            <w:tcW w:w="180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3,335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1760" w:type="dxa"/>
            <w:vAlign w:val="bottom"/>
          </w:tcPr>
          <w:p>
            <w:pPr>
              <w:jc w:val="right"/>
              <w:ind w:right="315"/>
              <w:spacing w:after="0"/>
              <w:rPr>
                <w:sz w:val="20"/>
                <w:szCs w:val="20"/>
                <w:color w:val="auto"/>
              </w:rPr>
            </w:pPr>
            <w:r>
              <w:rPr>
                <w:rFonts w:ascii="Arial" w:cs="Arial" w:eastAsia="Arial" w:hAnsi="Arial"/>
                <w:sz w:val="18"/>
                <w:szCs w:val="18"/>
                <w:color w:val="auto"/>
              </w:rPr>
              <w:t>37</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1800" w:type="dxa"/>
            <w:vAlign w:val="bottom"/>
          </w:tcPr>
          <w:p>
            <w:pPr>
              <w:jc w:val="right"/>
              <w:ind w:right="233"/>
              <w:spacing w:after="0"/>
              <w:rPr>
                <w:sz w:val="20"/>
                <w:szCs w:val="20"/>
                <w:color w:val="auto"/>
              </w:rPr>
            </w:pPr>
            <w:r>
              <w:rPr>
                <w:rFonts w:ascii="Arial" w:cs="Arial" w:eastAsia="Arial" w:hAnsi="Arial"/>
                <w:sz w:val="18"/>
                <w:szCs w:val="18"/>
                <w:color w:val="auto"/>
              </w:rPr>
              <w:t>12</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effective tax rate was 37% for the three months ended June 30, 2012, compared to an effective tax rate of 25% for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11" w:lineRule="exact"/>
        <w:rPr>
          <w:sz w:val="20"/>
          <w:szCs w:val="20"/>
          <w:color w:val="auto"/>
        </w:rPr>
      </w:pPr>
    </w:p>
    <w:p>
      <w:pPr>
        <w:ind w:right="360" w:firstLine="486"/>
        <w:spacing w:after="0" w:line="259" w:lineRule="auto"/>
        <w:rPr>
          <w:sz w:val="20"/>
          <w:szCs w:val="20"/>
          <w:color w:val="auto"/>
        </w:rPr>
      </w:pPr>
      <w:r>
        <w:rPr>
          <w:rFonts w:ascii="Arial" w:cs="Arial" w:eastAsia="Arial" w:hAnsi="Arial"/>
          <w:sz w:val="18"/>
          <w:szCs w:val="18"/>
          <w:color w:val="auto"/>
        </w:rPr>
        <w:t>The provision for income taxes for the three months ended June 30, 2012 is comprised of foreign income taxes, U.S. federal and state taxes, and withholding tax, and includes the benefit from adjustments in our intercompany transfer pricing associated with the benefit of stock options exercised by employees in various foreign subsidiaries. During the three months ended June 30, 2012, we paid $5.4 million for income taxes. During the three months ended June 30, 2011, we received a refund of $0.2 million for income taxes.</w:t>
      </w:r>
    </w:p>
    <w:p>
      <w:pPr>
        <w:spacing w:after="0" w:line="18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increase in the effective tax rate for the three months ended June 30, 2012, compared to the three months ended June 30, 2011, is primarily due to the expiration of the U.S. federal research tax credit and a decrease in benefit from adjustments in our intercompany transfer pricing associated with stock options exercised by employees in various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41" w:right="2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and June 30,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ind w:left="640"/>
              <w:spacing w:after="0"/>
              <w:rPr>
                <w:sz w:val="20"/>
                <w:szCs w:val="20"/>
                <w:color w:val="auto"/>
              </w:rPr>
            </w:pPr>
            <w:r>
              <w:rPr>
                <w:rFonts w:ascii="Arial" w:cs="Arial" w:eastAsia="Arial" w:hAnsi="Arial"/>
                <w:sz w:val="16"/>
                <w:szCs w:val="16"/>
                <w:b w:val="1"/>
                <w:bCs w:val="1"/>
                <w:color w:val="auto"/>
              </w:rPr>
              <w:t>Six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760" w:type="dxa"/>
            <w:vAlign w:val="bottom"/>
            <w:gridSpan w:val="4"/>
          </w:tcPr>
          <w:p>
            <w:pPr>
              <w:ind w:left="820"/>
              <w:spacing w:after="0"/>
              <w:rPr>
                <w:sz w:val="20"/>
                <w:szCs w:val="20"/>
                <w:color w:val="auto"/>
              </w:rPr>
            </w:pPr>
            <w:r>
              <w:rPr>
                <w:rFonts w:ascii="Arial" w:cs="Arial" w:eastAsia="Arial" w:hAnsi="Arial"/>
                <w:sz w:val="16"/>
                <w:szCs w:val="16"/>
                <w:b w:val="1"/>
                <w:bCs w:val="1"/>
                <w:color w:val="auto"/>
              </w:rPr>
              <w:t>June 30, 2012</w:t>
            </w:r>
          </w:p>
        </w:tc>
        <w:tc>
          <w:tcPr>
            <w:tcW w:w="2740" w:type="dxa"/>
            <w:vAlign w:val="bottom"/>
            <w:gridSpan w:val="4"/>
          </w:tcPr>
          <w:p>
            <w:pPr>
              <w:ind w:left="820"/>
              <w:spacing w:after="0"/>
              <w:rPr>
                <w:sz w:val="20"/>
                <w:szCs w:val="20"/>
                <w:color w:val="auto"/>
              </w:rPr>
            </w:pPr>
            <w:r>
              <w:rPr>
                <w:rFonts w:ascii="Arial" w:cs="Arial" w:eastAsia="Arial" w:hAnsi="Arial"/>
                <w:sz w:val="16"/>
                <w:szCs w:val="16"/>
                <w:b w:val="1"/>
                <w:bCs w:val="1"/>
                <w:color w:val="auto"/>
              </w:rPr>
              <w:t>June 30, 2011</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211"/>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ind w:left="540"/>
              <w:spacing w:after="0"/>
              <w:rPr>
                <w:sz w:val="20"/>
                <w:szCs w:val="20"/>
                <w:color w:val="auto"/>
              </w:rPr>
            </w:pPr>
            <w:r>
              <w:rPr>
                <w:rFonts w:ascii="Arial" w:cs="Arial" w:eastAsia="Arial" w:hAnsi="Arial"/>
                <w:sz w:val="16"/>
                <w:szCs w:val="16"/>
                <w:b w:val="1"/>
                <w:bCs w:val="1"/>
                <w:color w:val="auto"/>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114,896</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86,852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28,044</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127,550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101,357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26,193</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3,763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8,080</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(4,317)</w:t>
            </w:r>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246,209</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196,289</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49,920</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3"/>
        </w:trPr>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Americas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98,353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76,186</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22,167</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EMEA</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84,550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70,274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14,276</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APAC</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63,306</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49,829</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13,477</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246,209</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196,289</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49,920</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Total revenue increased by $49.9 million, or 25%, during the six months ended June 30, 2012 compared to the six months ended June 30, 2011, with all three regions growing over the prior year. Product revenue increased by $28.0 million, or 32%, compared to the six months ended June 30, 2011. The increase in product revenue was primarily driven by strong growth in the mid-range product line, driven by increased sales to large enterprise customers. Services revenue increased by $26.2 million, or 26%, during the six months ended June 30, 2012 compared to the six months ended June 30, 2011, due to recognition of revenue from our growing deferred revenue balance consisting of subscription and support contracts sold to a larger customer base. The decrease in ratable and other revenue was primarily due to the decline in amortization of ratable revenue. Excluding the decline in ratable and other revenue, product and services revenue combined together increased by 29% compared to the six months ended June 30, 2011.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420" w:type="dxa"/>
            <w:vAlign w:val="bottom"/>
            <w:gridSpan w:val="4"/>
          </w:tcPr>
          <w:p>
            <w:pPr>
              <w:ind w:left="980"/>
              <w:spacing w:after="0"/>
              <w:rPr>
                <w:sz w:val="20"/>
                <w:szCs w:val="20"/>
                <w:color w:val="auto"/>
              </w:rPr>
            </w:pPr>
            <w:r>
              <w:rPr>
                <w:rFonts w:ascii="Arial" w:cs="Arial" w:eastAsia="Arial" w:hAnsi="Arial"/>
                <w:sz w:val="16"/>
                <w:szCs w:val="16"/>
                <w:b w:val="1"/>
                <w:bCs w:val="1"/>
                <w:color w:val="auto"/>
              </w:rPr>
              <w:t>Six Months Ended</w:t>
            </w: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9"/>
        </w:trPr>
        <w:tc>
          <w:tcPr>
            <w:tcW w:w="5020" w:type="dxa"/>
            <w:vAlign w:val="bottom"/>
          </w:tcPr>
          <w:p>
            <w:pPr>
              <w:spacing w:after="0"/>
              <w:rPr>
                <w:sz w:val="18"/>
                <w:szCs w:val="18"/>
                <w:color w:val="auto"/>
              </w:rPr>
            </w:pPr>
          </w:p>
        </w:tc>
        <w:tc>
          <w:tcPr>
            <w:tcW w:w="172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700" w:type="dxa"/>
            <w:vAlign w:val="bottom"/>
            <w:gridSpan w:val="2"/>
          </w:tcPr>
          <w:p>
            <w:pPr>
              <w:ind w:left="420"/>
              <w:spacing w:after="0"/>
              <w:rPr>
                <w:sz w:val="20"/>
                <w:szCs w:val="20"/>
                <w:color w:val="auto"/>
              </w:rPr>
            </w:pPr>
            <w:r>
              <w:rPr>
                <w:rFonts w:ascii="Arial" w:cs="Arial" w:eastAsia="Arial" w:hAnsi="Arial"/>
                <w:sz w:val="16"/>
                <w:szCs w:val="16"/>
                <w:b w:val="1"/>
                <w:bCs w:val="1"/>
                <w:color w:val="auto"/>
              </w:rPr>
              <w:t>June 30,</w:t>
            </w: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2012</w:t>
            </w:r>
          </w:p>
        </w:tc>
        <w:tc>
          <w:tcPr>
            <w:tcW w:w="240" w:type="dxa"/>
            <w:vAlign w:val="bottom"/>
          </w:tcPr>
          <w:p>
            <w:pPr>
              <w:spacing w:after="0"/>
              <w:rPr>
                <w:sz w:val="18"/>
                <w:szCs w:val="18"/>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36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c>
          <w:tcPr>
            <w:tcW w:w="156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3"/>
          </w:tcPr>
          <w:p>
            <w:pPr>
              <w:jc w:val="right"/>
              <w:ind w:right="811"/>
              <w:spacing w:after="0"/>
              <w:rPr>
                <w:sz w:val="20"/>
                <w:szCs w:val="20"/>
                <w:color w:val="auto"/>
              </w:rPr>
            </w:pPr>
            <w:r>
              <w:rPr>
                <w:rFonts w:ascii="Arial" w:cs="Arial" w:eastAsia="Arial" w:hAnsi="Arial"/>
                <w:sz w:val="16"/>
                <w:szCs w:val="16"/>
                <w:b w:val="1"/>
                <w:bCs w:val="1"/>
                <w:color w:val="auto"/>
              </w:rPr>
              <w:t>($ amounts in 000's)</w:t>
            </w:r>
          </w:p>
        </w:tc>
        <w:tc>
          <w:tcPr>
            <w:tcW w:w="15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Product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43,003</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30,666</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12,337</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23,680</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16,377</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7,303</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1,487</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2,931</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(1,444)</w:t>
            </w:r>
          </w:p>
        </w:tc>
        <w:tc>
          <w:tcPr>
            <w:tcW w:w="1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68,170</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49,974</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18,196</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3"/>
        </w:trPr>
        <w:tc>
          <w:tcPr>
            <w:tcW w:w="5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Product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62.6</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5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81.4</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60.5</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c>
          <w:tcPr>
            <w:tcW w:w="15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gross margin</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72.3</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560" w:type="dxa"/>
            <w:vAlign w:val="bottom"/>
            <w:shd w:val="clear" w:color="auto" w:fill="CCEEFF"/>
          </w:tcPr>
          <w:p>
            <w:pPr>
              <w:spacing w:after="0"/>
              <w:rPr>
                <w:sz w:val="21"/>
                <w:szCs w:val="21"/>
                <w:color w:val="auto"/>
              </w:rPr>
            </w:pPr>
          </w:p>
        </w:tc>
      </w:tr>
      <w:tr>
        <w:trPr>
          <w:trHeight w:val="27"/>
        </w:trPr>
        <w:tc>
          <w:tcPr>
            <w:tcW w:w="50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Total gross margin decreased by 2.2 percentage points during the six months ended June 30, 2012 compared to the six months ended June 30, 2011, as both product and services gross margins declined. Product gross margin decreased 2.1 percentage points during the six months ended June 30, 2012 compared to the six months ended June 30, 2011, primarily related to a higher quantity of mid-range products purchased by a large retail customer with lower than average gross margins. We also experienced the impact from cost increases related to higher material costs incurred to support higher density storage requirements for our upcoming release of FortiOS 5.0, our next generation operating system. We expect these product cost increases to be temporary as we begin to bring costs down in the future. From time to time, we have experienced sales of</w:t>
      </w:r>
    </w:p>
    <w:p>
      <w:pPr>
        <w:sectPr>
          <w:pgSz w:w="11900" w:h="16838" w:orient="portrait"/>
          <w:cols w:equalWidth="0" w:num="1">
            <w:col w:w="11420"/>
          </w:cols>
          <w:pgMar w:left="240" w:top="34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41"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previously reserved inventory. During the six months ended June 30, 2012, we experienced a positive impact to gross margin of 0.2 of a percentage point due to the sale of fully reserved inventory compared to a positive impact to gross margin of 0.4 of a percentage point in the same period of the prior year. Services gross margin decreased by 2.4 percentage points during the six months ended June 30, 2012 primarily due to our continued investment in our technical support organization to accommodate our expanding customer base and higher demands from enterprise customers. In addition, we experienced growth in our professional consulting services which has lower gross margins than our support and subscription businesses. Cost of services revenue increased by $7.3 million primarily due to a $3.9 million increase in cash-based personnel costs, an increase in warranty costs of $0.8 million, an increase in professional services of $0.4 million, an increase in travel expenses of $0.3 million, an increase in occupancy-related costs of $0.3 million, and an increase in depreciation and other expenses of $0.5 million. In addition, stock-based compensation increased by $1.1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5"/>
          </w:tcPr>
          <w:p>
            <w:pPr>
              <w:ind w:left="640"/>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300" w:type="dxa"/>
            <w:vAlign w:val="bottom"/>
            <w:gridSpan w:val="3"/>
          </w:tcPr>
          <w:p>
            <w:pPr>
              <w:ind w:left="820"/>
              <w:spacing w:after="0"/>
              <w:rPr>
                <w:sz w:val="20"/>
                <w:szCs w:val="20"/>
                <w:color w:val="auto"/>
              </w:rPr>
            </w:pPr>
            <w:r>
              <w:rPr>
                <w:rFonts w:ascii="Arial" w:cs="Arial" w:eastAsia="Arial" w:hAnsi="Arial"/>
                <w:sz w:val="16"/>
                <w:szCs w:val="16"/>
                <w:b w:val="1"/>
                <w:bCs w:val="1"/>
                <w:color w:val="auto"/>
              </w:rPr>
              <w:t>June 30, 2012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3"/>
          </w:tcPr>
          <w:p>
            <w:pPr>
              <w:ind w:left="820"/>
              <w:spacing w:after="0"/>
              <w:rPr>
                <w:sz w:val="20"/>
                <w:szCs w:val="20"/>
                <w:color w:val="auto"/>
              </w:rPr>
            </w:pPr>
            <w:r>
              <w:rPr>
                <w:rFonts w:ascii="Arial" w:cs="Arial" w:eastAsia="Arial" w:hAnsi="Arial"/>
                <w:sz w:val="16"/>
                <w:szCs w:val="16"/>
                <w:b w:val="1"/>
                <w:bCs w:val="1"/>
                <w:color w:val="auto"/>
              </w:rPr>
              <w:t>June 30, 2011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left="179"/>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159"/>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920" w:type="dxa"/>
            <w:vAlign w:val="bottom"/>
          </w:tcPr>
          <w:p>
            <w:pPr>
              <w:jc w:val="center"/>
              <w:ind w:left="159"/>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900" w:type="dxa"/>
            <w:vAlign w:val="bottom"/>
          </w:tcPr>
          <w:p>
            <w:pPr>
              <w:jc w:val="center"/>
              <w:ind w:left="159"/>
              <w:spacing w:after="0"/>
              <w:rPr>
                <w:sz w:val="20"/>
                <w:szCs w:val="20"/>
                <w:color w:val="auto"/>
              </w:rPr>
            </w:pPr>
            <w:r>
              <w:rPr>
                <w:rFonts w:ascii="Arial" w:cs="Arial" w:eastAsia="Arial" w:hAnsi="Arial"/>
                <w:sz w:val="16"/>
                <w:szCs w:val="16"/>
                <w:b w:val="1"/>
                <w:bCs w:val="1"/>
                <w:color w:val="auto"/>
                <w:w w:val="86"/>
              </w:rPr>
              <w:t>Revenue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3"/>
          </w:tcPr>
          <w:p>
            <w:pPr>
              <w:ind w:left="540"/>
              <w:spacing w:after="0"/>
              <w:rPr>
                <w:sz w:val="20"/>
                <w:szCs w:val="20"/>
                <w:color w:val="auto"/>
              </w:rPr>
            </w:pPr>
            <w:r>
              <w:rPr>
                <w:rFonts w:ascii="Arial" w:cs="Arial" w:eastAsia="Arial" w:hAnsi="Arial"/>
                <w:sz w:val="16"/>
                <w:szCs w:val="16"/>
                <w:b w:val="1"/>
                <w:bCs w:val="1"/>
                <w:color w:val="auto"/>
              </w:rPr>
              <w:t>($ amounts in 000's)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40,055</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16</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30,363</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9,692</w:t>
            </w: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86,295</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68,614</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17,681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12,023</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11,114</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909</w:t>
            </w: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138,373</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110,091</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28,282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Research and development expense increased by $9.7 million, or 32%, in the six months ended June 30, 2012 compared to the six months ended June 30, 2011, primarily due to an increase of $4.3 million in cash-based personnel costs as a result of increased headcount to support the development of new products and continued enhancements of our existing products. In addition, we incurred higher stock-based compensation expense of $2.8 million, product development expenses of $1.2 million, supplies of $0.4 million, occupancy-related costs of $0.2 million, and depreciation and other expenses of $0.8 million. We intend to continue to invest in our research and development organization but expect expense as a percentage of revenue to remain comparable or decline in the second half of fiscal 2012.</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Sales and marketing expense increased by $17.7 million, or 26%, in the six months ended June 30, 2012 compared to the six months ended June 30, 2011, primarily due to an increase of $11.6 million in cash-based personnel costs as we continued to increase our sales headcount in order to expand our global footprint. In addition, we incurred higher stock-based compensation expense of $3.3 million, marketing-related expenses of $1.5 million, travel expenses of $0.3 million, occupancy-related costs of $0.3 million, product development expenses of $0.2 million, and depreciation and other expenses of $0.5 million. As a percentage of revenue, sales and marketing expenses remained flat as we accelerated the investment in our sales force during the past year to support future growth. We intend to continue to make investments in our sales resources and infrastructure, which are critical to support sustainable growth but expect sales and marketing expense as a percentage of revenue to decline in the second half of fiscal 2012.</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General and administrative expense increased by $0.9 million, or 8%, in the six months ended June 30, 2012 compared to the six months ended June 30, 2011. The increase was primarily due to a $0.8 million increase in stock-based compensation expense. We expect general and administrative expense as a percentage of revenue to remain at comparable levels during the remainder of fiscal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200" w:type="dxa"/>
            <w:vAlign w:val="bottom"/>
            <w:gridSpan w:val="2"/>
          </w:tcPr>
          <w:p>
            <w:pPr>
              <w:jc w:val="right"/>
              <w:ind w:right="855"/>
              <w:spacing w:after="0"/>
              <w:rPr>
                <w:sz w:val="20"/>
                <w:szCs w:val="20"/>
                <w:color w:val="auto"/>
              </w:rPr>
            </w:pPr>
            <w:r>
              <w:rPr>
                <w:rFonts w:ascii="Arial" w:cs="Arial" w:eastAsia="Arial" w:hAnsi="Arial"/>
                <w:sz w:val="16"/>
                <w:szCs w:val="16"/>
                <w:b w:val="1"/>
                <w:bCs w:val="1"/>
                <w:color w:val="auto"/>
              </w:rPr>
              <w:t>Six Months Ended</w:t>
            </w:r>
          </w:p>
        </w:tc>
        <w:tc>
          <w:tcPr>
            <w:tcW w:w="1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5020" w:type="dxa"/>
            <w:vAlign w:val="bottom"/>
          </w:tcPr>
          <w:p>
            <w:pPr>
              <w:spacing w:after="0"/>
              <w:rPr>
                <w:sz w:val="18"/>
                <w:szCs w:val="18"/>
                <w:color w:val="auto"/>
              </w:rPr>
            </w:pPr>
          </w:p>
        </w:tc>
        <w:tc>
          <w:tcPr>
            <w:tcW w:w="1760" w:type="dxa"/>
            <w:vAlign w:val="bottom"/>
          </w:tcPr>
          <w:p>
            <w:pPr>
              <w:jc w:val="right"/>
              <w:ind w:right="675"/>
              <w:spacing w:after="0"/>
              <w:rPr>
                <w:sz w:val="20"/>
                <w:szCs w:val="20"/>
                <w:color w:val="auto"/>
              </w:rPr>
            </w:pPr>
            <w:r>
              <w:rPr>
                <w:rFonts w:ascii="Arial" w:cs="Arial" w:eastAsia="Arial" w:hAnsi="Arial"/>
                <w:sz w:val="16"/>
                <w:szCs w:val="16"/>
                <w:b w:val="1"/>
                <w:bCs w:val="1"/>
                <w:color w:val="auto"/>
              </w:rPr>
              <w:t>June 30,</w:t>
            </w:r>
          </w:p>
        </w:tc>
        <w:tc>
          <w:tcPr>
            <w:tcW w:w="1440" w:type="dxa"/>
            <w:vAlign w:val="bottom"/>
          </w:tcPr>
          <w:p>
            <w:pPr>
              <w:jc w:val="right"/>
              <w:ind w:right="395"/>
              <w:spacing w:after="0"/>
              <w:rPr>
                <w:sz w:val="20"/>
                <w:szCs w:val="20"/>
                <w:color w:val="auto"/>
              </w:rPr>
            </w:pPr>
            <w:r>
              <w:rPr>
                <w:rFonts w:ascii="Arial" w:cs="Arial" w:eastAsia="Arial" w:hAnsi="Arial"/>
                <w:sz w:val="16"/>
                <w:szCs w:val="16"/>
                <w:b w:val="1"/>
                <w:bCs w:val="1"/>
                <w:color w:val="auto"/>
              </w:rPr>
              <w:t>June 30,</w:t>
            </w:r>
          </w:p>
        </w:tc>
        <w:tc>
          <w:tcPr>
            <w:tcW w:w="1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760" w:type="dxa"/>
            <w:vAlign w:val="bottom"/>
          </w:tcPr>
          <w:p>
            <w:pPr>
              <w:jc w:val="right"/>
              <w:ind w:right="775"/>
              <w:spacing w:after="0"/>
              <w:rPr>
                <w:sz w:val="20"/>
                <w:szCs w:val="20"/>
                <w:color w:val="auto"/>
              </w:rPr>
            </w:pPr>
            <w:r>
              <w:rPr>
                <w:rFonts w:ascii="Arial" w:cs="Arial" w:eastAsia="Arial" w:hAnsi="Arial"/>
                <w:sz w:val="16"/>
                <w:szCs w:val="16"/>
                <w:b w:val="1"/>
                <w:bCs w:val="1"/>
                <w:color w:val="auto"/>
              </w:rPr>
              <w:t>2012</w:t>
            </w:r>
          </w:p>
        </w:tc>
        <w:tc>
          <w:tcPr>
            <w:tcW w:w="1440" w:type="dxa"/>
            <w:vAlign w:val="bottom"/>
          </w:tcPr>
          <w:p>
            <w:pPr>
              <w:jc w:val="right"/>
              <w:ind w:right="495"/>
              <w:spacing w:after="0"/>
              <w:rPr>
                <w:sz w:val="20"/>
                <w:szCs w:val="20"/>
                <w:color w:val="auto"/>
              </w:rPr>
            </w:pPr>
            <w:r>
              <w:rPr>
                <w:rFonts w:ascii="Arial" w:cs="Arial" w:eastAsia="Arial" w:hAnsi="Arial"/>
                <w:sz w:val="16"/>
                <w:szCs w:val="16"/>
                <w:b w:val="1"/>
                <w:bCs w:val="1"/>
                <w:color w:val="auto"/>
              </w:rPr>
              <w:t>2011</w:t>
            </w:r>
          </w:p>
        </w:tc>
        <w:tc>
          <w:tcPr>
            <w:tcW w:w="1780" w:type="dxa"/>
            <w:vAlign w:val="bottom"/>
          </w:tcPr>
          <w:p>
            <w:pPr>
              <w:jc w:val="right"/>
              <w:ind w:right="533"/>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20" w:type="dxa"/>
            <w:vAlign w:val="bottom"/>
            <w:gridSpan w:val="2"/>
          </w:tcPr>
          <w:p>
            <w:pPr>
              <w:jc w:val="right"/>
              <w:ind w:right="1013"/>
              <w:spacing w:after="0"/>
              <w:rPr>
                <w:sz w:val="20"/>
                <w:szCs w:val="20"/>
                <w:color w:val="auto"/>
              </w:rPr>
            </w:pPr>
            <w:r>
              <w:rPr>
                <w:rFonts w:ascii="Arial" w:cs="Arial" w:eastAsia="Arial" w:hAnsi="Arial"/>
                <w:sz w:val="16"/>
                <w:szCs w:val="16"/>
                <w:b w:val="1"/>
                <w:bCs w:val="1"/>
                <w:color w:val="auto"/>
              </w:rPr>
              <w:t>($ amounts in 000's)</w:t>
            </w:r>
          </w:p>
        </w:tc>
        <w:tc>
          <w:tcPr>
            <w:tcW w:w="13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7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8"/>
                <w:szCs w:val="18"/>
                <w:color w:val="auto"/>
              </w:rPr>
              <w:t>2,287</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1,656</w:t>
            </w:r>
          </w:p>
        </w:tc>
        <w:tc>
          <w:tcPr>
            <w:tcW w:w="17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631</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760" w:type="dxa"/>
            <w:vAlign w:val="bottom"/>
          </w:tcPr>
          <w:p>
            <w:pPr>
              <w:jc w:val="right"/>
              <w:ind w:right="315"/>
              <w:spacing w:after="0"/>
              <w:rPr>
                <w:sz w:val="20"/>
                <w:szCs w:val="20"/>
                <w:color w:val="auto"/>
              </w:rPr>
            </w:pPr>
            <w:r>
              <w:rPr>
                <w:rFonts w:ascii="Arial" w:cs="Arial" w:eastAsia="Arial" w:hAnsi="Arial"/>
                <w:sz w:val="18"/>
                <w:szCs w:val="18"/>
                <w:color w:val="auto"/>
              </w:rPr>
              <w:t>3</w:t>
            </w:r>
          </w:p>
        </w:tc>
        <w:tc>
          <w:tcPr>
            <w:tcW w:w="1440" w:type="dxa"/>
            <w:vAlign w:val="bottom"/>
          </w:tcPr>
          <w:p>
            <w:pPr>
              <w:jc w:val="right"/>
              <w:spacing w:after="0"/>
              <w:rPr>
                <w:sz w:val="20"/>
                <w:szCs w:val="20"/>
                <w:color w:val="auto"/>
              </w:rPr>
            </w:pPr>
            <w:r>
              <w:rPr>
                <w:rFonts w:ascii="Arial" w:cs="Arial" w:eastAsia="Arial" w:hAnsi="Arial"/>
                <w:sz w:val="18"/>
                <w:szCs w:val="18"/>
                <w:color w:val="auto"/>
              </w:rPr>
              <w:t>(302)</w:t>
            </w:r>
          </w:p>
        </w:tc>
        <w:tc>
          <w:tcPr>
            <w:tcW w:w="1780" w:type="dxa"/>
            <w:vAlign w:val="bottom"/>
          </w:tcPr>
          <w:p>
            <w:pPr>
              <w:jc w:val="right"/>
              <w:ind w:right="213"/>
              <w:spacing w:after="0"/>
              <w:rPr>
                <w:sz w:val="20"/>
                <w:szCs w:val="20"/>
                <w:color w:val="auto"/>
              </w:rPr>
            </w:pPr>
            <w:r>
              <w:rPr>
                <w:rFonts w:ascii="Arial" w:cs="Arial" w:eastAsia="Arial" w:hAnsi="Arial"/>
                <w:sz w:val="18"/>
                <w:szCs w:val="18"/>
                <w:color w:val="auto"/>
              </w:rPr>
              <w:t>305</w:t>
            </w:r>
          </w:p>
        </w:tc>
        <w:tc>
          <w:tcPr>
            <w:tcW w:w="136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2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$0.6 million increase in interest income in the six months ended June 30, 2012 compared to the six months ended June 30, 2011 was due to interest earned on higher invested balances. The $0.3 million change in other income (expense), net for the six months ended June 30, 2012 compared to the six months ended June 30, 2011 was due to lower foreign exchange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200" w:type="dxa"/>
            <w:vAlign w:val="bottom"/>
            <w:gridSpan w:val="2"/>
          </w:tcPr>
          <w:p>
            <w:pPr>
              <w:jc w:val="right"/>
              <w:ind w:right="855"/>
              <w:spacing w:after="0"/>
              <w:rPr>
                <w:sz w:val="20"/>
                <w:szCs w:val="20"/>
                <w:color w:val="auto"/>
              </w:rPr>
            </w:pPr>
            <w:r>
              <w:rPr>
                <w:rFonts w:ascii="Arial" w:cs="Arial" w:eastAsia="Arial" w:hAnsi="Arial"/>
                <w:sz w:val="16"/>
                <w:szCs w:val="16"/>
                <w:b w:val="1"/>
                <w:bCs w:val="1"/>
                <w:color w:val="auto"/>
              </w:rPr>
              <w:t>Six Months Ended</w:t>
            </w:r>
          </w:p>
        </w:tc>
        <w:tc>
          <w:tcPr>
            <w:tcW w:w="1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5020" w:type="dxa"/>
            <w:vAlign w:val="bottom"/>
          </w:tcPr>
          <w:p>
            <w:pPr>
              <w:spacing w:after="0"/>
              <w:rPr>
                <w:sz w:val="18"/>
                <w:szCs w:val="18"/>
                <w:color w:val="auto"/>
              </w:rPr>
            </w:pPr>
          </w:p>
        </w:tc>
        <w:tc>
          <w:tcPr>
            <w:tcW w:w="1760" w:type="dxa"/>
            <w:vAlign w:val="bottom"/>
          </w:tcPr>
          <w:p>
            <w:pPr>
              <w:jc w:val="right"/>
              <w:ind w:right="675"/>
              <w:spacing w:after="0"/>
              <w:rPr>
                <w:sz w:val="20"/>
                <w:szCs w:val="20"/>
                <w:color w:val="auto"/>
              </w:rPr>
            </w:pPr>
            <w:r>
              <w:rPr>
                <w:rFonts w:ascii="Arial" w:cs="Arial" w:eastAsia="Arial" w:hAnsi="Arial"/>
                <w:sz w:val="16"/>
                <w:szCs w:val="16"/>
                <w:b w:val="1"/>
                <w:bCs w:val="1"/>
                <w:color w:val="auto"/>
              </w:rPr>
              <w:t>June 30,</w:t>
            </w:r>
          </w:p>
        </w:tc>
        <w:tc>
          <w:tcPr>
            <w:tcW w:w="1440" w:type="dxa"/>
            <w:vAlign w:val="bottom"/>
          </w:tcPr>
          <w:p>
            <w:pPr>
              <w:jc w:val="right"/>
              <w:ind w:right="395"/>
              <w:spacing w:after="0"/>
              <w:rPr>
                <w:sz w:val="20"/>
                <w:szCs w:val="20"/>
                <w:color w:val="auto"/>
              </w:rPr>
            </w:pPr>
            <w:r>
              <w:rPr>
                <w:rFonts w:ascii="Arial" w:cs="Arial" w:eastAsia="Arial" w:hAnsi="Arial"/>
                <w:sz w:val="16"/>
                <w:szCs w:val="16"/>
                <w:b w:val="1"/>
                <w:bCs w:val="1"/>
                <w:color w:val="auto"/>
              </w:rPr>
              <w:t>June 30,</w:t>
            </w:r>
          </w:p>
        </w:tc>
        <w:tc>
          <w:tcPr>
            <w:tcW w:w="1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760" w:type="dxa"/>
            <w:vAlign w:val="bottom"/>
          </w:tcPr>
          <w:p>
            <w:pPr>
              <w:jc w:val="right"/>
              <w:ind w:right="775"/>
              <w:spacing w:after="0"/>
              <w:rPr>
                <w:sz w:val="20"/>
                <w:szCs w:val="20"/>
                <w:color w:val="auto"/>
              </w:rPr>
            </w:pPr>
            <w:r>
              <w:rPr>
                <w:rFonts w:ascii="Arial" w:cs="Arial" w:eastAsia="Arial" w:hAnsi="Arial"/>
                <w:sz w:val="16"/>
                <w:szCs w:val="16"/>
                <w:b w:val="1"/>
                <w:bCs w:val="1"/>
                <w:color w:val="auto"/>
              </w:rPr>
              <w:t>2012</w:t>
            </w:r>
          </w:p>
        </w:tc>
        <w:tc>
          <w:tcPr>
            <w:tcW w:w="1440" w:type="dxa"/>
            <w:vAlign w:val="bottom"/>
          </w:tcPr>
          <w:p>
            <w:pPr>
              <w:jc w:val="right"/>
              <w:ind w:right="495"/>
              <w:spacing w:after="0"/>
              <w:rPr>
                <w:sz w:val="20"/>
                <w:szCs w:val="20"/>
                <w:color w:val="auto"/>
              </w:rPr>
            </w:pPr>
            <w:r>
              <w:rPr>
                <w:rFonts w:ascii="Arial" w:cs="Arial" w:eastAsia="Arial" w:hAnsi="Arial"/>
                <w:sz w:val="16"/>
                <w:szCs w:val="16"/>
                <w:b w:val="1"/>
                <w:bCs w:val="1"/>
                <w:color w:val="auto"/>
              </w:rPr>
              <w:t>2011</w:t>
            </w:r>
          </w:p>
        </w:tc>
        <w:tc>
          <w:tcPr>
            <w:tcW w:w="1780" w:type="dxa"/>
            <w:vAlign w:val="bottom"/>
          </w:tcPr>
          <w:p>
            <w:pPr>
              <w:jc w:val="right"/>
              <w:ind w:right="533"/>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20" w:type="dxa"/>
            <w:vAlign w:val="bottom"/>
            <w:gridSpan w:val="2"/>
          </w:tcPr>
          <w:p>
            <w:pPr>
              <w:jc w:val="right"/>
              <w:ind w:right="1013"/>
              <w:spacing w:after="0"/>
              <w:rPr>
                <w:sz w:val="20"/>
                <w:szCs w:val="20"/>
                <w:color w:val="auto"/>
              </w:rPr>
            </w:pPr>
            <w:r>
              <w:rPr>
                <w:rFonts w:ascii="Arial" w:cs="Arial" w:eastAsia="Arial" w:hAnsi="Arial"/>
                <w:sz w:val="16"/>
                <w:szCs w:val="16"/>
                <w:b w:val="1"/>
                <w:bCs w:val="1"/>
                <w:color w:val="auto"/>
              </w:rPr>
              <w:t>($ amounts in 000's)</w:t>
            </w:r>
          </w:p>
        </w:tc>
        <w:tc>
          <w:tcPr>
            <w:tcW w:w="13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7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8"/>
                <w:szCs w:val="18"/>
                <w:color w:val="auto"/>
              </w:rPr>
              <w:t>13,833</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9,497</w:t>
            </w:r>
          </w:p>
        </w:tc>
        <w:tc>
          <w:tcPr>
            <w:tcW w:w="17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4,336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760" w:type="dxa"/>
            <w:vAlign w:val="bottom"/>
          </w:tcPr>
          <w:p>
            <w:pPr>
              <w:jc w:val="right"/>
              <w:ind w:right="315"/>
              <w:spacing w:after="0"/>
              <w:rPr>
                <w:sz w:val="20"/>
                <w:szCs w:val="20"/>
                <w:color w:val="auto"/>
              </w:rPr>
            </w:pPr>
            <w:r>
              <w:rPr>
                <w:rFonts w:ascii="Arial" w:cs="Arial" w:eastAsia="Arial" w:hAnsi="Arial"/>
                <w:sz w:val="18"/>
                <w:szCs w:val="18"/>
                <w:color w:val="auto"/>
              </w:rPr>
              <w:t>33</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1780" w:type="dxa"/>
            <w:vAlign w:val="bottom"/>
          </w:tcPr>
          <w:p>
            <w:pPr>
              <w:jc w:val="right"/>
              <w:ind w:right="213"/>
              <w:spacing w:after="0"/>
              <w:rPr>
                <w:sz w:val="20"/>
                <w:szCs w:val="20"/>
                <w:color w:val="auto"/>
              </w:rPr>
            </w:pPr>
            <w:r>
              <w:rPr>
                <w:rFonts w:ascii="Arial" w:cs="Arial" w:eastAsia="Arial" w:hAnsi="Arial"/>
                <w:sz w:val="18"/>
                <w:szCs w:val="18"/>
                <w:color w:val="auto"/>
              </w:rPr>
              <w:t>8</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effective tax rate was 33% for the six months ended June 30, 2012, compared with an effective tax rate of 25% for the six months ended June 30, 2011. The provision for income taxes for the six months ended June 30, 2012 was comprised of foreign income taxes, U.S. federal and state taxes, and withholding tax. The increase in the effective tax rate for the six months ended June 30, 2012 is primarily due to the expiration of the U.S. federal research tax credit and a decrease in benefit from adjustments in our intercompany transfer pricing associated with stock options exercised by employees in various foreign subsidiaries. During the six months ended June 30, 2012, we paid $6.4 million for income taxes. During the six months ended June 30, 2011, we received a refund of $1.0 million for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840" w:type="dxa"/>
            <w:vAlign w:val="bottom"/>
            <w:gridSpan w:val="2"/>
          </w:tcPr>
          <w:p>
            <w:pPr>
              <w:ind w:left="500"/>
              <w:spacing w:after="0"/>
              <w:rPr>
                <w:sz w:val="20"/>
                <w:szCs w:val="20"/>
                <w:color w:val="auto"/>
              </w:rPr>
            </w:pPr>
            <w:r>
              <w:rPr>
                <w:rFonts w:ascii="Arial" w:cs="Arial" w:eastAsia="Arial" w:hAnsi="Arial"/>
                <w:sz w:val="16"/>
                <w:szCs w:val="16"/>
                <w:b w:val="1"/>
                <w:bCs w:val="1"/>
                <w:color w:val="auto"/>
              </w:rPr>
              <w:t>June 30,</w:t>
            </w:r>
          </w:p>
        </w:tc>
        <w:tc>
          <w:tcPr>
            <w:tcW w:w="1580" w:type="dxa"/>
            <w:vAlign w:val="bottom"/>
          </w:tcPr>
          <w:p>
            <w:pPr>
              <w:jc w:val="right"/>
              <w:ind w:right="253"/>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000" w:type="dxa"/>
            <w:vAlign w:val="bottom"/>
          </w:tcPr>
          <w:p>
            <w:pPr>
              <w:spacing w:after="0"/>
              <w:rPr>
                <w:sz w:val="18"/>
                <w:szCs w:val="18"/>
                <w:color w:val="auto"/>
              </w:rPr>
            </w:pPr>
          </w:p>
        </w:tc>
        <w:tc>
          <w:tcPr>
            <w:tcW w:w="1620" w:type="dxa"/>
            <w:vAlign w:val="bottom"/>
          </w:tcPr>
          <w:p>
            <w:pPr>
              <w:jc w:val="right"/>
              <w:ind w:right="574"/>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580" w:type="dxa"/>
            <w:vAlign w:val="bottom"/>
          </w:tcPr>
          <w:p>
            <w:pPr>
              <w:jc w:val="right"/>
              <w:ind w:right="553"/>
              <w:spacing w:after="0"/>
              <w:rPr>
                <w:sz w:val="20"/>
                <w:szCs w:val="20"/>
                <w:color w:val="auto"/>
              </w:rPr>
            </w:pPr>
            <w:r>
              <w:rPr>
                <w:rFonts w:ascii="Arial" w:cs="Arial" w:eastAsia="Arial" w:hAnsi="Arial"/>
                <w:sz w:val="16"/>
                <w:szCs w:val="16"/>
                <w:b w:val="1"/>
                <w:bCs w:val="1"/>
                <w:color w:val="auto"/>
              </w:rPr>
              <w:t>2011</w:t>
            </w:r>
          </w:p>
        </w:tc>
      </w:tr>
      <w:tr>
        <w:trPr>
          <w:trHeight w:val="33"/>
        </w:trPr>
        <w:tc>
          <w:tcPr>
            <w:tcW w:w="8000" w:type="dxa"/>
            <w:vAlign w:val="bottom"/>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r>
      <w:tr>
        <w:trPr>
          <w:trHeight w:val="217"/>
        </w:trPr>
        <w:tc>
          <w:tcPr>
            <w:tcW w:w="8000" w:type="dxa"/>
            <w:vAlign w:val="bottom"/>
          </w:tcPr>
          <w:p>
            <w:pPr>
              <w:spacing w:after="0"/>
              <w:rPr>
                <w:sz w:val="18"/>
                <w:szCs w:val="18"/>
                <w:color w:val="auto"/>
              </w:rPr>
            </w:pPr>
          </w:p>
        </w:tc>
        <w:tc>
          <w:tcPr>
            <w:tcW w:w="3420" w:type="dxa"/>
            <w:vAlign w:val="bottom"/>
            <w:gridSpan w:val="3"/>
          </w:tcPr>
          <w:p>
            <w:pPr>
              <w:jc w:val="right"/>
              <w:ind w:right="913"/>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81,226</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71,990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563,172</w:t>
            </w: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466,697</w:t>
            </w: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644,398</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538,687</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63"/>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249,534</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256,706</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As of June 30, 2012, our cash, cash equivalents and investments of $644.4 million were invested primarily in money market funds, commercial paper, corporate debt securities, municipal bonds, certificates of deposit and term deposits, and U.S. government and agency securities. As of June 30, 2012, $21.5 million of our cash was held by our international subsidiaries and is therefore not immediately available to fund domestic operations unless the cash is repatriated. We do not enter into investments for trading or speculative purposes. We believe that our cash from operations together with existing cash and cash equivalents will be sufficient to meet our anticipated cash needs for at least the next 12 months. Our future capital requirements will depend on many factors including our growth rate, the timing and extent of spending necessary to support development efforts, the expansion of sales and marketing activities, the introduction of new and enhanced products and services offerings, the costs to ensure the continuing market acceptance of our products, and any capital for acquisitions. In the event that additional financing is required from outside sources, we may not be able to raise it on terms acceptable to us or at all. If we were unable to raise additional capital when desired, our business, operating results and financial condition would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3420" w:type="dxa"/>
            <w:vAlign w:val="bottom"/>
            <w:gridSpan w:val="3"/>
          </w:tcPr>
          <w:p>
            <w:pPr>
              <w:jc w:val="right"/>
              <w:ind w:right="97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00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8000" w:type="dxa"/>
            <w:vAlign w:val="bottom"/>
          </w:tcPr>
          <w:p>
            <w:pPr>
              <w:spacing w:after="0"/>
              <w:rPr>
                <w:sz w:val="18"/>
                <w:szCs w:val="18"/>
                <w:color w:val="auto"/>
              </w:rPr>
            </w:pPr>
          </w:p>
        </w:tc>
        <w:tc>
          <w:tcPr>
            <w:tcW w:w="1840" w:type="dxa"/>
            <w:vAlign w:val="bottom"/>
            <w:gridSpan w:val="2"/>
          </w:tcPr>
          <w:p>
            <w:pPr>
              <w:ind w:left="500"/>
              <w:spacing w:after="0"/>
              <w:rPr>
                <w:sz w:val="20"/>
                <w:szCs w:val="20"/>
                <w:color w:val="auto"/>
              </w:rPr>
            </w:pPr>
            <w:r>
              <w:rPr>
                <w:rFonts w:ascii="Arial" w:cs="Arial" w:eastAsia="Arial" w:hAnsi="Arial"/>
                <w:sz w:val="16"/>
                <w:szCs w:val="16"/>
                <w:b w:val="1"/>
                <w:bCs w:val="1"/>
                <w:color w:val="auto"/>
              </w:rPr>
              <w:t>June 30,</w:t>
            </w:r>
          </w:p>
        </w:tc>
        <w:tc>
          <w:tcPr>
            <w:tcW w:w="1580" w:type="dxa"/>
            <w:vAlign w:val="bottom"/>
          </w:tcPr>
          <w:p>
            <w:pPr>
              <w:jc w:val="right"/>
              <w:ind w:right="43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000" w:type="dxa"/>
            <w:vAlign w:val="bottom"/>
          </w:tcPr>
          <w:p>
            <w:pPr>
              <w:spacing w:after="0"/>
              <w:rPr>
                <w:sz w:val="18"/>
                <w:szCs w:val="18"/>
                <w:color w:val="auto"/>
              </w:rPr>
            </w:pPr>
          </w:p>
        </w:tc>
        <w:tc>
          <w:tcPr>
            <w:tcW w:w="1620" w:type="dxa"/>
            <w:vAlign w:val="bottom"/>
          </w:tcPr>
          <w:p>
            <w:pPr>
              <w:jc w:val="right"/>
              <w:ind w:right="574"/>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580" w:type="dxa"/>
            <w:vAlign w:val="bottom"/>
          </w:tcPr>
          <w:p>
            <w:pPr>
              <w:jc w:val="right"/>
              <w:ind w:right="553"/>
              <w:spacing w:after="0"/>
              <w:rPr>
                <w:sz w:val="20"/>
                <w:szCs w:val="20"/>
                <w:color w:val="auto"/>
              </w:rPr>
            </w:pPr>
            <w:r>
              <w:rPr>
                <w:rFonts w:ascii="Arial" w:cs="Arial" w:eastAsia="Arial" w:hAnsi="Arial"/>
                <w:sz w:val="16"/>
                <w:szCs w:val="16"/>
                <w:b w:val="1"/>
                <w:bCs w:val="1"/>
                <w:color w:val="auto"/>
              </w:rPr>
              <w:t>2011</w:t>
            </w:r>
          </w:p>
        </w:tc>
      </w:tr>
      <w:tr>
        <w:trPr>
          <w:trHeight w:val="33"/>
        </w:trPr>
        <w:tc>
          <w:tcPr>
            <w:tcW w:w="8000" w:type="dxa"/>
            <w:vAlign w:val="bottom"/>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r>
      <w:tr>
        <w:trPr>
          <w:trHeight w:val="217"/>
        </w:trPr>
        <w:tc>
          <w:tcPr>
            <w:tcW w:w="8000" w:type="dxa"/>
            <w:vAlign w:val="bottom"/>
          </w:tcPr>
          <w:p>
            <w:pPr>
              <w:spacing w:after="0"/>
              <w:rPr>
                <w:sz w:val="18"/>
                <w:szCs w:val="18"/>
                <w:color w:val="auto"/>
              </w:rPr>
            </w:pPr>
          </w:p>
        </w:tc>
        <w:tc>
          <w:tcPr>
            <w:tcW w:w="3420" w:type="dxa"/>
            <w:vAlign w:val="bottom"/>
            <w:gridSpan w:val="3"/>
          </w:tcPr>
          <w:p>
            <w:pPr>
              <w:jc w:val="right"/>
              <w:ind w:right="913"/>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92,803</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74,244</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1620" w:type="dxa"/>
            <w:vAlign w:val="bottom"/>
          </w:tcPr>
          <w:p>
            <w:pPr>
              <w:jc w:val="right"/>
              <w:spacing w:after="0"/>
              <w:rPr>
                <w:sz w:val="20"/>
                <w:szCs w:val="20"/>
                <w:color w:val="auto"/>
              </w:rPr>
            </w:pPr>
            <w:r>
              <w:rPr>
                <w:rFonts w:ascii="Arial" w:cs="Arial" w:eastAsia="Arial" w:hAnsi="Arial"/>
                <w:sz w:val="18"/>
                <w:szCs w:val="18"/>
                <w:color w:val="auto"/>
              </w:rPr>
              <w:t>(105,933)</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(79,887)</w:t>
            </w: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22,808</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15,710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620" w:type="dxa"/>
            <w:vAlign w:val="bottom"/>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1,093</w:t>
            </w: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9,236</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11,160</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3420" w:type="dxa"/>
            <w:vAlign w:val="bottom"/>
            <w:gridSpan w:val="3"/>
          </w:tcPr>
          <w:p>
            <w:pPr>
              <w:jc w:val="right"/>
              <w:ind w:right="97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840" w:type="dxa"/>
            <w:vAlign w:val="bottom"/>
            <w:gridSpan w:val="2"/>
          </w:tcPr>
          <w:p>
            <w:pPr>
              <w:ind w:left="500"/>
              <w:spacing w:after="0"/>
              <w:rPr>
                <w:sz w:val="20"/>
                <w:szCs w:val="20"/>
                <w:color w:val="auto"/>
              </w:rPr>
            </w:pPr>
            <w:r>
              <w:rPr>
                <w:rFonts w:ascii="Arial" w:cs="Arial" w:eastAsia="Arial" w:hAnsi="Arial"/>
                <w:sz w:val="16"/>
                <w:szCs w:val="16"/>
                <w:b w:val="1"/>
                <w:bCs w:val="1"/>
                <w:color w:val="auto"/>
              </w:rPr>
              <w:t>June 30,</w:t>
            </w:r>
          </w:p>
        </w:tc>
        <w:tc>
          <w:tcPr>
            <w:tcW w:w="1580" w:type="dxa"/>
            <w:vAlign w:val="bottom"/>
          </w:tcPr>
          <w:p>
            <w:pPr>
              <w:jc w:val="right"/>
              <w:ind w:right="43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620" w:type="dxa"/>
            <w:vAlign w:val="bottom"/>
          </w:tcPr>
          <w:p>
            <w:pPr>
              <w:jc w:val="right"/>
              <w:ind w:right="572"/>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5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000" w:type="dxa"/>
            <w:vAlign w:val="bottom"/>
          </w:tcPr>
          <w:p>
            <w:pPr>
              <w:spacing w:after="0"/>
              <w:rPr>
                <w:sz w:val="18"/>
                <w:szCs w:val="18"/>
                <w:color w:val="auto"/>
              </w:rPr>
            </w:pPr>
          </w:p>
        </w:tc>
        <w:tc>
          <w:tcPr>
            <w:tcW w:w="3420" w:type="dxa"/>
            <w:vAlign w:val="bottom"/>
            <w:gridSpan w:val="3"/>
          </w:tcPr>
          <w:p>
            <w:pPr>
              <w:jc w:val="right"/>
              <w:ind w:right="911"/>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28,123</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28,081</w:t>
            </w: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Adjustments for non-cash charges</w:t>
            </w:r>
            <w:r>
              <w:rPr>
                <w:rFonts w:ascii="Arial" w:cs="Arial" w:eastAsia="Arial" w:hAnsi="Arial"/>
                <w:sz w:val="25"/>
                <w:szCs w:val="25"/>
                <w:color w:val="auto"/>
                <w:vertAlign w:val="superscript"/>
              </w:rPr>
              <w:t>(1)</w:t>
            </w:r>
          </w:p>
        </w:tc>
        <w:tc>
          <w:tcPr>
            <w:tcW w:w="1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21,576</w:t>
            </w:r>
          </w:p>
        </w:tc>
        <w:tc>
          <w:tcPr>
            <w:tcW w:w="22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12,076</w:t>
            </w: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non-cash charges</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49,699</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40,157</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Increase in deferred revenue</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36,492</w:t>
            </w: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20,544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accounts payable and accrued liabilities, net</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5,040</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Increase in accrued payroll and compensation</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3,119</w:t>
            </w: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income taxes payable and deferred tax assets, net</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6,263</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9,280</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Decrease (increase) in prepaid expenses and other assets, net</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accounts receivable—net</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Increase in inventory</w:t>
            </w:r>
          </w:p>
        </w:tc>
        <w:tc>
          <w:tcPr>
            <w:tcW w:w="1620" w:type="dxa"/>
            <w:vAlign w:val="bottom"/>
          </w:tcPr>
          <w:p>
            <w:pPr>
              <w:jc w:val="right"/>
              <w:spacing w:after="0"/>
              <w:rPr>
                <w:sz w:val="20"/>
                <w:szCs w:val="20"/>
                <w:color w:val="auto"/>
              </w:rPr>
            </w:pPr>
            <w:r>
              <w:rPr>
                <w:rFonts w:ascii="Arial" w:cs="Arial" w:eastAsia="Arial" w:hAnsi="Arial"/>
                <w:sz w:val="18"/>
                <w:szCs w:val="18"/>
                <w:color w:val="auto"/>
              </w:rPr>
              <w:t>(7,952)</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other liabilities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92,803</w:t>
            </w:r>
          </w:p>
        </w:tc>
        <w:tc>
          <w:tcPr>
            <w:tcW w:w="2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74,244</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right="900" w:hanging="492"/>
        <w:spacing w:after="0" w:line="261" w:lineRule="auto"/>
        <w:tabs>
          <w:tab w:leader="none" w:pos="2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Non-cash charges consist of depreciation and amortization, loss on disposal of fixed assets, amortization of investment premiums, stock-based compensation, and excess tax benefit from employee stock option plans.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Cash generated by operating activities is our primary source of liquidity. Our operating activities during the six months ended June 30, 2012 provided $92.8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in cash as a result of net income of $28.1 million, increased by non-cash adjustments of $21.6 million and sources of cash of $51.9 million partially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uses of cash of $8.8 million. Non-cash adjustments consisted of stock-based compensation of $15.1 million, amortization of investment premiums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 million, and depreciation and amortization of $5.1 million, offset partially by an excess tax benefit from employee stock option exercises of $5.2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Sources of cash were related to a $36.5 million increase in deferred revenue which was attributable primarily to increased sales of our subscription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support services, which have yet to be recognized as income, a $5.0 million increase in accounts payable and accrued liabilities, a $3.1 million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payroll and compensation, a $5.7 million increase in income tax payable and a $0.5 million decrease related to the change in deferred tax assets,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$0.8 million decrease in prepaid expenses and other assets, net, and a $0.2 million decrease in accounts receivable, net . Uses of cash were primarily related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$8.0 million increase in inventory to ensure adequate level of inventory to support high-turnover channel driven products to reduce the risk of product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stockouts and a $0.8 million decrease in other liabilities.</w:t>
      </w:r>
    </w:p>
    <w:p>
      <w:pPr>
        <w:spacing w:after="0" w:line="21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operating activities during the six months ended June 30, 2011 provided $74.2 million in cash as a result of net income of $28.1 million, increased by non-cash adjustments of $12.1 million and sources of cash of $37.4 million partially offset by uses of cash of $3.3 million. Non-cash adjustments consisted of stock-based compensation of $6.9 million, amortization of investment premiums of $6.3 million, and depreciation and amortization of $3.3 million, offset partially by an excess tax benefit from employee stock option exercises of $4.5 million. Sources of cash were related to a $20.5 million increase in deferred revenue which was attributable primarily to increased sales of our subscription and support services, which have yet to be recognized as income, a $4.0 million increase in accounts payable and accrued liabilities, a $3.2 million increase</w:t>
      </w:r>
    </w:p>
    <w:p>
      <w:pPr>
        <w:sectPr>
          <w:pgSz w:w="11900" w:h="16838" w:orient="portrait"/>
          <w:cols w:equalWidth="0" w:num="1">
            <w:col w:w="11420"/>
          </w:cols>
          <w:pgMar w:left="240" w:top="34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41"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other liabilities, mainly due to the deferral of the patent litigation settlement, which is being amortized over three years, a $0.4 million increase in accrued payroll and compensation, a $9.3 million increase in income tax payable and deferred tax assets, due to our continued profitability and timing of tax payments, and a $0.1 million decrease in accounts receivable. Uses of cash were primarily related to a $1.9 million increase in prepaid expenses and other assets and a $1.5 million increase in inventory to ensure adequate levels of inventory to support shipments of new product introductions in the second half of the year.</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investing activities during the six months ended June 30, 2012 consisted primarily of purchases, sales and maturities of investments, and to a lesser extent capital expenditures and acquisitions. The $105.9 million of cash used in investing activities during the six months ended June 30, 2012 was primarily due to net purchases of investments of $101.5 million, purchases of property and equipment of $3.9 million, and our acquisition of IntruGuard of $0.6 million.</w:t>
      </w:r>
    </w:p>
    <w:p>
      <w:pPr>
        <w:spacing w:after="0" w:line="187"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Our investing activities during the six months ended June 30, 2011 consisted primarily of purchases, sales and maturities of investments, and to a lesser extent capital expenditures. The $79.9 million of cash used by investing activities during the six months ended June 30, 2011 was due to net purchases of investments of $75.8 million, our acquisition of TalkSwitch for $2.6 million, and purchases of property and equipment of $1.5 million.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Our financing activities during the six months ended June 30, 2012 resulted in net cash provided of $22.8 million as a result of proceeds of $12.7 million and $5.0 million, from the issuance of common stock under our stock option plans and ESPP, respectively, and an excess tax benefit from employee stock option exercises of $5.2 million.</w:t>
      </w:r>
    </w:p>
    <w:p>
      <w:pPr>
        <w:spacing w:after="0" w:line="181"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Our financing activities during the six months ended June 30, 2011 resulted in net cash provided of $15.7 million as a result of proceeds of $11.2 million from the issuance of common stock under our stock option plans and an excess tax benefit from employee stock option exercises of $4.5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our contractual obligations as of June 30, 2012: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20" w:type="dxa"/>
            <w:vAlign w:val="bottom"/>
            <w:gridSpan w:val="4"/>
          </w:tcPr>
          <w:p>
            <w:pPr>
              <w:ind w:left="20"/>
              <w:spacing w:after="0"/>
              <w:rPr>
                <w:sz w:val="20"/>
                <w:szCs w:val="20"/>
                <w:color w:val="auto"/>
              </w:rPr>
            </w:pPr>
            <w:r>
              <w:rPr>
                <w:rFonts w:ascii="Arial" w:cs="Arial" w:eastAsia="Arial" w:hAnsi="Arial"/>
                <w:sz w:val="16"/>
                <w:szCs w:val="16"/>
                <w:b w:val="1"/>
                <w:bCs w:val="1"/>
                <w:color w:val="auto"/>
                <w:w w:val="99"/>
              </w:rPr>
              <w:t>Payments Due By Period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620" w:type="dxa"/>
            <w:vAlign w:val="bottom"/>
            <w:gridSpan w:val="2"/>
          </w:tcPr>
          <w:p>
            <w:pPr>
              <w:ind w:left="580"/>
              <w:spacing w:after="0"/>
              <w:rPr>
                <w:sz w:val="20"/>
                <w:szCs w:val="20"/>
                <w:color w:val="auto"/>
              </w:rPr>
            </w:pPr>
            <w:r>
              <w:rPr>
                <w:rFonts w:ascii="Arial" w:cs="Arial" w:eastAsia="Arial" w:hAnsi="Arial"/>
                <w:sz w:val="16"/>
                <w:szCs w:val="16"/>
                <w:b w:val="1"/>
                <w:bCs w:val="1"/>
                <w:color w:val="auto"/>
              </w:rPr>
              <w:t>Total</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w w:val="98"/>
              </w:rPr>
              <w:t>Remainder of 2012</w:t>
            </w:r>
          </w:p>
        </w:tc>
        <w:tc>
          <w:tcPr>
            <w:tcW w:w="1600" w:type="dxa"/>
            <w:vAlign w:val="bottom"/>
            <w:gridSpan w:val="2"/>
          </w:tcPr>
          <w:p>
            <w:pPr>
              <w:jc w:val="right"/>
              <w:ind w:right="193"/>
              <w:spacing w:after="0"/>
              <w:rPr>
                <w:sz w:val="20"/>
                <w:szCs w:val="20"/>
                <w:color w:val="auto"/>
              </w:rPr>
            </w:pPr>
            <w:r>
              <w:rPr>
                <w:rFonts w:ascii="Arial" w:cs="Arial" w:eastAsia="Arial" w:hAnsi="Arial"/>
                <w:sz w:val="16"/>
                <w:szCs w:val="16"/>
                <w:b w:val="1"/>
                <w:bCs w:val="1"/>
                <w:color w:val="auto"/>
              </w:rPr>
              <w:t>2013 - 2015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ind w:left="200"/>
              <w:spacing w:after="0"/>
              <w:rPr>
                <w:sz w:val="20"/>
                <w:szCs w:val="20"/>
                <w:color w:val="auto"/>
              </w:rPr>
            </w:pPr>
            <w:r>
              <w:rPr>
                <w:rFonts w:ascii="Arial" w:cs="Arial" w:eastAsia="Arial" w:hAnsi="Arial"/>
                <w:sz w:val="16"/>
                <w:szCs w:val="16"/>
                <w:b w:val="1"/>
                <w:bCs w:val="1"/>
                <w:color w:val="auto"/>
              </w:rPr>
              <w:t>2016 - 2017</w:t>
            </w:r>
          </w:p>
        </w:tc>
        <w:tc>
          <w:tcPr>
            <w:tcW w:w="100" w:type="dxa"/>
            <w:vAlign w:val="bottom"/>
          </w:tcPr>
          <w:p>
            <w:pPr>
              <w:spacing w:after="0"/>
              <w:rPr>
                <w:sz w:val="20"/>
                <w:szCs w:val="20"/>
                <w:color w:val="auto"/>
              </w:rPr>
            </w:pPr>
          </w:p>
        </w:tc>
        <w:tc>
          <w:tcPr>
            <w:tcW w:w="1480" w:type="dxa"/>
            <w:vAlign w:val="bottom"/>
          </w:tcPr>
          <w:p>
            <w:pPr>
              <w:ind w:left="380"/>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ind w:left="20"/>
              <w:spacing w:after="0"/>
              <w:rPr>
                <w:sz w:val="20"/>
                <w:szCs w:val="20"/>
                <w:color w:val="auto"/>
              </w:rPr>
            </w:pPr>
            <w:r>
              <w:rPr>
                <w:rFonts w:ascii="Arial" w:cs="Arial" w:eastAsia="Arial" w:hAnsi="Arial"/>
                <w:sz w:val="16"/>
                <w:szCs w:val="16"/>
                <w:b w:val="1"/>
                <w:bCs w:val="1"/>
                <w:color w:val="auto"/>
              </w:rPr>
              <w:t>($ amounts in 000's)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(1)</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21,718</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6,547</w:t>
            </w:r>
          </w:p>
        </w:tc>
        <w:tc>
          <w:tcPr>
            <w:tcW w:w="160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15,171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Capital leases </w:t>
            </w:r>
            <w:r>
              <w:rPr>
                <w:rFonts w:ascii="Arial" w:cs="Arial" w:eastAsia="Arial" w:hAnsi="Arial"/>
                <w:sz w:val="25"/>
                <w:szCs w:val="25"/>
                <w:color w:val="auto"/>
                <w:vertAlign w:val="superscript"/>
              </w:rPr>
              <w:t>(2)</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3"/>
                <w:szCs w:val="23"/>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600" w:type="dxa"/>
            <w:vAlign w:val="bottom"/>
            <w:gridSpan w:val="2"/>
          </w:tcPr>
          <w:p>
            <w:pPr>
              <w:jc w:val="right"/>
              <w:ind w:right="1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25"/>
                <w:szCs w:val="25"/>
                <w:color w:val="auto"/>
                <w:vertAlign w:val="superscript"/>
              </w:rPr>
              <w:t>(3)</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26,900</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26,900</w:t>
            </w:r>
          </w:p>
        </w:tc>
        <w:tc>
          <w:tcPr>
            <w:tcW w:w="120" w:type="dxa"/>
            <w:vAlign w:val="bottom"/>
            <w:shd w:val="clear" w:color="auto" w:fill="CCEEFF"/>
          </w:tcPr>
          <w:p>
            <w:pPr>
              <w:spacing w:after="0"/>
              <w:rPr>
                <w:sz w:val="23"/>
                <w:szCs w:val="23"/>
                <w:color w:val="auto"/>
              </w:rPr>
            </w:pPr>
          </w:p>
        </w:tc>
        <w:tc>
          <w:tcPr>
            <w:tcW w:w="1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contracts </w:t>
            </w:r>
            <w:r>
              <w:rPr>
                <w:rFonts w:ascii="Arial" w:cs="Arial" w:eastAsia="Arial" w:hAnsi="Arial"/>
                <w:sz w:val="25"/>
                <w:szCs w:val="25"/>
                <w:color w:val="auto"/>
                <w:vertAlign w:val="superscript"/>
              </w:rPr>
              <w:t>(4)</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540" w:type="dxa"/>
            <w:vAlign w:val="bottom"/>
            <w:shd w:val="clear" w:color="auto" w:fill="CCEEFF"/>
          </w:tcPr>
          <w:p>
            <w:pPr>
              <w:ind w:left="18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(5)</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51,782</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36,512</w:t>
            </w:r>
          </w:p>
        </w:tc>
        <w:tc>
          <w:tcPr>
            <w:tcW w:w="160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15,241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contractual obligations from non-cancelable office space under operating leases.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contractual obligations from non-cancelable equipment financed under capital leases. Includes principal and imputed interest.</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minimum purchase commitments with independent contract manufacturers.</w:t>
      </w:r>
    </w:p>
    <w:p>
      <w:pPr>
        <w:spacing w:after="0" w:line="9" w:lineRule="exact"/>
        <w:rPr>
          <w:rFonts w:ascii="Arial" w:cs="Arial" w:eastAsia="Arial" w:hAnsi="Arial"/>
          <w:sz w:val="18"/>
          <w:szCs w:val="18"/>
          <w:color w:val="auto"/>
        </w:rPr>
      </w:pPr>
    </w:p>
    <w:p>
      <w:pPr>
        <w:ind w:left="500" w:right="120" w:hanging="492"/>
        <w:spacing w:after="0" w:line="281"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of an estimate of all open purchase orders and contractual obligations in the ordinary course of business, other than commitments with contract manufacturers and suppliers, for which we have not received the goods or services. Purchase obligations do not include contracts that may be cancelled without penalty.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2" w:lineRule="exact"/>
        <w:rPr>
          <w:rFonts w:ascii="Arial" w:cs="Arial" w:eastAsia="Arial" w:hAnsi="Arial"/>
          <w:sz w:val="16"/>
          <w:szCs w:val="16"/>
          <w:color w:val="auto"/>
        </w:rPr>
      </w:pPr>
    </w:p>
    <w:p>
      <w:pPr>
        <w:ind w:left="500" w:right="460" w:hanging="492"/>
        <w:spacing w:after="0" w:line="255"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tax liabilities related to uncertain tax positions have been included in the table. As of June 30, 2012, we had $23.6 million of tax liabilities, including interest, related to uncertain tax positions. Because of the high degree of uncertainty regarding the settlement of these liabilities, we are unable to estimate the years in which future cash outflows may occur.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460" w:firstLine="486"/>
        <w:spacing w:after="0" w:line="264" w:lineRule="auto"/>
        <w:rPr>
          <w:sz w:val="20"/>
          <w:szCs w:val="20"/>
          <w:color w:val="auto"/>
        </w:rPr>
      </w:pPr>
      <w:r>
        <w:rPr>
          <w:rFonts w:ascii="Arial" w:cs="Arial" w:eastAsia="Arial" w:hAnsi="Arial"/>
          <w:sz w:val="18"/>
          <w:szCs w:val="18"/>
          <w:color w:val="auto"/>
        </w:rPr>
        <w:t>As of June 30, 2012,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There have been no material changes in our market risk during the six months ended June 30, 2012, compared to the disclosures in Part II, Item 7A of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or 15d-15(e) under the Securities Exchange Act of 1934, as amended (the “Exchange Act”)) as of June 30, 2012.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June 30, 2012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or 15d-15(f) under the Exchange Act) during the three months ended June 30, 2012, that have materially affected, or are reasonably likely to materially affect, our internal control over financial reporting.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August 2009, ESR, a non-practicing entity, 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in the PTO on both asserted patents. The PTO rejected all of the claims of the patents in the suit and ESR has appealed this result to the BPAI.</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April 2010, an individual, a former stockholder of Fortinet, filed a class action lawsuit against us claiming unspecified damages in the California Superior Court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In September 2010, the Court granted our motion to transfer the case to the California Superior Court for Santa Clara County and the plaintiff has filed several amended complaints in the Superior Court to add individual defendants, among other amendments. The Superior Court will be hearing motions for summary judgment in November 2012, and has set a trial date for December 2012.</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July 2010,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In December 2011, the United States District Court for the Eastern District of Texas ordered the case to be transferred to the Northern District of California. In June 2012, the United States District Court for the Northern District of California dismissed the other defendants for misjoinder, and the case is proceeding with the company as the sole defendant.</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41" w:right="2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June 2012, we received a letter from SRI International (“SRI”) claiming that we infringed certain SRI patents. Subsequently, we filed a complaint in the United States District Court for the Northern District of California seeking declaratory relief and a judgment that the SRI patents were invalid, unenforceable and/or not infringed by any of our products or services. The case is currently in the very early stages, and we have determined that, as of this time, there is not a reasonable possibility that a loss has been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you may lose some or all of your investment.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demand for our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channel partner and end-customer orders;</w:t>
      </w:r>
    </w:p>
    <w:p>
      <w:pPr>
        <w:spacing w:after="0" w:line="225" w:lineRule="exact"/>
        <w:rPr>
          <w:rFonts w:ascii="Arial" w:cs="Arial" w:eastAsia="Arial" w:hAnsi="Arial"/>
          <w:sz w:val="18"/>
          <w:szCs w:val="18"/>
          <w:color w:val="auto"/>
        </w:rPr>
      </w:pPr>
    </w:p>
    <w:p>
      <w:pPr>
        <w:ind w:left="1300" w:right="380" w:hanging="644"/>
        <w:spacing w:after="0" w:line="308"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of shipments, which may depend on many factors such as inventory levels and logistics, our ability to ship new products on schedule and to accurately forecast inventory requirements, and potential delays in the manufacturing process;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inventory imbalances, such as those related to new products and the end of life of existing products;</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by the extent to which we bring on new distributors;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accuracy and timing of point of sale reporting by our sell-through distributors, which impacts our ability to recognize revenue;</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or UTM markets;</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deferral of orders from end-customers in anticipation of new products or product enhancements announced by us or our competitors;</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341" w:right="29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1300" w:right="2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insolvency or credit difficulties confronting our customers, affecting their ability to purchase or pay for our products and services;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key suppliers, which could disrupt our supply chain;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both in our domestic and foreign markets;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Any one of the factors above or the cumulative effect of some of the factors referred to above may result in significant fluctuations in our quarterly financial and other operating results, including fluctuations in our key metrics.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Billings and revenue growth may slow or decline for a number of reasons, including a slowdown in demand for our products or services, an increase in competition, a decrease in the growth of our overall market, softness in demand in certain geographies, or if we fail for any reason to continue to capitalize on growth opportunities.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a concentration of shipments at the end of the quarter could cause our revenue to fall below expected levels.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revenue during the last two weeks of the quarter. If expected revenue at the end of any quarter is delayed for any reason, including the failure of anticipated purchase orders to materialize, or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or any delays in shipments based on trade compliance requirements, our revenue for that quarter could fall below our expectations or those of securities analysts and investors, resulting in a decline in our stock price.</w:t>
      </w:r>
    </w:p>
    <w:p>
      <w:pPr>
        <w:spacing w:after="0" w:line="18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We rely significantly on revenue from subscription and support services which may decline, and because we recognize revenue from subscription and support services over the term of the relevant service period, downturns or upturns in sales of subscription and support services are not immediately reflected in full in our operating results.</w:t>
      </w:r>
    </w:p>
    <w:p>
      <w:pPr>
        <w:spacing w:after="0" w:line="181"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Our services revenue has historically accounted for a significant percentage of our total revenue. Sales of new or renewal subscription and support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341" w:right="2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subscription and support services contracts decline, our revenue and revenue growth may decline and our business will suffer. In addition, we recognize subscription and support services revenue monthly over the term of the relevant service period, which is typically one year but has been as long as five years. As a result, much of the revenue we report each quarter is the recognition of deferred revenue from subscription and support services contracts entered into during previous quarters. Consequently, a decline in new or renewed subscription or support services contracts in any one quarter will not be fully reflected in revenue in that quarter but will negatively affect our revenue in future quarters. Accordingly, the effect of significant downturns in new or renewed sales of our subscriptions or support services is not reflected in full in our results of operations until future periods. Our subscription and support services revenue also makes it difficult for us to rapidly increase our revenue through additional service sales in any period, as revenue from new and renewal services contracts must be recognized over the applicable service period. Furthermore increases in the average term of services contracts would result in revenue for services contracts being recognized over longer periods of time.</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Managing our inventory is complex. Our channel partners may increase orders during periods of product shortages, cancel orders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9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experienced inventory shortages in the third quarter of 2011, based largely on more demand for certain products than we had forecasted. If we are unable to effectively manage our inventory and that of our channel partners, our results of operations could be adversely affected.</w:t>
      </w:r>
    </w:p>
    <w:p>
      <w:pPr>
        <w:spacing w:after="0" w:line="16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also have incentives to promote our competitors' products to the detriment of our own. They may cease selling our products altogether. We cannot assure you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optimize our channel partner model or fail to manage existing sales channels, our business will be seriously harmed.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341" w:right="2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service providers and governmental entities. Sales to enterprises, service providers and governmental entities involve risks that may not be present (or that are present to a lesser extent) with sales to small-to-mid-sized entities. These risks include:</w:t>
      </w:r>
    </w:p>
    <w:p>
      <w:pPr>
        <w:spacing w:after="0" w:line="181" w:lineRule="exact"/>
        <w:rPr>
          <w:sz w:val="20"/>
          <w:szCs w:val="20"/>
          <w:color w:val="auto"/>
        </w:rPr>
      </w:pPr>
    </w:p>
    <w:p>
      <w:pPr>
        <w:ind w:left="1300" w:right="16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competition from competitors, such as Cisco Systems, Inc., Check Point Software Technologies Ltd., McAfee, Inc. (acquired by Intel Corporation), Palo Alto Networks, Inc., and Juniper Networks, Inc., that traditionally target enterprises, service providers and governmental entities and that may already have purchase commitments from those end-customers;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more stringent requirements in our support service contracts, including stricter support response times, and increased penalties for any failure to meet support requirements;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Large enterprises, service providers and governmental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governmental entities are frequently subject to budget constraints, multiple approvals, and unplanned administrative, processing and other delays. Finally, enterprise, service providers and governmental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may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8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78" w:lineRule="exact"/>
        <w:rPr>
          <w:sz w:val="20"/>
          <w:szCs w:val="20"/>
          <w:color w:val="auto"/>
        </w:rPr>
      </w:pPr>
    </w:p>
    <w:p>
      <w:pPr>
        <w:ind w:left="1300" w:right="3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rapid growth, and if we do not appropriately manage any future growth, or are unable to improve our systems and processes, our operating results will be negatively affected.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have a high volume business that has grown over the last several years. We rely heavily on information technology systems to help manage critical functions such as order processing, revenue recognition, financial forecasts, inventory and supply chain management and trade compliance reviews. However, we have been slow to adopt and implement certain automated functions, like Electronic Data Interchange,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improvements to these systems and processes in a timely or efficient manner. In addition, our systems and processes may not prevent or detect all errors, omissions or fraud. Our failure to improve our systems and processes, or their failure to operate in the intended manner, may result in our inability to manage the growth of our business and to accurately forecast our revenue, expenses and earnings, or to prevent certain losses.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7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condensed consolidated financial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341" w:right="2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statements and accompanying notes. We base our estimates on historical experience and on various other assumptions that we believe to be reasonable under the circumstances, as provided in “Management's Discussion and Analysis of Financial Condition and Results of Operations” in this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stock-based compensation, valuation of inventory, warranty liabilities, and accounting for income taxes.</w:t>
      </w:r>
    </w:p>
    <w:p>
      <w:pPr>
        <w:spacing w:after="0" w:line="17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have experienced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in the locations where we have a substantial presence and need for highly-skilled personnel: the San Francisco Bay Area, Vancouver, Canada and Beijing, China. A large portion of our employee base is substantially vested in significant stock option grants, and the ability to exercise those options and sell their stock may result in a larger than normal turnover rate.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future performance depends on the continued services and continuing contributions of our senior management to execute on our business plan, and to identify and pursue new opportunities and product innovations. The loss of services of senior management, particularly Ken Xie, our Co-founder, President and Chief Executive Officer, Michael Xie, our Co-founder, Vice President of Engineering and Chief Technology Officer, Ken Goldman, our Vice President and Chief Financial Officer, and any of our senior sales leaders, could significantly delay or prevent the achievement of our development and strategic objectives.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distributors, reduced unit sales and lower or no growth.</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outsource the manufacturing of our security appliance products to a variety of contract manufacturing partners and original design manufacturing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w:t>
      </w:r>
    </w:p>
    <w:p>
      <w:pPr>
        <w:spacing w:after="0" w:line="21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reliance on our third-party manufacturers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 Furthermore manufacturing cost increases for any reason could result in lower gross margins.</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United Microelectronics Corporation and Taiwan Semiconductor Manufacturing Company Limited (“TSMC”). Faraday Technology Corporation (using UMC's foundry), Kawasaki Microelectronics America, Inc. (“K-Micro”) (using TSMC's foundry) and Renesas Electronics Corporation (using UMC's foundry) manufacture our ASICs on a purchase order basis, and these foundries do not guarantee any capacity and could reject orders from Faraday, K-Micro or Renesas or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82"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w:t>
      </w:r>
    </w:p>
    <w:p>
      <w:pPr>
        <w:spacing w:after="0" w:line="18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 and increased component costs may result in lower gross margins.</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Corporation, Advanced Micro Devices, Inc., RMI/Netlogic Corporation and VIA Technologies, Inc.,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78"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occurrence of any of these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 majority of our operating expenses is incurred outside the United States. These expenses are denominated in foreign currencies and are subject to fluctuations due to changes in foreign currency exchange rates, particularly changes in the Euro and Canadian dollar. For example, during the second and third quarters of 2011, we were affected by the weakening of the dollar against the Canadian dollar and the Euro, which caused our operating expenses to increase. Although we have been hedging currency exposures relating to certain balance sheet accounts and have periodically entered into cash flow hedges relating to certain operating expenses incurred outside of the United States,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substantially all of our revenue is not subject to foreign currency risk. However, a strengthening of the U.S. dollar could increase the real cost of our products to our customers outside of the United States, which could also adversely affect our financial condition and results of operations.</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81"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and economic sanctions;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341" w:right="2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right="46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260" w:hanging="644"/>
        <w:spacing w:after="0" w:line="30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heightened risks of unfair or corrupt business practices in certain geographies and of improper or fraudulent sales arrangements that may impact financial results and result in restatements of financial statements and irregularities in financial statements;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or war;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Product and service sales may be subject to foreign governmental regulations, which vary substantially from country to country. Further, we may be unable to keep up-to-date with changes in government requirements as they change from time to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Because we incorporate encryption technology into our products, certain of our products are subject to U.S. export controls and may be exported outside the U.S. only with the required export license or through an export license exception. If we were to fail to comply with U.S. export licensing,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we may also be adversely affected through reputational harm and penalties. Obtaining the necessary export license for a particular sale may be time-consuming and may result in the delay or loss of sales opportunities.</w:t>
      </w:r>
    </w:p>
    <w:p>
      <w:pPr>
        <w:spacing w:after="0" w:line="18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341" w:right="2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are subject include the EU, RoHS and the EU Waste Electrical and Electronic Equipment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incur more of these costs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governmental entities, which are subject to a number of challenges and risks.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Sales to U.S. and foreign federal, state and local governmental agency end-customers have accounted for a portion of our revenue in past periods, and we may in the future increase sales to governmental entities. Sales to governmental entities are subject to a number of risks. Selling to governmental entities can be highly competitive, expensive and time consuming, often requiring significant upfront time and expense without any assurance that we will win a sale. Government demand, sales, and payment for our products and services may be negatively impacted by numerous factors and requirements unique to selling to government agencies, such as public sector budgetary cycles, funding authorizations and requirements unique to government agencies, with funding or purchasing reductions or delays adversely affecting public sector demand for our products, geopolitical matters, and rules and regulations applicable to certain government sales. To date we have had limited traction in sales to U.S. federal government agencies, and any future sales to governmental entities is uncertain. All of our sales to governmental entities have been made indirectly through our distribution channel. Governmental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antispyware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network system is compromised by computer hackers, public perception of our products and services will be harmed.</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enterprise, service provider and governmental entity end-customers require higher levels of support than smaller end-customers. If we fail to meet the requirements of the larger end-customers, it may be more difficult to execute on our strategy to increase our penetration with larger end-customers.</w:t>
      </w:r>
    </w:p>
    <w:p>
      <w:pPr>
        <w:spacing w:after="0" w:line="1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a result, our failure to maintain high quality support services would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provision for income taxes or adverse outcomes resulting from examination of our income tax returns could adversely affect our results.</w:t>
      </w:r>
    </w:p>
    <w:p>
      <w:pPr>
        <w:spacing w:after="0" w:line="26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provision for income taxes is subject to volatility and could be adversely affected by several factors, many of which are outside of our control, including:</w:t>
      </w:r>
    </w:p>
    <w:p>
      <w:pPr>
        <w:spacing w:after="0" w:line="170" w:lineRule="exact"/>
        <w:rPr>
          <w:sz w:val="20"/>
          <w:szCs w:val="20"/>
          <w:color w:val="auto"/>
        </w:rPr>
      </w:pPr>
    </w:p>
    <w:p>
      <w:pPr>
        <w:ind w:left="1300" w:right="3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transfer pricing adjustments including the effect of acquisitions on our intercompany research and development and legal structure;</w:t>
      </w:r>
    </w:p>
    <w:p>
      <w:pPr>
        <w:spacing w:after="0" w:line="236" w:lineRule="exact"/>
        <w:rPr>
          <w:rFonts w:ascii="Arial" w:cs="Arial" w:eastAsia="Arial" w:hAnsi="Arial"/>
          <w:sz w:val="17"/>
          <w:szCs w:val="17"/>
          <w:color w:val="auto"/>
        </w:rPr>
      </w:pPr>
    </w:p>
    <w:p>
      <w:pPr>
        <w:ind w:left="1300" w:right="3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the stock option exercises by our employees in some of our foreign subsidiaries that can cause an adverse transfer pricing adjustment;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income tax provision for the period in which the settlement takes place;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341" w:right="27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Significant judgment is required to determine the recognition and measurement attribute prescribed in the FASB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92"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Although we released our entire valuation allowance in fiscal 2009, we may in the future be required to establish a new valuation allowance. We will continue to assess the need for a valuation allowance on the deferred tax asset by evaluating both positive and negative evidence that may exist.</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7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In addition, we may be subject to examination of our income tax returns by the Internal Revenue Service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41"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In addition, any acquisitions we are able to complete may not be accretive to earnings and may not result in any synergies or other benefits we had expected to achieve, which could result in write-offs that could be substantial. Further, completing a potential acquisition and integrating acquired businesses, products, technologies or intellectual property will significantly divert management time and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and terrorism.</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 significant natural disaster, such as an earthquake, fire, a flood, or significant power outage could have a material adverse impact on our business, operating results and financial condition. Our corporate headquarters are located in the San Francisco Bay Area,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missing financial targets, such as revenue and shipment targets, for a particular quarter. In addition, regional instability, acts of terrorism and other geo-political unrest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network security market is expected to continue to evolve rapidly. Moreover, many of our end-customers operate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41"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will impair the market acceptance of our products, which in turn will harm our business, financial condition and results of operations.</w:t>
      </w:r>
    </w:p>
    <w:p>
      <w:pPr>
        <w:spacing w:after="0" w:line="182"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users'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will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41"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defects, vulnerabilities, errors or failures or any perceived possible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our revenue may not continue to grow.</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Increased market awareness of our capabilities and products is essential to our continued growth and our success in all of our markets, particularly for the large enterprise, service provider and governmental entities markets. We have historically had relatively low spending on certain marketing activities, and, if our marketing programs are not successful in creating market awareness of our company and products, our business, financial condition and results of operations will be adversely affected, and we will not be able to achieve sustained growth.</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for UTM products may be limited by market perception that UTM products are inferior to network security solutions from multiple vendors.</w:t>
      </w:r>
    </w:p>
    <w:p>
      <w:pPr>
        <w:spacing w:after="0" w:line="24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governmental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face intense competition in our market, especially from larger, better-known companies, and we may lack sufficient financial or other resources to maintain or improve our competitive position.</w:t>
      </w:r>
    </w:p>
    <w:p>
      <w:pPr>
        <w:spacing w:after="0" w:line="17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The market for network security products is intensely competitive, and we expect competition to intensify in the future. Our competitors include networking companies such as Cisco Systems, Inc., Juniper Networks, Inc., and security vendors such as Check Point Software Technologies Ltd., McAfee, Inc. (acquired by Intel Corporation), SonicWALL, Inc. (acquired by Dell, Inc.), Palo Alto Networks, Inc., and other point solution security vendors.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341" w:right="2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Intel's acquisition of McAfee, Check Point's acquisition of Nokia's security appliance business and Dell's acquisition of SonicWALL. As a result of such acquisitions,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Large, well-established providers of networking equipment such as Cisco Systems, Inc. and Juniper Networks, Inc.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41" w:right="2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We rely primarily on patent, trademark, copyright and trade secrets laws,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As a result, we may not be able to obtain adequate patent protection or effectively enforce our issued patents.</w:t>
      </w:r>
    </w:p>
    <w:p>
      <w:pPr>
        <w:spacing w:after="0" w:line="16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time-to-time,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(LGPL), the BSD License, the Apache License and others. From time-to-time,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Patent and other intellectual property disputes are common in the network security industry. Third parties have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41"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or other adverse patent owners who have no relevant product revenue and against whom our own patents may therefore provide little or no deterrence or protection.</w:t>
      </w:r>
    </w:p>
    <w:p>
      <w:pPr>
        <w:spacing w:after="0" w:line="19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From time to time we are subject to lawsuits claiming patent infringement, and there are lawsuits claiming patent infringement currently pending, as discussed in “Item 1-Legal Proceedings.” We are also subject to other litigation in addition to patent infringement claims, such as employment-related litigation and disputes, general commercial litigation, and other forms of litigation and disputes.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 In addition to the lawsuits described in "Legal Proceedings," several other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We are in the early stages of completing our evaluation of our internal controls over financial reporting for fiscal 2012 as required by Section 404 of the Sarbanes-Oxley Act of 2002. Although our assessment, testing and evaluation resulted in our conclusion that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341" w:right="2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2011, our internal controls over financial reporting were effective, we cannot predict the outcome of our testing in 2012 or future periods. If our internal controls or disclosure controls are ineffective in future periods, our business and reputation could be harmed. We may incur additional expenses and commitment of management's time in connection with further evaluations, both of which could materially increase our operating expenses and accordingly reduce our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 change in accounting standards or practices and varying interpretations of existing accounting pronouncements, such as changes to standards related to the increased use of fair value measure, financial instruments, and the potential requirement that U.S. registrants prepare financial statements in accordance with International Financial Reporting Standards (“IFRS”),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1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 For example, in the three months ended June 30, 2012, the price of our common stock ranged from $20.41 to $28.44.</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failure to raise additional capital or generate the significant capital necessary to expand our operations and invest in new products could reduce our ability to compete and could harm our business.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expect that our existing cash and cash equivalents will be sufficient to meet our anticipated cash needs for at least the next 12 months. If we need to raise additional funds in the future, we may not be able to obtain additional debt or equity financing on favorable terms, if at all. If we raise additional equity financing, our stockholders may experience significant dilution of their ownership interests and the per-share value of our common stock could decline. Furthermore, if we engage in debt financing, the holders of debt would have priority over the holders of common stock and we may be required to accept terms that restrict our ability to incur additional indebtedness. We may also be required to take other actions that would otherwise be in the interests of the stockholders and force us to maintain specified liquidity or other ratios, any of which could harm our business, operating results and financial condition. If we need additional capital and cannot raise it on acceptable terms, we may not be able to, among other things:</w:t>
      </w:r>
    </w:p>
    <w:p>
      <w:pPr>
        <w:spacing w:after="0" w:line="178"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 or enhance our products and services;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to expand our sales and marketing and research and development organizations;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operations, in the United States or internationally;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do any of these things could seriously harm our business, financial condition and results of operations.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July 31, 2012, our executive officers, directors and their affiliates beneficially owned, in the aggregate, approximately 18%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15.0%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341" w:right="29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exhibits listed in the accompanying Exhibit Index are filed or incorporated by reference as part of this Quarterly Report on Form 10-Q.</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540"/>
          </w:cols>
          <w:pgMar w:left="240" w:top="341" w:right="111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2012</w:t>
      </w:r>
    </w:p>
    <w:p>
      <w:pPr>
        <w:spacing w:after="0" w:line="3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FORTINET, INC.</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40" w:type="dxa"/>
            <w:vAlign w:val="bottom"/>
          </w:tcPr>
          <w:p>
            <w:pPr>
              <w:ind w:left="57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EN</w:t>
            </w:r>
            <w:r>
              <w:rPr>
                <w:rFonts w:ascii="Arial" w:cs="Arial" w:eastAsia="Arial" w:hAnsi="Arial"/>
                <w:sz w:val="18"/>
                <w:szCs w:val="18"/>
                <w:color w:val="auto"/>
              </w:rPr>
              <w:t xml:space="preserve"> G</w:t>
            </w:r>
            <w:r>
              <w:rPr>
                <w:rFonts w:ascii="Arial" w:cs="Arial" w:eastAsia="Arial" w:hAnsi="Arial"/>
                <w:sz w:val="12"/>
                <w:szCs w:val="12"/>
                <w:color w:val="auto"/>
              </w:rPr>
              <w:t>OLDMAN</w:t>
            </w:r>
          </w:p>
        </w:tc>
        <w:tc>
          <w:tcPr>
            <w:tcW w:w="0" w:type="dxa"/>
            <w:vAlign w:val="bottom"/>
          </w:tcPr>
          <w:p>
            <w:pPr>
              <w:spacing w:after="0"/>
              <w:rPr>
                <w:sz w:val="1"/>
                <w:szCs w:val="1"/>
                <w:color w:val="auto"/>
              </w:rPr>
            </w:pPr>
          </w:p>
        </w:tc>
      </w:tr>
      <w:tr>
        <w:trPr>
          <w:trHeight w:val="27"/>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FFFFFF"/>
              </w:rPr>
              <w:t>Ken Goldman</w:t>
            </w: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240" w:type="dxa"/>
            <w:vAlign w:val="bottom"/>
            <w:vMerge w:val="continue"/>
          </w:tcPr>
          <w:p>
            <w:pPr>
              <w:spacing w:after="0"/>
              <w:rPr>
                <w:sz w:val="12"/>
                <w:szCs w:val="12"/>
                <w:color w:val="auto"/>
              </w:rPr>
            </w:pPr>
          </w:p>
        </w:tc>
        <w:tc>
          <w:tcPr>
            <w:tcW w:w="51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Ken Goldman</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20"/>
                <w:szCs w:val="20"/>
                <w:color w:val="auto"/>
              </w:rPr>
            </w:pPr>
            <w:r>
              <w:rPr>
                <w:rFonts w:ascii="Arial" w:cs="Arial" w:eastAsia="Arial" w:hAnsi="Arial"/>
                <w:sz w:val="14"/>
                <w:szCs w:val="14"/>
                <w:b w:val="1"/>
                <w:bCs w:val="1"/>
                <w:color w:val="FFFFFF"/>
              </w:rPr>
              <w:t>Vice President and Chief Financial Officer</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Vice President and Chief Financial Officer</w:t>
            </w:r>
          </w:p>
        </w:tc>
        <w:tc>
          <w:tcPr>
            <w:tcW w:w="0" w:type="dxa"/>
            <w:vAlign w:val="bottom"/>
          </w:tcPr>
          <w:p>
            <w:pPr>
              <w:spacing w:after="0"/>
              <w:rPr>
                <w:sz w:val="1"/>
                <w:szCs w:val="1"/>
                <w:color w:val="auto"/>
              </w:rPr>
            </w:pPr>
          </w:p>
        </w:tc>
      </w:tr>
      <w:tr>
        <w:trPr>
          <w:trHeight w:val="687"/>
        </w:trPr>
        <w:tc>
          <w:tcPr>
            <w:tcW w:w="6240" w:type="dxa"/>
            <w:vAlign w:val="bottom"/>
          </w:tcPr>
          <w:p>
            <w:pPr>
              <w:jc w:val="right"/>
              <w:ind w:right="399"/>
              <w:spacing w:after="0"/>
              <w:rPr>
                <w:sz w:val="20"/>
                <w:szCs w:val="20"/>
                <w:color w:val="auto"/>
              </w:rPr>
            </w:pPr>
            <w:r>
              <w:rPr>
                <w:rFonts w:ascii="Arial" w:cs="Arial" w:eastAsia="Arial" w:hAnsi="Arial"/>
                <w:sz w:val="18"/>
                <w:szCs w:val="18"/>
                <w:color w:val="auto"/>
              </w:rPr>
              <w:t>58</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Exhibit</w:t>
            </w: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7"/>
        </w:trPr>
        <w:tc>
          <w:tcPr>
            <w:tcW w:w="1620" w:type="dxa"/>
            <w:vAlign w:val="bottom"/>
            <w:gridSpan w:val="2"/>
          </w:tcPr>
          <w:p>
            <w:pPr>
              <w:ind w:left="400"/>
              <w:spacing w:after="0"/>
              <w:rPr>
                <w:sz w:val="20"/>
                <w:szCs w:val="20"/>
                <w:color w:val="auto"/>
              </w:rPr>
            </w:pPr>
            <w:r>
              <w:rPr>
                <w:rFonts w:ascii="Arial" w:cs="Arial" w:eastAsia="Arial" w:hAnsi="Arial"/>
                <w:sz w:val="16"/>
                <w:szCs w:val="16"/>
                <w:b w:val="1"/>
                <w:bCs w:val="1"/>
                <w:color w:val="auto"/>
              </w:rPr>
              <w:t>Number</w:t>
            </w:r>
          </w:p>
        </w:tc>
        <w:tc>
          <w:tcPr>
            <w:tcW w:w="5380" w:type="dxa"/>
            <w:vAlign w:val="bottom"/>
            <w:gridSpan w:val="2"/>
          </w:tcPr>
          <w:p>
            <w:pPr>
              <w:ind w:left="2160"/>
              <w:spacing w:after="0"/>
              <w:rPr>
                <w:sz w:val="20"/>
                <w:szCs w:val="20"/>
                <w:color w:val="auto"/>
              </w:rPr>
            </w:pPr>
            <w:r>
              <w:rPr>
                <w:rFonts w:ascii="Arial" w:cs="Arial" w:eastAsia="Arial" w:hAnsi="Arial"/>
                <w:sz w:val="16"/>
                <w:szCs w:val="16"/>
                <w:b w:val="1"/>
                <w:bCs w:val="1"/>
                <w:color w:val="auto"/>
              </w:rPr>
              <w:t>Description</w:t>
            </w:r>
          </w:p>
        </w:tc>
        <w:tc>
          <w:tcPr>
            <w:tcW w:w="4420" w:type="dxa"/>
            <w:vAlign w:val="bottom"/>
            <w:gridSpan w:val="5"/>
          </w:tcPr>
          <w:p>
            <w:pPr>
              <w:ind w:left="1000"/>
              <w:spacing w:after="0"/>
              <w:rPr>
                <w:sz w:val="20"/>
                <w:szCs w:val="20"/>
                <w:color w:val="auto"/>
              </w:rPr>
            </w:pPr>
            <w:r>
              <w:rPr>
                <w:rFonts w:ascii="Arial" w:cs="Arial" w:eastAsia="Arial" w:hAnsi="Arial"/>
                <w:sz w:val="16"/>
                <w:szCs w:val="16"/>
                <w:b w:val="1"/>
                <w:bCs w:val="1"/>
                <w:color w:val="auto"/>
              </w:rPr>
              <w:t>Incorporated By Reference Herein</w:t>
            </w:r>
          </w:p>
        </w:tc>
      </w:tr>
      <w:tr>
        <w:trPr>
          <w:trHeight w:val="33"/>
        </w:trPr>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gridSpan w:val="3"/>
          </w:tcPr>
          <w:p>
            <w:pPr>
              <w:ind w:left="1140"/>
              <w:spacing w:after="0" w:line="196" w:lineRule="exact"/>
              <w:rPr>
                <w:sz w:val="20"/>
                <w:szCs w:val="20"/>
                <w:color w:val="auto"/>
              </w:rPr>
            </w:pPr>
            <w:r>
              <w:rPr>
                <w:rFonts w:ascii="Arial" w:cs="Arial" w:eastAsia="Arial" w:hAnsi="Arial"/>
                <w:sz w:val="18"/>
                <w:szCs w:val="18"/>
                <w:b w:val="1"/>
                <w:bCs w:val="1"/>
                <w:color w:val="auto"/>
              </w:rPr>
              <w:t>Form</w:t>
            </w:r>
          </w:p>
        </w:tc>
        <w:tc>
          <w:tcPr>
            <w:tcW w:w="1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Date</w:t>
            </w:r>
          </w:p>
        </w:tc>
      </w:tr>
      <w:tr>
        <w:trPr>
          <w:trHeight w:val="506"/>
        </w:trPr>
        <w:tc>
          <w:tcPr>
            <w:tcW w:w="1380" w:type="dxa"/>
            <w:vAlign w:val="bottom"/>
          </w:tcPr>
          <w:p>
            <w:pPr>
              <w:ind w:left="18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pursuant to Exchange Act</w:t>
            </w:r>
          </w:p>
        </w:tc>
        <w:tc>
          <w:tcPr>
            <w:tcW w:w="11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w w:val="95"/>
              </w:rPr>
              <w:t>Rules 13a-14(a) and 15d-14(a), as adopted pursuant to Section 302 of</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85"/>
        </w:trPr>
        <w:tc>
          <w:tcPr>
            <w:tcW w:w="1380" w:type="dxa"/>
            <w:vAlign w:val="bottom"/>
          </w:tcPr>
          <w:p>
            <w:pPr>
              <w:ind w:left="18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Certification of Chief Financial Officer pursuant to Exchange Act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w w:val="95"/>
              </w:rPr>
              <w:t>Rules 13a-14(a) and 15d-14(a), as adopted pursuant to Section 302 of</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85"/>
        </w:trPr>
        <w:tc>
          <w:tcPr>
            <w:tcW w:w="1380" w:type="dxa"/>
            <w:vAlign w:val="bottom"/>
          </w:tcPr>
          <w:p>
            <w:pPr>
              <w:ind w:left="18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Certifications of Chief Executive Officer and Chief Financial Officer</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w w:val="98"/>
              </w:rPr>
              <w:t>pursuant to 18 U.S.C. Section 1350, as adopted pursuant to Section</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906 of the Sarbanes-Oxley Act of 2002</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101.CAL**</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101.DEF**</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101.LAB**</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101.INS**</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42"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right="220" w:firstLine="8"/>
        <w:spacing w:after="0" w:line="286" w:lineRule="auto"/>
        <w:tabs>
          <w:tab w:leader="none" w:pos="225" w:val="left"/>
        </w:tabs>
        <w:numPr>
          <w:ilvl w:val="0"/>
          <w:numId w:val="32"/>
        </w:numPr>
        <w:rPr>
          <w:rFonts w:ascii="Arial" w:cs="Arial" w:eastAsia="Arial" w:hAnsi="Arial"/>
          <w:sz w:val="17"/>
          <w:szCs w:val="17"/>
          <w:color w:val="auto"/>
        </w:rPr>
      </w:pPr>
      <w:r>
        <w:rPr>
          <w:rFonts w:ascii="Arial" w:cs="Arial" w:eastAsia="Arial" w:hAnsi="Arial"/>
          <w:sz w:val="17"/>
          <w:szCs w:val="17"/>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77" w:lineRule="exact"/>
        <w:rPr>
          <w:sz w:val="20"/>
          <w:szCs w:val="20"/>
          <w:color w:val="auto"/>
        </w:rPr>
      </w:pPr>
    </w:p>
    <w:p>
      <w:pPr>
        <w:ind w:left="880" w:hanging="46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40" w:hanging="467"/>
        <w:spacing w:after="0" w:line="306"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00" w:right="80" w:hanging="455"/>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220" w:hanging="455"/>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300" w:right="380" w:hanging="455"/>
        <w:spacing w:after="0" w:line="325"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00" w:hanging="455"/>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240" w:hanging="467"/>
        <w:spacing w:after="0" w:line="325"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55"/>
        <w:spacing w:after="0" w:line="325"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40" w:hanging="455"/>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August 7, 2012</w:t>
            </w:r>
          </w:p>
        </w:tc>
        <w:tc>
          <w:tcPr>
            <w:tcW w:w="6460" w:type="dxa"/>
            <w:vAlign w:val="bottom"/>
            <w:gridSpan w:val="2"/>
          </w:tcPr>
          <w:p>
            <w:pPr>
              <w:ind w:left="900"/>
              <w:spacing w:after="0"/>
              <w:rPr>
                <w:sz w:val="20"/>
                <w:szCs w:val="20"/>
                <w:color w:val="auto"/>
              </w:rPr>
            </w:pPr>
            <w:r>
              <w:rPr>
                <w:rFonts w:ascii="Arial" w:cs="Arial" w:eastAsia="Arial" w:hAnsi="Arial"/>
                <w:sz w:val="18"/>
                <w:szCs w:val="18"/>
                <w:color w:val="auto"/>
              </w:rPr>
              <w:t>By:  /s/ Ken Xie</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Ken Xie</w:t>
            </w:r>
          </w:p>
        </w:tc>
        <w:tc>
          <w:tcPr>
            <w:tcW w:w="0" w:type="dxa"/>
            <w:vAlign w:val="bottom"/>
          </w:tcPr>
          <w:p>
            <w:pPr>
              <w:spacing w:after="0"/>
              <w:rPr>
                <w:sz w:val="1"/>
                <w:szCs w:val="1"/>
                <w:color w:val="auto"/>
              </w:rPr>
            </w:pPr>
          </w:p>
        </w:tc>
      </w:tr>
      <w:tr>
        <w:trPr>
          <w:trHeight w:val="241"/>
        </w:trPr>
        <w:tc>
          <w:tcPr>
            <w:tcW w:w="4920" w:type="dxa"/>
            <w:vAlign w:val="bottom"/>
          </w:tcPr>
          <w:p>
            <w:pPr>
              <w:ind w:left="580"/>
              <w:spacing w:after="0"/>
              <w:rPr>
                <w:sz w:val="20"/>
                <w:szCs w:val="20"/>
                <w:color w:val="auto"/>
              </w:rPr>
            </w:pPr>
            <w:r>
              <w:rPr>
                <w:rFonts w:ascii="Arial" w:cs="Arial" w:eastAsia="Arial" w:hAnsi="Arial"/>
                <w:sz w:val="18"/>
                <w:szCs w:val="18"/>
                <w:i w:val="1"/>
                <w:iCs w:val="1"/>
                <w:color w:val="FFFFFF"/>
              </w:rPr>
              <w:t>President, Chief Executive Officer and Director</w:t>
            </w:r>
          </w:p>
        </w:tc>
        <w:tc>
          <w:tcPr>
            <w:tcW w:w="1320" w:type="dxa"/>
            <w:vAlign w:val="bottom"/>
          </w:tcPr>
          <w:p>
            <w:pPr>
              <w:spacing w:after="0"/>
              <w:rPr>
                <w:sz w:val="20"/>
                <w:szCs w:val="20"/>
                <w:color w:val="auto"/>
              </w:rPr>
            </w:pPr>
          </w:p>
        </w:tc>
        <w:tc>
          <w:tcPr>
            <w:tcW w:w="5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President, Chief Executive Officer and Director</w:t>
            </w:r>
          </w:p>
        </w:tc>
        <w:tc>
          <w:tcPr>
            <w:tcW w:w="0" w:type="dxa"/>
            <w:vAlign w:val="bottom"/>
          </w:tcPr>
          <w:p>
            <w:pPr>
              <w:spacing w:after="0"/>
              <w:rPr>
                <w:sz w:val="1"/>
                <w:szCs w:val="1"/>
                <w:color w:val="auto"/>
              </w:rPr>
            </w:pPr>
          </w:p>
        </w:tc>
      </w:tr>
      <w:tr>
        <w:trPr>
          <w:trHeight w:val="59"/>
        </w:trPr>
        <w:tc>
          <w:tcPr>
            <w:tcW w:w="4920" w:type="dxa"/>
            <w:vAlign w:val="bottom"/>
            <w:vMerge w:val="restart"/>
          </w:tcPr>
          <w:p>
            <w:pPr>
              <w:ind w:left="580"/>
              <w:spacing w:after="0"/>
              <w:rPr>
                <w:sz w:val="20"/>
                <w:szCs w:val="20"/>
                <w:color w:val="auto"/>
              </w:rPr>
            </w:pPr>
            <w:r>
              <w:rPr>
                <w:rFonts w:ascii="Arial" w:cs="Arial" w:eastAsia="Arial" w:hAnsi="Arial"/>
                <w:sz w:val="18"/>
                <w:szCs w:val="18"/>
                <w:i w:val="1"/>
                <w:iCs w:val="1"/>
                <w:color w:val="FFFFFF"/>
              </w:rPr>
              <w:t>(Principal Executive Officer)</w:t>
            </w:r>
          </w:p>
        </w:tc>
        <w:tc>
          <w:tcPr>
            <w:tcW w:w="1320" w:type="dxa"/>
            <w:vAlign w:val="bottom"/>
          </w:tcPr>
          <w:p>
            <w:pPr>
              <w:spacing w:after="0"/>
              <w:rPr>
                <w:sz w:val="5"/>
                <w:szCs w:val="5"/>
                <w:color w:val="auto"/>
              </w:rPr>
            </w:pPr>
          </w:p>
        </w:tc>
        <w:tc>
          <w:tcPr>
            <w:tcW w:w="5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492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Ken Goldman, certify that:</w:t>
      </w:r>
    </w:p>
    <w:p>
      <w:pPr>
        <w:spacing w:after="0" w:line="77" w:lineRule="exact"/>
        <w:rPr>
          <w:sz w:val="20"/>
          <w:szCs w:val="20"/>
          <w:color w:val="auto"/>
        </w:rPr>
      </w:pPr>
    </w:p>
    <w:p>
      <w:pPr>
        <w:ind w:left="880" w:hanging="46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40" w:hanging="467"/>
        <w:spacing w:after="0" w:line="306"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20" w:right="80" w:hanging="448"/>
        <w:spacing w:after="0" w:line="264" w:lineRule="auto"/>
        <w:tabs>
          <w:tab w:leader="none" w:pos="13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220" w:hanging="455"/>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320" w:right="380" w:hanging="448"/>
        <w:spacing w:after="0" w:line="325" w:lineRule="auto"/>
        <w:tabs>
          <w:tab w:leader="none" w:pos="1320" w:val="left"/>
        </w:tabs>
        <w:numPr>
          <w:ilvl w:val="2"/>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20" w:right="100" w:hanging="448"/>
        <w:spacing w:after="0" w:line="264" w:lineRule="auto"/>
        <w:tabs>
          <w:tab w:leader="none" w:pos="1320" w:val="left"/>
        </w:tabs>
        <w:numPr>
          <w:ilvl w:val="2"/>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240" w:hanging="467"/>
        <w:spacing w:after="0" w:line="325"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20" w:right="620" w:hanging="448"/>
        <w:spacing w:after="0" w:line="325" w:lineRule="auto"/>
        <w:tabs>
          <w:tab w:leader="none" w:pos="1320" w:val="left"/>
        </w:tabs>
        <w:numPr>
          <w:ilvl w:val="2"/>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20" w:right="320" w:hanging="448"/>
        <w:spacing w:after="0" w:line="277" w:lineRule="auto"/>
        <w:tabs>
          <w:tab w:leader="none" w:pos="13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5840" w:val="left"/>
          <w:tab w:leader="none" w:pos="6300" w:val="left"/>
        </w:tabs>
        <w:rPr>
          <w:sz w:val="20"/>
          <w:szCs w:val="20"/>
          <w:color w:val="auto"/>
        </w:rPr>
      </w:pPr>
      <w:r>
        <w:rPr>
          <w:rFonts w:ascii="Arial" w:cs="Arial" w:eastAsia="Arial" w:hAnsi="Arial"/>
          <w:sz w:val="18"/>
          <w:szCs w:val="18"/>
          <w:color w:val="auto"/>
        </w:rPr>
        <w:t>Date:</w:t>
        <w:tab/>
        <w:t>August 7,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6"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Ken Goldman</w:t>
      </w:r>
    </w:p>
    <w:p>
      <w:pPr>
        <w:spacing w:after="0" w:line="38"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Chief Financial Officer</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373" w:lineRule="exact"/>
        <w:rPr>
          <w:sz w:val="20"/>
          <w:szCs w:val="20"/>
          <w:color w:val="auto"/>
        </w:rPr>
      </w:pPr>
    </w:p>
    <w:p>
      <w:pPr>
        <w:jc w:val="both"/>
        <w:ind w:left="40" w:right="20" w:firstLine="561"/>
        <w:spacing w:after="0" w:line="257" w:lineRule="auto"/>
        <w:rPr>
          <w:sz w:val="20"/>
          <w:szCs w:val="20"/>
          <w:color w:val="auto"/>
        </w:rPr>
      </w:pPr>
      <w:r>
        <w:rPr>
          <w:rFonts w:ascii="Arial" w:cs="Arial" w:eastAsia="Arial" w:hAnsi="Arial"/>
          <w:sz w:val="18"/>
          <w:szCs w:val="18"/>
          <w:color w:val="auto"/>
        </w:rPr>
        <w:t>In connection with the Quarterly Report on Form 10-Q of Fortinet, Inc. for the quarterly period ended June 30, 2012 as filed with the Securities and Exchange Commission on the date hereof (the “Report”), Ken Xie, as Principal Executive Officer of Fortinet, Inc., hereby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Fortinet, Inc.</w:t>
      </w:r>
    </w:p>
    <w:p>
      <w:pPr>
        <w:spacing w:after="0" w:line="323" w:lineRule="exact"/>
        <w:rPr>
          <w:sz w:val="20"/>
          <w:szCs w:val="20"/>
          <w:color w:val="auto"/>
        </w:rPr>
      </w:pPr>
    </w:p>
    <w:p>
      <w:pPr>
        <w:ind w:left="40"/>
        <w:spacing w:after="0"/>
        <w:tabs>
          <w:tab w:leader="none" w:pos="600" w:val="left"/>
          <w:tab w:leader="none" w:pos="5840" w:val="left"/>
          <w:tab w:leader="none" w:pos="6300" w:val="left"/>
        </w:tabs>
        <w:rPr>
          <w:sz w:val="20"/>
          <w:szCs w:val="20"/>
          <w:color w:val="auto"/>
        </w:rPr>
      </w:pPr>
      <w:r>
        <w:rPr>
          <w:rFonts w:ascii="Arial" w:cs="Arial" w:eastAsia="Arial" w:hAnsi="Arial"/>
          <w:sz w:val="18"/>
          <w:szCs w:val="18"/>
          <w:color w:val="auto"/>
        </w:rPr>
        <w:t>Date:</w:t>
        <w:tab/>
        <w:t>August 7,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6"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Ken Xie</w:t>
      </w:r>
    </w:p>
    <w:p>
      <w:pPr>
        <w:spacing w:after="0" w:line="38"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President, Chief Executive Officer and Director</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(Principal Executive Officer)</w:t>
      </w:r>
    </w:p>
    <w:p>
      <w:pPr>
        <w:spacing w:after="0" w:line="331" w:lineRule="exact"/>
        <w:rPr>
          <w:sz w:val="20"/>
          <w:szCs w:val="20"/>
          <w:color w:val="auto"/>
        </w:rPr>
      </w:pPr>
    </w:p>
    <w:p>
      <w:pPr>
        <w:jc w:val="both"/>
        <w:ind w:left="40" w:right="20" w:firstLine="561"/>
        <w:spacing w:after="0" w:line="257" w:lineRule="auto"/>
        <w:rPr>
          <w:sz w:val="20"/>
          <w:szCs w:val="20"/>
          <w:color w:val="auto"/>
        </w:rPr>
      </w:pPr>
      <w:r>
        <w:rPr>
          <w:rFonts w:ascii="Arial" w:cs="Arial" w:eastAsia="Arial" w:hAnsi="Arial"/>
          <w:sz w:val="18"/>
          <w:szCs w:val="18"/>
          <w:color w:val="auto"/>
        </w:rPr>
        <w:t>In connection with the Quarterly Report on Form 10-Q of Fortinet, Inc. for the quarterly period ended June 30, 2012 as filed with the Securities and Exchange Commission on the date hereof (the “Report”), Ken Goldman, as Principal Financial Officer of Fortinet, Inc., hereby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Fortinet, Inc.</w:t>
      </w:r>
    </w:p>
    <w:p>
      <w:pPr>
        <w:spacing w:after="0" w:line="323" w:lineRule="exact"/>
        <w:rPr>
          <w:sz w:val="20"/>
          <w:szCs w:val="20"/>
          <w:color w:val="auto"/>
        </w:rPr>
      </w:pPr>
    </w:p>
    <w:p>
      <w:pPr>
        <w:ind w:left="40"/>
        <w:spacing w:after="0"/>
        <w:tabs>
          <w:tab w:leader="none" w:pos="600" w:val="left"/>
          <w:tab w:leader="none" w:pos="5840" w:val="left"/>
          <w:tab w:leader="none" w:pos="6300" w:val="left"/>
        </w:tabs>
        <w:rPr>
          <w:sz w:val="20"/>
          <w:szCs w:val="20"/>
          <w:color w:val="auto"/>
        </w:rPr>
      </w:pPr>
      <w:r>
        <w:rPr>
          <w:rFonts w:ascii="Arial" w:cs="Arial" w:eastAsia="Arial" w:hAnsi="Arial"/>
          <w:sz w:val="18"/>
          <w:szCs w:val="18"/>
          <w:color w:val="auto"/>
        </w:rPr>
        <w:t>Date:</w:t>
        <w:tab/>
        <w:t>August 7,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6"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Ken Goldman</w:t>
      </w:r>
    </w:p>
    <w:p>
      <w:pPr>
        <w:spacing w:after="0" w:line="38"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Chief Financial Officer</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(Principal Financial Officer)</w:t>
      </w:r>
    </w:p>
    <w:p>
      <w:pPr>
        <w:spacing w:after="0" w:line="345" w:lineRule="exact"/>
        <w:rPr>
          <w:sz w:val="20"/>
          <w:szCs w:val="20"/>
          <w:color w:val="auto"/>
        </w:rPr>
      </w:pPr>
    </w:p>
    <w:p>
      <w:pPr>
        <w:jc w:val="both"/>
        <w:ind w:right="160" w:firstLine="432"/>
        <w:spacing w:after="0" w:line="286" w:lineRule="auto"/>
        <w:rPr>
          <w:sz w:val="20"/>
          <w:szCs w:val="20"/>
          <w:color w:val="auto"/>
        </w:rPr>
      </w:pPr>
      <w:r>
        <w:rPr>
          <w:rFonts w:ascii="Arial" w:cs="Arial" w:eastAsia="Arial" w:hAnsi="Arial"/>
          <w:sz w:val="17"/>
          <w:szCs w:val="17"/>
          <w:color w:val="auto"/>
        </w:rPr>
        <w:t>This certification accompanies this Report pursuant to Section 906 of the Sarbanes-Oxley Act of 2002 and shall not be deemed “filed” for purposes of Section 18 of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or incorporated by reference in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lowerRoman"/>
      <w:start w:val="10"/>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8"/>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2"/>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4"/>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5">
    <w:nsid w:val="5072367"/>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2019-12-09T16:11:13Z</dcterms:created>
  <dcterms:modified xsi:type="dcterms:W3CDTF">2019-12-09T16:11:13Z</dcterms:modified>
</cp:coreProperties>
</file>