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42026_090854.xml.htm"/>
      <w:bookmarkStart w:id="1" w:name="ksform408042026_0908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Xie Ken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9"/>
        <w:gridCol w:w="921"/>
        <w:gridCol w:w="792"/>
        <w:gridCol w:w="611"/>
        <w:gridCol w:w="336"/>
        <w:gridCol w:w="999"/>
        <w:gridCol w:w="406"/>
        <w:gridCol w:w="1101"/>
        <w:gridCol w:w="1336"/>
        <w:gridCol w:w="949"/>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52,978,632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4,558</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52,983,190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52,985,465</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161.95</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52,978,854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155,000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53,133,854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18,409</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160.1376</w:t>
            </w:r>
            <w:r>
              <w:rPr>
                <w:rFonts w:ascii="Times;serif" w:hAnsi="Times;serif"/>
                <w:color w:val="008000"/>
                <w:position w:val="7"/>
                <w:sz w:val="16"/>
                <w:sz w:val="20"/>
                <w:shd w:fill="FFFFFF" w:val="clear"/>
              </w:rPr>
              <w:t>(4)</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53,115,445</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19,647</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160.823</w:t>
            </w:r>
            <w:r>
              <w:rPr>
                <w:rFonts w:ascii="Times;serif" w:hAnsi="Times;serif"/>
                <w:color w:val="008000"/>
                <w:position w:val="7"/>
                <w:sz w:val="16"/>
                <w:sz w:val="20"/>
                <w:shd w:fill="FFFFFF" w:val="clear"/>
              </w:rPr>
              <w:t>(5)</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53,095,798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161.8201</w:t>
            </w:r>
            <w:r>
              <w:rPr>
                <w:rFonts w:ascii="Times;serif" w:hAnsi="Times;serif"/>
                <w:color w:val="008000"/>
                <w:position w:val="7"/>
                <w:sz w:val="16"/>
                <w:sz w:val="20"/>
                <w:shd w:fill="FFFFFF" w:val="clear"/>
              </w:rPr>
              <w:t>(6)</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53,088,448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67,971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163.0821</w:t>
            </w:r>
            <w:r>
              <w:rPr>
                <w:rFonts w:ascii="Times;serif" w:hAnsi="Times;serif"/>
                <w:color w:val="008000"/>
                <w:position w:val="7"/>
                <w:sz w:val="16"/>
                <w:sz w:val="20"/>
                <w:shd w:fill="FFFFFF" w:val="clear"/>
              </w:rPr>
              <w:t>(7)</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53,020,477</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47,943</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163.91</w:t>
            </w:r>
            <w:r>
              <w:rPr>
                <w:rFonts w:ascii="Times;serif" w:hAnsi="Times;serif"/>
                <w:color w:val="008000"/>
                <w:position w:val="7"/>
                <w:sz w:val="16"/>
                <w:sz w:val="20"/>
                <w:shd w:fill="FFFFFF" w:val="clear"/>
              </w:rPr>
              <w:t>(8)</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52,972,534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164.49</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52,972,372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4,848,774</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674" w:type="dxa"/>
        <w:jc w:val="left"/>
        <w:tblInd w:w="-7" w:type="dxa"/>
        <w:tblLayout w:type="fixed"/>
        <w:tblCellMar>
          <w:top w:w="60" w:type="dxa"/>
          <w:left w:w="60" w:type="dxa"/>
          <w:bottom w:w="60" w:type="dxa"/>
          <w:right w:w="60" w:type="dxa"/>
        </w:tblCellMar>
      </w:tblPr>
      <w:tblGrid>
        <w:gridCol w:w="123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306,470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transaction was effected pursuant to a Rule 10b5-1 trading plan adopted by the Reporting Person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The lowest price at which shares were sold was $159.45 and the highest price at which shares were sold was $160.44. The Reporting Person undertakes to provide upon request to the staff of the Securities and Exchange Commission, the Issuer or its stockholders, full information regarding the total number of shares sold at each separate price within the ranges set forth in footnotes (4), (5), (6), (7) and (8)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The lowest price at which shares were sold was $160.45 and the highest price at which shares were sold was $161.44.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 price. The lowest price at which shares were sold was $161.45 and the highest price at which shares were sold was $162.43.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weighted average sale price. The lowest price at which shares were sold was $162.49 and the highest price at which shares were sold was $163.48.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weighted average sale price. The lowest price at which shares were sold was $163.49 and the highest price at which shares were sold was $164.48.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25% of the RSUs vested on February 1, 2024, and the remaining 75% of the RSUs will vest in equal installments on each quarterly anniversary thereafter, until such time as the RSUs are 100% vested, subject to the Reporting Person's provision of service to the Issuer on each vesting date. Shares of the Issuer's common stock will be delivered to the Reporting Person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25% of the RSUs vested on February 1, 2025, and the remaining 75% of the RSUs will vest in equal installments on each quarterly anniversary thereafter, until such time as the RSUs are 100% vested, subject to the Reporting Person's provision of service to the Issuer on each vesting date. Shares of the Issuer's common stock will be delivered to the Reporting Person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25% of the RSUs vested on February 1, 2026, and the remaining 75% of the RSUs will vest in equal installments on each quarterly anniversary thereafter, until such time as the RSUs are 100% vested, subject to the Reporting Person's provision of service to the Issuer on each vesting date. Shares of the Issuer's common stock will be delivered to the Reporting Person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options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75587"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1275</Words>
  <Characters>6635</Characters>
  <CharactersWithSpaces>7697</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