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660" w:right="1660" w:hanging="3634"/>
        <w:spacing w:after="0" w:line="393" w:lineRule="auto"/>
        <w:tabs>
          <w:tab w:leader="none" w:pos="409"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00"/>
          </w:cols>
          <w:pgMar w:left="320" w:top="225"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00"/>
          </w:cols>
          <w:pgMar w:left="320" w:top="225" w:right="379" w:bottom="1440" w:gutter="0" w:footer="0" w:header="0"/>
          <w:type w:val="continuous"/>
        </w:sectPr>
      </w:pPr>
    </w:p>
    <w:p>
      <w:pPr>
        <w:spacing w:after="0" w:line="128" w:lineRule="exact"/>
        <w:rPr>
          <w:sz w:val="24"/>
          <w:szCs w:val="24"/>
          <w:color w:val="auto"/>
        </w:rPr>
      </w:pPr>
    </w:p>
    <w:p>
      <w:pPr>
        <w:ind w:right="220"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40"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firstLine="283"/>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86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November 7, 2024, there were 766,452,698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Nine Months Ended September 30, 2024 and 2023</w:t>
            </w:r>
          </w:p>
        </w:tc>
        <w:tc>
          <w:tcPr>
            <w:tcW w:w="126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2024 and 2023</w:t>
            </w: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and Nine Months Ended September 30, 2024</w:t>
            </w:r>
          </w:p>
        </w:tc>
        <w:tc>
          <w:tcPr>
            <w:tcW w:w="80" w:type="dxa"/>
            <w:vAlign w:val="bottom"/>
          </w:tcPr>
          <w:p>
            <w:pPr>
              <w:spacing w:after="0"/>
              <w:rPr>
                <w:sz w:val="18"/>
                <w:szCs w:val="18"/>
                <w:color w:val="auto"/>
              </w:rPr>
            </w:pPr>
          </w:p>
        </w:tc>
        <w:tc>
          <w:tcPr>
            <w:tcW w:w="6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76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8560" w:type="dxa"/>
            <w:vAlign w:val="bottom"/>
            <w:tcBorders>
              <w:top w:val="single" w:sz="8" w:color="0000FF"/>
            </w:tcBorders>
            <w:gridSpan w:val="14"/>
          </w:tcPr>
          <w:p>
            <w:pPr>
              <w:spacing w:after="0"/>
              <w:rPr>
                <w:sz w:val="13"/>
                <w:szCs w:val="13"/>
                <w:color w:val="auto"/>
              </w:rPr>
            </w:pPr>
          </w:p>
        </w:tc>
        <w:tc>
          <w:tcPr>
            <w:tcW w:w="320" w:type="dxa"/>
            <w:vAlign w:val="bottom"/>
            <w:gridSpan w:val="2"/>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720" w:type="dxa"/>
            <w:vAlign w:val="bottom"/>
            <w:gridSpan w:val="4"/>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172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72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tcPr>
          <w:p>
            <w:pPr>
              <w:spacing w:after="0"/>
              <w:rPr>
                <w:sz w:val="18"/>
                <w:szCs w:val="18"/>
                <w:color w:val="auto"/>
              </w:rPr>
            </w:pPr>
          </w:p>
        </w:tc>
        <w:tc>
          <w:tcPr>
            <w:tcW w:w="320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4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5"/>
          </w:tcPr>
          <w:p>
            <w:pPr>
              <w:spacing w:after="0"/>
              <w:rPr>
                <w:sz w:val="18"/>
                <w:szCs w:val="18"/>
                <w:color w:val="auto"/>
              </w:rPr>
            </w:pPr>
          </w:p>
        </w:tc>
        <w:tc>
          <w:tcPr>
            <w:tcW w:w="834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8"/>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38"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increasing or decreasing interest rates, changes in government spending or regulation or reduced information technology spending, including firewall spending, may adversely impact our business.</w:t>
      </w:r>
    </w:p>
    <w:p>
      <w:pPr>
        <w:spacing w:after="0" w:line="203"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182"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were in some instances required to and may in the future be required to accept or pay for components and finished goods regardless of our level of sales in a particular period, which may negatively impact our operating results and financial condition.</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or may not continue to grow, and our operating margins may decline.</w:t>
      </w:r>
    </w:p>
    <w:p>
      <w:pPr>
        <w:spacing w:after="0" w:line="238" w:lineRule="exact"/>
        <w:rPr>
          <w:rFonts w:ascii="Times New Roman" w:cs="Times New Roman" w:eastAsia="Times New Roman" w:hAnsi="Times New Roman"/>
          <w:sz w:val="18"/>
          <w:szCs w:val="18"/>
          <w:color w:val="auto"/>
        </w:rPr>
      </w:pPr>
    </w:p>
    <w:p>
      <w:pPr>
        <w:jc w:val="both"/>
        <w:ind w:left="660" w:right="62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leasing activity, and ongoing maintenance and management of office buildings, warehouses, data centers and points of presence, as well as data center expansions or enhancements, could involve significant risks to our business.</w:t>
      </w:r>
    </w:p>
    <w:p>
      <w:pPr>
        <w:spacing w:after="0" w:line="224" w:lineRule="exact"/>
        <w:rPr>
          <w:rFonts w:ascii="Times New Roman" w:cs="Times New Roman" w:eastAsia="Times New Roman" w:hAnsi="Times New Roman"/>
          <w:sz w:val="18"/>
          <w:szCs w:val="18"/>
          <w:color w:val="auto"/>
        </w:rPr>
      </w:pPr>
    </w:p>
    <w:p>
      <w:pPr>
        <w:jc w:val="both"/>
        <w:ind w:left="660" w:right="1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or if customers cancel or delay delivery of orders, our backlog may be affected, which will negatively impact our aggregate backlog to billings conversion and revenue in such quarter.</w:t>
      </w:r>
    </w:p>
    <w:p>
      <w:pPr>
        <w:spacing w:after="0" w:line="18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supply chain challenges normalize, our product revenue growth rate may be lower versus prior quarters where delivery from backlog contributed more to billings. We expect billings growth to normalize and lower the impact from backlog fluctuations. For the first three quarters of 2024, the comparably lower backlog contribution to billings has resulted in decreased year-over-year quarterly growth rates.</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75"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18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or changes in shipping terms could cause our billings and revenue to fall below expected levels.</w:t>
      </w:r>
    </w:p>
    <w:p>
      <w:pPr>
        <w:spacing w:after="0" w:line="20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security subscription and FortiCare technical support services, and revenue from these services may decline or fluctuate.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52" w:lineRule="exact"/>
        <w:rPr>
          <w:rFonts w:ascii="Times New Roman" w:cs="Times New Roman" w:eastAsia="Times New Roman" w:hAnsi="Times New Roman"/>
          <w:sz w:val="18"/>
          <w:szCs w:val="18"/>
          <w:color w:val="auto"/>
        </w:rPr>
      </w:pPr>
    </w:p>
    <w:p>
      <w:pPr>
        <w:ind w:left="66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328"/>
        <w:spacing w:after="0" w:line="250" w:lineRule="auto"/>
        <w:rPr>
          <w:sz w:val="20"/>
          <w:szCs w:val="20"/>
          <w:color w:val="auto"/>
        </w:rPr>
      </w:pPr>
      <w:r>
        <w:rPr>
          <w:rFonts w:ascii="Times New Roman" w:cs="Times New Roman" w:eastAsia="Times New Roman" w:hAnsi="Times New Roman"/>
          <w:sz w:val="18"/>
          <w:szCs w:val="18"/>
          <w:color w:val="auto"/>
        </w:rPr>
        <w:t>companies. Our Product Security Incident Response Team publicly posts on our FortiGuard Labs website known product vulnerabilities, including critical vulnerabilities, and methods for customers to mitigate the risk of vulnerabilities. However, there can be no assurance that such posts will be sufficiently timely, accurate or complete or that those customers will take steps to mitigate the risk of vulnerabilities, and certain customers may be negatively impacted.</w:t>
      </w:r>
    </w:p>
    <w:p>
      <w:pPr>
        <w:spacing w:after="0" w:line="191" w:lineRule="exact"/>
        <w:rPr>
          <w:sz w:val="20"/>
          <w:szCs w:val="20"/>
          <w:color w:val="auto"/>
        </w:rPr>
      </w:pPr>
    </w:p>
    <w:p>
      <w:pPr>
        <w:ind w:left="328" w:right="140" w:hanging="328"/>
        <w:spacing w:after="0" w:line="245"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enterprise IT networks, our operational networks, our research and development networks, our back-end labs and cloud stacks hosted in our data centers,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spacing w:after="0" w:line="221" w:lineRule="exact"/>
        <w:rPr>
          <w:rFonts w:ascii="Times New Roman" w:cs="Times New Roman" w:eastAsia="Times New Roman" w:hAnsi="Times New Roman"/>
          <w:sz w:val="18"/>
          <w:szCs w:val="18"/>
          <w:color w:val="auto"/>
        </w:rPr>
      </w:pPr>
    </w:p>
    <w:p>
      <w:pPr>
        <w:ind w:left="328" w:right="38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38"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organizations and other customers, which are subject to a number of regulatory requirements, their own supply chain and contractual requirements, challenges and risks.</w:t>
      </w:r>
    </w:p>
    <w:p>
      <w:pPr>
        <w:spacing w:after="0" w:line="161" w:lineRule="exact"/>
        <w:rPr>
          <w:rFonts w:ascii="Times New Roman" w:cs="Times New Roman" w:eastAsia="Times New Roman" w:hAnsi="Times New Roman"/>
          <w:sz w:val="18"/>
          <w:szCs w:val="18"/>
          <w:color w:val="auto"/>
        </w:rPr>
      </w:pPr>
    </w:p>
    <w:p>
      <w:pPr>
        <w:jc w:val="both"/>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from third-party manufacturers based on our forecasts of future demand and targeted inventory levels, which exposes us to the risk of both product shortages, may result in lost sales and higher expenses, and inventory excesses which may result in inventory charges and costs related to future purchase commitments, and may require us to sell our products at discounts or offer various other incentives.</w:t>
      </w:r>
    </w:p>
    <w:p>
      <w:pPr>
        <w:spacing w:after="0" w:line="203"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cost increases, and changes in the geopolitical environment.</w:t>
      </w:r>
    </w:p>
    <w:p>
      <w:pPr>
        <w:spacing w:after="0" w:line="189" w:lineRule="exact"/>
        <w:rPr>
          <w:rFonts w:ascii="Times New Roman" w:cs="Times New Roman" w:eastAsia="Times New Roman" w:hAnsi="Times New Roman"/>
          <w:sz w:val="18"/>
          <w:szCs w:val="18"/>
          <w:color w:val="auto"/>
        </w:rPr>
      </w:pPr>
    </w:p>
    <w:p>
      <w:pPr>
        <w:ind w:left="328" w:right="320" w:hanging="328"/>
        <w:spacing w:after="0" w:line="24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224"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and regulators’ expectations of our performance relating to environmental, social and governance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38"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75" w:lineRule="exact"/>
        <w:rPr>
          <w:rFonts w:ascii="Times New Roman" w:cs="Times New Roman" w:eastAsia="Times New Roman" w:hAnsi="Times New Roman"/>
          <w:sz w:val="18"/>
          <w:szCs w:val="18"/>
          <w:color w:val="auto"/>
        </w:rPr>
      </w:pPr>
    </w:p>
    <w:p>
      <w:pPr>
        <w:ind w:left="328" w:right="14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can weaken and harm our financial position.</w:t>
      </w:r>
    </w:p>
    <w:p>
      <w:pPr>
        <w:spacing w:after="0" w:line="238"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Weakening product demand caused by political instability, changes in trade agreements, wars and foreign conflicts, such as the war in Ukraine and the Israel-Hamas war or tensions between China and Taiwan, could adversely affect our business and financial performance.</w:t>
      </w:r>
    </w:p>
    <w:p>
      <w:pPr>
        <w:spacing w:after="0" w:line="200" w:lineRule="exact"/>
        <w:rPr>
          <w:sz w:val="20"/>
          <w:szCs w:val="20"/>
          <w:color w:val="auto"/>
        </w:rPr>
      </w:pPr>
    </w:p>
    <w:p>
      <w:pPr>
        <w:spacing w:after="0" w:line="31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2,848.7</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3,719.0</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7,722.3</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80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765.7 and 761.0 shares issued and</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outstanding on September 30, 2024 and December 31, 2023,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2,968.4</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55"/>
        </w:trPr>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(Note 9):</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76"/>
        </w:trPr>
        <w:tc>
          <w:tcPr>
            <w:tcW w:w="49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tax provision related to items of other comprehensive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184"/>
        </w:trPr>
        <w:tc>
          <w:tcPr>
            <w:tcW w:w="50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r>
              <w:rPr>
                <w:rFonts w:ascii="Times New Roman" w:cs="Times New Roman" w:eastAsia="Times New Roman" w:hAnsi="Times New Roman"/>
                <w:sz w:val="18"/>
                <w:szCs w:val="18"/>
                <w:u w:val="single" w:color="auto"/>
                <w:color w:val="auto"/>
              </w:rPr>
              <w:t>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184"/>
        </w:trPr>
        <w:tc>
          <w:tcPr>
            <w:tcW w:w="50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on net stock repurchases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r>
              <w:rPr>
                <w:rFonts w:ascii="Times New Roman" w:cs="Times New Roman" w:eastAsia="Times New Roman" w:hAnsi="Times New Roman"/>
                <w:sz w:val="18"/>
                <w:szCs w:val="18"/>
                <w:u w:val="single" w:color="auto"/>
                <w:color w:val="auto"/>
              </w:rPr>
              <w:t>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r>
              <w:rPr>
                <w:rFonts w:ascii="Times New Roman" w:cs="Times New Roman" w:eastAsia="Times New Roman" w:hAnsi="Times New Roman"/>
                <w:sz w:val="18"/>
                <w:szCs w:val="18"/>
                <w:u w:val="single" w:color="auto"/>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11"/>
          </w:tcPr>
          <w:p>
            <w:pPr>
              <w:ind w:left="6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6"/>
        </w:trPr>
        <w:tc>
          <w:tcPr>
            <w:tcW w:w="50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1"/>
          </w:tcPr>
          <w:p>
            <w:pPr>
              <w:ind w:left="6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25"/>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on net stock repurchases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investments -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124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discounts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Gain on bargain purchase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1,743.8</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(1,327.6)</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Sales of investments</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 of investment in privately held company</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Purchases of marketable equity securities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(604.3)</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and equipment from inventory to property and equipment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Liability incurred for repurchase of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2023, contained in our Annual Report on Form 10-K filed with the SEC on February 26, 2024. In the opinion of management, all adjustments, which include normal recurring adjustments, considered necessary for a fair presentation, have been included. The results of operations for the three and nine months ended September 30, 2024 are not necessarily indicative of the results to be expected for the full year or for any future periods. The condensed consolidated balance sheet as of December 31, 2023 is derived from the audited consolidated financial statements for the year ended December 31, 2023.</w:t>
      </w:r>
    </w:p>
    <w:p>
      <w:pPr>
        <w:spacing w:after="0" w:line="2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89"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89"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three and nine months ended September 30, 2024, as compared to the significant accounting policies described in our Annual Report on Form 10-K for the fiscal year ended December 31, 2023 filed with the SEC.</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41"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 requirements, primarily through enhanced disclosures about significant expenses. The amendments are effective for our annual reporting for fiscal year 2024, and for our interim period reporting starting in fiscal year 2025 retrospectively, with early adoption permitted. We are currently evaluating the ASU to determine its impact on our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our annual period beginning fiscal year 2025, with early adoption permitted, and should be applied prospectively. We are currently evaluating the ASU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5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r>
      <w:tr>
        <w:trPr>
          <w:trHeight w:val="23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w:t>
            </w:r>
          </w:p>
        </w:tc>
      </w:tr>
      <w:tr>
        <w:trPr>
          <w:trHeight w:val="223"/>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service revenue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2,450.5</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recognized $660.3 million and $2.28 billion in revenue that was included in the deferred revenue balance as of December 31, 2023, respectively. During the three and nine months ended September 30, 2023, we recognized $514.3 million and $1.80 billion in revenue that was included in the deferred revenue balance as of December 31, 2022,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aggregate amount of the transaction price allocated to remaining performance obligations was $6.08 billion, which was substantially comprised of deferred security subscription and technical support services revenue that will be recognized in future periods. We expect to recognize approximately $3.12 billion as revenue over the next 12 months and the remainder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net of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condensed consolidated statements of income.</w:t>
      </w:r>
    </w:p>
    <w:p>
      <w:pPr>
        <w:spacing w:after="0" w:line="195"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The allowance for credit losses was $4.7 million and $8.2 million as of September 30, 2024 and December 31, 2023, respectively. Provisions, write-offs and recoveries were not material during the nine months ended September 30, 2024 and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Amortization of deferred contract costs during the three months ended September 30, 2024 and 2023 were $73.6 million and $68.0 million, respectively. Amortization of deferred contract costs during the nine months ended September 30, 2024 and 2023 were $218.3 million and $195.9 million,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available-for-sale investments (in millions):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9"/>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48"/>
        </w:trPr>
        <w:tc>
          <w:tcPr>
            <w:tcW w:w="49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48"/>
        </w:trPr>
        <w:tc>
          <w:tcPr>
            <w:tcW w:w="49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5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Pr>
          <w:p>
            <w:pPr>
              <w:spacing w:after="0"/>
              <w:rPr>
                <w:sz w:val="19"/>
                <w:szCs w:val="19"/>
                <w:color w:val="auto"/>
              </w:rPr>
            </w:pPr>
          </w:p>
        </w:tc>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43"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Our marketable equity securities were $49.0 million and $21.0 million as of September 30, 2024 and December 31, 2023. The changes in fair value of our marketable equity securities are recorded in other income (expense)—net on the condensed consolidated statements of income. We recognized a $11.1 million and $11.2 million gain during the three and nine months ended September 30, 2024, respectively. We recognized a $2.3 million and $5.7 million loss during the three and nine months ended September 30,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3"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9" w:lineRule="exact"/>
        <w:rPr>
          <w:sz w:val="20"/>
          <w:szCs w:val="20"/>
          <w:color w:val="auto"/>
        </w:rPr>
      </w:pPr>
    </w:p>
    <w:p>
      <w:pPr>
        <w:ind w:left="1300" w:right="30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52" w:lineRule="exact"/>
        <w:rPr>
          <w:sz w:val="20"/>
          <w:szCs w:val="20"/>
          <w:color w:val="auto"/>
        </w:rPr>
      </w:pPr>
    </w:p>
    <w:tbl>
      <w:tblPr>
        <w:tblLayout w:type="fixed"/>
        <w:tblInd w:w="2780" w:type="dxa"/>
        <w:tblCellMar>
          <w:top w:w="0" w:type="dxa"/>
          <w:left w:w="0" w:type="dxa"/>
          <w:bottom w:w="0" w:type="dxa"/>
          <w:right w:w="0" w:type="dxa"/>
        </w:tblCellMar>
      </w:tblPr>
      <w:tr>
        <w:trPr>
          <w:trHeight w:val="215"/>
        </w:trPr>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0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04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1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1000" w:type="dxa"/>
            <w:vAlign w:val="bottom"/>
            <w:gridSpan w:val="2"/>
            <w:vMerge w:val="continue"/>
          </w:tcPr>
          <w:p>
            <w:pPr>
              <w:spacing w:after="0"/>
              <w:rPr>
                <w:sz w:val="10"/>
                <w:szCs w:val="10"/>
                <w:color w:val="auto"/>
              </w:rPr>
            </w:pPr>
          </w:p>
        </w:tc>
        <w:tc>
          <w:tcPr>
            <w:tcW w:w="10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1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1"/>
        </w:trPr>
        <w:tc>
          <w:tcPr>
            <w:tcW w:w="10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0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1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11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83"/>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212"/>
        </w:trPr>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40" w:type="dxa"/>
        <w:tblCellMar>
          <w:top w:w="0" w:type="dxa"/>
          <w:left w:w="0" w:type="dxa"/>
          <w:bottom w:w="0" w:type="dxa"/>
          <w:right w:w="0" w:type="dxa"/>
        </w:tblCellMar>
      </w:tblPr>
      <w:tr>
        <w:trPr>
          <w:trHeight w:val="20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0"/>
        </w:trPr>
        <w:tc>
          <w:tcPr>
            <w:tcW w:w="27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U.S. government and agency</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180"/>
        </w:trPr>
        <w:tc>
          <w:tcPr>
            <w:tcW w:w="27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30"/>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20" w:type="dxa"/>
            <w:vAlign w:val="bottom"/>
          </w:tcPr>
          <w:p>
            <w:pPr>
              <w:spacing w:after="0"/>
              <w:rPr>
                <w:sz w:val="19"/>
                <w:szCs w:val="19"/>
                <w:color w:val="auto"/>
              </w:rPr>
            </w:pPr>
          </w:p>
        </w:tc>
      </w:tr>
      <w:tr>
        <w:trPr>
          <w:trHeight w:val="234"/>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20"/>
                <w:szCs w:val="20"/>
                <w:color w:val="auto"/>
              </w:rPr>
            </w:pPr>
          </w:p>
        </w:tc>
      </w:tr>
      <w:tr>
        <w:trPr>
          <w:trHeight w:val="223"/>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473.0</w:t>
            </w:r>
          </w:p>
        </w:tc>
        <w:tc>
          <w:tcPr>
            <w:tcW w:w="4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123.8</w:t>
            </w:r>
          </w:p>
        </w:tc>
        <w:tc>
          <w:tcPr>
            <w:tcW w:w="440" w:type="dxa"/>
            <w:vAlign w:val="bottom"/>
          </w:tcPr>
          <w:p>
            <w:pPr>
              <w:spacing w:after="0"/>
              <w:rPr>
                <w:sz w:val="20"/>
                <w:szCs w:val="20"/>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41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67.6</w:t>
            </w:r>
          </w:p>
        </w:tc>
        <w:tc>
          <w:tcPr>
            <w:tcW w:w="440" w:type="dxa"/>
            <w:vAlign w:val="bottom"/>
          </w:tcPr>
          <w:p>
            <w:pPr>
              <w:spacing w:after="0"/>
              <w:rPr>
                <w:sz w:val="24"/>
                <w:szCs w:val="24"/>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679.2</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-1036320</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-744855</wp:posOffset>
            </wp:positionV>
            <wp:extent cx="71151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-334010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80" w:space="320"/>
            <w:col w:w="59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2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229"/>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3280" w:type="dxa"/>
            <w:vAlign w:val="bottom"/>
            <w:shd w:val="clear" w:color="auto" w:fill="CCEEFF"/>
          </w:tcPr>
          <w:p>
            <w:pPr>
              <w:spacing w:after="0"/>
              <w:rPr>
                <w:sz w:val="19"/>
                <w:szCs w:val="19"/>
                <w:color w:val="auto"/>
              </w:rPr>
            </w:pPr>
          </w:p>
        </w:tc>
      </w:tr>
      <w:tr>
        <w:trPr>
          <w:trHeight w:val="230"/>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80" w:type="dxa"/>
            <w:vAlign w:val="bottom"/>
          </w:tcPr>
          <w:p>
            <w:pPr>
              <w:spacing w:after="0"/>
              <w:rPr>
                <w:sz w:val="19"/>
                <w:szCs w:val="19"/>
                <w:color w:val="auto"/>
              </w:rPr>
            </w:pPr>
          </w:p>
        </w:tc>
      </w:tr>
      <w:tr>
        <w:trPr>
          <w:trHeight w:val="230"/>
        </w:trPr>
        <w:tc>
          <w:tcPr>
            <w:tcW w:w="2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3280" w:type="dxa"/>
            <w:vAlign w:val="bottom"/>
            <w:shd w:val="clear" w:color="auto" w:fill="CCEEFF"/>
          </w:tcPr>
          <w:p>
            <w:pPr>
              <w:spacing w:after="0"/>
              <w:rPr>
                <w:sz w:val="19"/>
                <w:szCs w:val="19"/>
                <w:color w:val="auto"/>
              </w:rPr>
            </w:pPr>
          </w:p>
        </w:tc>
      </w:tr>
      <w:tr>
        <w:trPr>
          <w:trHeight w:val="223"/>
        </w:trPr>
        <w:tc>
          <w:tcPr>
            <w:tcW w:w="2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3280" w:type="dxa"/>
            <w:vAlign w:val="bottom"/>
          </w:tcPr>
          <w:p>
            <w:pPr>
              <w:spacing w:after="0"/>
              <w:rPr>
                <w:sz w:val="19"/>
                <w:szCs w:val="19"/>
                <w:color w:val="auto"/>
              </w:rPr>
            </w:pPr>
          </w:p>
        </w:tc>
      </w:tr>
      <w:tr>
        <w:trPr>
          <w:trHeight w:val="21"/>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nine months ended September 30, 2024 and year ended December 31, 2023.</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1"/>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excess and obsolete inventory reserve was $132.8 million and $89.2 million as of September 30, 2024 and December 31, 2023, respectively. Inventory write-downs related to excess and obsolete inventory were $8.8 million and $37.6 million for the three and nine months ended September 30, 2024, respectively, and were $10.0 million and $22.3 million for the three and nine months ended September 30, 2023, respectively. These were recorded in cost of product revenue on the condensed consolidated statements of income.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1"/>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20" w:firstLine="648"/>
        <w:spacing w:after="0"/>
        <w:rPr>
          <w:sz w:val="20"/>
          <w:szCs w:val="20"/>
          <w:color w:val="auto"/>
        </w:rPr>
      </w:pPr>
      <w:r>
        <w:rPr>
          <w:rFonts w:ascii="Times New Roman" w:cs="Times New Roman" w:eastAsia="Times New Roman" w:hAnsi="Times New Roman"/>
          <w:sz w:val="18"/>
          <w:szCs w:val="18"/>
          <w:color w:val="auto"/>
        </w:rPr>
        <w:t>During the first three quarters in 2024, we purchased certain real estate properties in California, United States and Alberta, Canada, for an aggregate purchase price of $229.3 million, to be used predominantly for research and development, warehousing, datacenter operations and sales and support functions. The purchases were accounted for under the asset acquisition method. The cost of the assets allocated to land, buildings and improvements, and furniture and fixtures were $111.0 million, $117.4 million, and $0.9 million , respectively, based on their relative fair values.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$24.5 million and $23.9 million during the three months ended September 30, 2024 and 2023, respectively.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$76.0 million and $69.6 million during the nine months ended September 30, 2024 and 2023, respectively.</w:t>
      </w:r>
    </w:p>
    <w:p>
      <w:pPr>
        <w:spacing w:after="0" w:line="22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PRIVATELY HELD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Linksys Holdings, Inc.</w:t>
      </w:r>
    </w:p>
    <w:p>
      <w:pPr>
        <w:spacing w:after="0" w:line="243"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During 2021, we invested $160.0 million in cash for shares of the Series A Preferred Stock of privately held Linksys Holdings, Inc. (“Linksys”), for a 50.8% ownership interest in outstanding equity of Linksys. As of September 30, 2024 and December 31, 2023, our ownership interest remained the same. Linksys provides router connectivity solutions to the consumer and small business markets.</w:t>
      </w:r>
    </w:p>
    <w:p>
      <w:pPr>
        <w:spacing w:after="0" w:line="204"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Therefore, we determined to account for this investment using the equity method of accounting. We record our share of Linksys’ financial results on a three-month lag basis, with the exception of material transactions or events that occur during the intervening period that materially affect the financial position or results of operations. We determined that there was a basis difference between the cost of our investment in Linksys and the amount of underlying equity in net assets of Linksys.</w:t>
      </w:r>
    </w:p>
    <w:p>
      <w:pPr>
        <w:spacing w:after="0" w:line="224"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Due to the presence of impairment indicators, such as a series of operating losses, we evaluated our equity method investment for an other-than-temporary impairment (“OTTI”) during the third quarter of 2024. We considered various factors in determining whether an OTTI has occurred, including Linksys’ financial results, operating history, our ability and intent to hold the investment until its fair value recovers, the implied revenue valuation multiples compared to guideline public companies, the discounted cash flows analysis, Linksys’ ability to achieve milestones and any notable operational and strategic changes. After the evaluation, we determined that an additional OTTI had not occurred as of September 30, 2024. However, we may be required to recognize an impairment loss in future reporting periods if and when our evaluation of the aforementioned factors indicates that the investment in Linksys is determined to be other than temporarily impaired. Such determination will be based on the prevailing facts and circumstances at that time, including the results and disclosures of Linksys.</w:t>
      </w:r>
    </w:p>
    <w:p>
      <w:pPr>
        <w:spacing w:after="0" w:line="20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share of loss of Linksys’ financial results, as well as our share of the amortization of the basis differences, totaled $5.2 million for the three months ended September 30, 2024. Our loss from our Linksys investment totaled $23.4 million for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nine months ended September 30, 2024, which comprised of our proportionate share of Linksys’ financial results and the amortization of the basis differences of $15.4 million, as well as an OTTI charge of $8.0 million recognized in the second quarter of 2024. Our share of loss of Linksys’ financial results, as well as our share of the amortization of the basis differences, totaled $5.2 million and $32.6 million for the three and nine months ended September 30, 2023, respectively.</w:t>
      </w:r>
    </w:p>
    <w:p>
      <w:pPr>
        <w:spacing w:after="0" w:line="208"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These losses and the OTTI charge were recorded in loss from equity method investments on the condensed consolidated statements of income. The carrying amount of our Linksys investment was $18.8 million and $42.2 million as of September 30, 2024 and December 31, 2023, respectively, and the investment was included in other assets on our condensed consolidated balance sheets.</w:t>
      </w:r>
    </w:p>
    <w:p>
      <w:pPr>
        <w:spacing w:after="0" w:line="20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Lacework Inc.</w:t>
      </w:r>
    </w:p>
    <w:p>
      <w:pPr>
        <w:spacing w:after="0" w:line="243"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On August 1, 2024, we closed an acquisition of Lacework Inc. (“Lacework”), a privately held data-driven cloud security company, for $152.3 million in cash. We acquired Lacework with a goal of offering its Cloud-Native Application Protection Platform (“CNAPP”) solution separately as well as integrated with our existing portfolio, forming a comprehensive, AI-driven cloud security platform available from a single vendor, which will help customers identify, prioritize, and remediate risks and threats in complex cloud-native infrastructure from code to cloud.</w:t>
      </w:r>
    </w:p>
    <w:p>
      <w:pPr>
        <w:spacing w:after="0" w:line="221"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preliminary purchase price was allocated to Lacework’s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0" w:type="dxa"/>
            <w:vAlign w:val="bottom"/>
          </w:tcPr>
          <w:p>
            <w:pPr>
              <w:spacing w:after="0"/>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55"/>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excess of the fair values of the net assets acquired over the net purchase consideration was recorded as a gain on bargain purchase within other income, net on the condensed consolidated statements of income. The gain on bargain purchase occurred primarily due to the recognition of the deferred tax assets. The deferred tax assets were comprised primarily of pre-acquisition federal net operating loss carryforwards with an indefinite carryforward period.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Identified intangible assets acquired and their estimated useful lives (in years) as of August 1, 2024, were as follows (in millions, except years):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 (in years)</w:t>
            </w:r>
          </w:p>
        </w:tc>
      </w:tr>
      <w:tr>
        <w:trPr>
          <w:trHeight w:val="226"/>
        </w:trPr>
        <w:tc>
          <w:tcPr>
            <w:tcW w:w="6640" w:type="dxa"/>
            <w:vAlign w:val="bottom"/>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3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20" w:right="100" w:firstLine="6"/>
        <w:spacing w:after="0" w:line="250"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technology is Lacework’s CNAPP solution. We valued the developed technology using the relief-from-royalty method under the income approach. This method reflects the present value of the projected cash flows that are expected to be generated by the developed technology. The economic useful life was determined based on the technology cycle as well as the cash flows over the forecast period.</w:t>
      </w:r>
    </w:p>
    <w:p>
      <w:pPr>
        <w:spacing w:after="0" w:line="325"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Our estimates and assumptions are subject to change within the measurement period, which is up to 12 months after the acquisition date. The allocation of the purchase price for this acquisition has been prepared on a preliminary basis and changes to the allocation of certain assets and liabilities may occur as additional information becomes available. The primary area of the purchase price that is not yet finalized is related to income taxes.</w:t>
      </w:r>
    </w:p>
    <w:p>
      <w:pPr>
        <w:spacing w:after="0" w:line="21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operating results of the acquired company were included in our condensed consolidated financial statements from the date of acquisition, which was August 1, 2024. For the period from August 2, 2024 through September 30, 2024, Lacework contributed revenue of $12.9 million and a net loss of $21.6 million. Acquisition-related costs for this acquisition were not material and were recorded as general and administrative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DLP Holdings Limited</w:t>
      </w:r>
    </w:p>
    <w:p>
      <w:pPr>
        <w:spacing w:after="0" w:line="24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On August 5, 2024, we completed the acquisition of Next DLP Holdings Limited (“Next DLP”), a privately held insider risk and data loss prevention (“DLP”) company, for approximately $105.0 million in cash. We acquired Next DLP to improve our position in the standalone enterprise DLP market and strengthen our leadership in integrated DLP markets within endpoint and SASE.</w:t>
      </w:r>
    </w:p>
    <w:p>
      <w:pPr>
        <w:spacing w:after="0" w:line="204"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preliminary purchase price was allocated to Next DLP’s identifiable tangible and intangible assets acquired and liabilities assumed based on their estimated fair values using management’s best estimates and assumptions to assign fair value as of the acquisition date. Of the total preliminary purchase price, $82.6 million was allocated to goodwill, $13.5 million was allocated to developed technology intangible asset, $10.5 million was allocated to customer relationships intangible asset, offset by $1.6 million of net liabilities assumed, which predominantly included deferred revenue and deferred tax liabilities. Goodwill recorded in connection with this acquisition represents the value we expect to be created through expansion into markets within our existing business, and the anticipated operational synergies, and goodwill is not expected to be deductible for tax purposes. Acquisition-related costs related to this acquisition were not material and were recorded as general and administrative expense.</w:t>
      </w:r>
    </w:p>
    <w:p>
      <w:pPr>
        <w:spacing w:after="0" w:line="214"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Our estimates and assumptions are subject to change within the measurement period, which is up to 12 months after the acquisition date. 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43"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Fortinet, Inc., Lacework and Next DLP, as if Lacework and Next DLP had been acquired as of the beginning of business on January 1, 2023. The unaudited pro forma financial information is presented for informational purposes only and is not necessarily indicative of our consolidated results of operations of the combined business that would have been achieved if the acquisitions had taken place at the beginning of business on January 1, 2023, or of the results of our future operations of the combined business.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right="520"/>
        <w:spacing w:after="0" w:line="266" w:lineRule="auto"/>
        <w:rPr>
          <w:sz w:val="20"/>
          <w:szCs w:val="20"/>
          <w:color w:val="auto"/>
        </w:rPr>
      </w:pPr>
      <w:r>
        <w:rPr>
          <w:rFonts w:ascii="Times New Roman" w:cs="Times New Roman" w:eastAsia="Times New Roman" w:hAnsi="Times New Roman"/>
          <w:sz w:val="18"/>
          <w:szCs w:val="18"/>
          <w:color w:val="auto"/>
        </w:rPr>
        <w:t>following unaudited pro forma financial information for all periods presented includes purchase accounting adjustments for amortization of acquired intangible assets, the gain on bargain purchase, and various related tax impacts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20" w:type="dxa"/>
            <w:vAlign w:val="bottom"/>
            <w:gridSpan w:val="4"/>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r>
    </w:tbl>
    <w:p>
      <w:pPr>
        <w:spacing w:after="0" w:line="315" w:lineRule="exact"/>
        <w:rPr>
          <w:sz w:val="20"/>
          <w:szCs w:val="20"/>
          <w:color w:val="auto"/>
        </w:rPr>
      </w:pPr>
    </w:p>
    <w:p>
      <w:pPr>
        <w:ind w:left="440" w:hanging="35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ASSETS—Net</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21590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Balance—December 31, 2023</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Additions due to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Balance—September 30, 2024</w:t>
      </w:r>
    </w:p>
    <w:p>
      <w:pPr>
        <w:spacing w:after="0" w:line="3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There were no impairments to goodwill during the nine months ended September 30, 2024 or during prior periods.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9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30"/>
        </w:trPr>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34"/>
        </w:trPr>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01" w:lineRule="exact"/>
        <w:rPr>
          <w:sz w:val="20"/>
          <w:szCs w:val="20"/>
          <w:color w:val="auto"/>
        </w:rPr>
      </w:pPr>
    </w:p>
    <w:p>
      <w:pPr>
        <w:sectPr>
          <w:pgSz w:w="11900" w:h="16838" w:orient="portrait"/>
          <w:cols w:equalWidth="0" w:num="2">
            <w:col w:w="8980" w:space="100"/>
            <w:col w:w="2240"/>
          </w:cols>
          <w:pgMar w:left="240" w:top="121" w:right="339" w:bottom="1440" w:gutter="0" w:footer="0" w:header="0"/>
          <w:type w:val="continuous"/>
        </w:sectPr>
      </w:pP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80"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$5.3 million and $4.4 million during the three months ended September 30, 2024 and 2023, respectively. Amortization expense was $11.6 million and $13.6 million during the nine months ended September 30, 2024 and 2023, respectively.</w:t>
      </w:r>
    </w:p>
    <w:p>
      <w:pPr>
        <w:sectPr>
          <w:pgSz w:w="11900" w:h="16838" w:orient="portrait"/>
          <w:cols w:equalWidth="0" w:num="1">
            <w:col w:w="11320"/>
          </w:cols>
          <w:pgMar w:left="240" w:top="121"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(the remainder of 2024)</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1"/>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25"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76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PSUs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64"/>
        </w:trPr>
        <w:tc>
          <w:tcPr>
            <w:tcW w:w="51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22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24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20" w:type="dxa"/>
            <w:vAlign w:val="bottom"/>
            <w:gridSpan w:val="3"/>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080" w:type="dxa"/>
            <w:vAlign w:val="bottom"/>
          </w:tcPr>
          <w:p>
            <w:pPr>
              <w:spacing w:after="0"/>
              <w:rPr>
                <w:sz w:val="13"/>
                <w:szCs w:val="13"/>
                <w:color w:val="auto"/>
              </w:rPr>
            </w:pPr>
          </w:p>
        </w:tc>
        <w:tc>
          <w:tcPr>
            <w:tcW w:w="1620" w:type="dxa"/>
            <w:vAlign w:val="bottom"/>
            <w:tcBorders>
              <w:top w:val="single" w:sz="8" w:color="auto"/>
            </w:tcBorders>
            <w:gridSpan w:val="2"/>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20" w:type="dxa"/>
            <w:vAlign w:val="bottom"/>
            <w:tcBorders>
              <w:top w:val="single" w:sz="8" w:color="auto"/>
            </w:tcBorders>
          </w:tcPr>
          <w:p>
            <w:pPr>
              <w:jc w:val="right"/>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52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tcBorders>
              <w:top w:val="single" w:sz="8" w:color="auto"/>
            </w:tcBorders>
          </w:tcPr>
          <w:p>
            <w:pPr>
              <w:jc w:val="right"/>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50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
        </w:trPr>
        <w:tc>
          <w:tcPr>
            <w:tcW w:w="5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September 30, 2024 and December 31, 2023, the Senior Notes were recorded as long-term debt, net of discount and issuance costs, which are amortized to interest expense over the respective contractual terms of these notes using the effective interest method.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16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Pr>
          <w:p>
            <w:pPr>
              <w:spacing w:after="0"/>
              <w:rPr>
                <w:sz w:val="18"/>
                <w:szCs w:val="18"/>
                <w:color w:val="auto"/>
              </w:rPr>
            </w:pP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As of September 30, 2024 and December 31, 2023, we accrued interest payable of $0.7 million and $4.7 million, respectively, and there are no financial covenants with which we must comply. During the three months ended September 30, 2024 and 2023, we recorded $4.5 million of total interest expense in relation to these Senior Notes in each period. During the nine months ended September 30, 2024 and 2023, we recorded $13.5 million of total interest expense in relation to these Senior Notes in each period. No interest costs were capitalized for the nine months ended September 30, 2024 and 2023, as the costs that qualified for capitalization were not material.</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$912.8 million, including accrued and unpaid interest, as of September 30, 2024.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September 30, 2024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bl>
    <w:p>
      <w:pPr>
        <w:spacing w:after="0" w:line="30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15"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As of September 30, 2024, we had $550.0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September 30, 2024 and December 31, 2023, the liability for these inventory purchase commitments was $76.3 million and $84.7 million, respectively, and was recorded in accrued liabilities on our condensed consolidated balance sheets. The cost of product revenue related to such liabilities was a $27.4 million benefit and a $36.9 million cost during the three months ended September 30, 2024 and 2023, respectively. The cost of product revenue related to such accrued liability for inventory purchase commitments was $11.2 million and $59.3 million during the nine months ended September 30, 2024 and 2023, respectively.</w:t>
      </w:r>
    </w:p>
    <w:p>
      <w:pPr>
        <w:spacing w:after="0" w:line="22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September 30, 2024, we had $116.5 million in other contractual commitments having a remaining term in excess of one year that are non-cancelable.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we had $83.1 million in contractual commitments related to payments for operating leases.</w:t>
      </w:r>
    </w:p>
    <w:p>
      <w:pPr>
        <w:spacing w:after="0" w:line="23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September 30, 2024, and December 31, 2023.</w:t>
      </w:r>
    </w:p>
    <w:p>
      <w:pPr>
        <w:spacing w:after="0" w:line="221"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alleged breach of warranty and misrepresentation claims, which we denied. After trial, a jury returned a verdict fully in favor of us and against Alorica on October 4, 2024. The time for Alorica to appeal the verdict has not yet expired. We believe that the ultimate outcome of this matter will not materially impact our financial position, results of operations or cash flows. However, if Alorica appeals, any legal proceedings would be subject to inherent uncertainties, and a future unfavorable ruling could occur. No loss accrual had been recorded as of September 30, 2024 or December 31, 2023 related to this litigation.</w:t>
      </w:r>
    </w:p>
    <w:p>
      <w:pPr>
        <w:spacing w:after="0" w:line="22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—We enter into indemnification provisions in the ordinary course of business with other companies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customers, and vendors, where we agree to indemnify, hold harmless, and reimburse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9"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Periodically we, like other security companies and companies in other industries, have experienced, and may experience in the future, cybersecurity threats, malicious activity directed against our information technology infrastructure and unauthorized attempts to gain access to our and our customers’ sensitive information and systems. For example, in the third quarter of 2024, we discovered that an individual gained unauthorized access to a limited number of files stored on Fortinet’s instance of a third-party cloud-based shared file drive, which included limited data related to a small number of Fortinet customers. We have completed our investigation of this incident and we do not currently believe that it had a material impact on our business or that of any of our customers. We are currently not aware of any significant claims arising from this matter.</w:t>
      </w:r>
    </w:p>
    <w:p>
      <w:pPr>
        <w:spacing w:after="0" w:line="203" w:lineRule="exact"/>
        <w:rPr>
          <w:sz w:val="20"/>
          <w:szCs w:val="20"/>
          <w:color w:val="auto"/>
        </w:rPr>
      </w:pPr>
    </w:p>
    <w:p>
      <w:pPr>
        <w:ind w:left="660" w:right="6040" w:hanging="652"/>
        <w:spacing w:after="0" w:line="534" w:lineRule="auto"/>
        <w:tabs>
          <w:tab w:leader="none" w:pos="46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PLANS AND SHARE REPURCHASE PROGRAM </w:t>
      </w:r>
      <w:r>
        <w:rPr>
          <w:rFonts w:ascii="Times New Roman" w:cs="Times New Roman" w:eastAsia="Times New Roman" w:hAnsi="Times New Roman"/>
          <w:sz w:val="18"/>
          <w:szCs w:val="18"/>
          <w:b w:val="1"/>
          <w:bCs w:val="1"/>
          <w:i w:val="1"/>
          <w:iCs w:val="1"/>
          <w:color w:val="auto"/>
        </w:rPr>
        <w:t>Stock-Based Compensation Plans</w:t>
      </w:r>
    </w:p>
    <w:p>
      <w:pPr>
        <w:spacing w:after="0" w:line="1"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stock options and PSUs. As of September 30, 2024, there were a total of 50.8 million shares of common stock available for grant under the Amended Plan.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76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8"/>
              </w:rPr>
              <w:t>(3.6)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September 30, 2024, total compensation expense related to unvested RSUs granted to employees and non-employees under the Amended Plan, but not yet recognized, was $483.5 million, with a weighted-average remaining vesting period of 2.7 years.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5"/>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40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40" w:type="dxa"/>
            <w:vAlign w:val="bottom"/>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600" w:type="dxa"/>
            <w:vAlign w:val="bottom"/>
          </w:tcPr>
          <w:p>
            <w:pPr>
              <w:spacing w:after="0"/>
              <w:rPr>
                <w:sz w:val="13"/>
                <w:szCs w:val="13"/>
                <w:color w:val="auto"/>
              </w:rPr>
            </w:pPr>
          </w:p>
        </w:tc>
        <w:tc>
          <w:tcPr>
            <w:tcW w:w="1700" w:type="dxa"/>
            <w:vAlign w:val="bottom"/>
            <w:tcBorders>
              <w:top w:val="single" w:sz="8" w:color="auto"/>
            </w:tcBorders>
            <w:gridSpan w:val="2"/>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0" w:type="dxa"/>
            <w:vAlign w:val="bottom"/>
            <w:tcBorders>
              <w:top w:val="single" w:sz="8" w:color="auto"/>
            </w:tcBorders>
          </w:tcPr>
          <w:p>
            <w:pPr>
              <w:jc w:val="right"/>
              <w:ind w:right="2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680" w:type="dxa"/>
            <w:vAlign w:val="bottom"/>
            <w:tcBorders>
              <w:top w:val="single" w:sz="8" w:color="auto"/>
            </w:tcBorders>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Borders>
              <w:top w:val="single" w:sz="8" w:color="auto"/>
            </w:tcBorders>
          </w:tcPr>
          <w:p>
            <w:pPr>
              <w:jc w:val="right"/>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6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4"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vest—September 30, 2024</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exercisable—September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for all in-the-money stock options. Stock compensation expense is recognized on a straight-line basis over the vesting period of each stock option. As of September 30, 2024, total compensation expense related to unvested stock options granted to employees but not yet recognized was $49.9 million, with a weighted-average remaining vesting period of 2.4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ind w:right="220" w:firstLine="648"/>
        <w:spacing w:after="0" w:line="264" w:lineRule="auto"/>
        <w:rPr>
          <w:sz w:val="20"/>
          <w:szCs w:val="20"/>
          <w:color w:val="auto"/>
        </w:rPr>
      </w:pPr>
      <w:r>
        <w:rPr>
          <w:rFonts w:ascii="Times New Roman" w:cs="Times New Roman" w:eastAsia="Times New Roman" w:hAnsi="Times New Roman"/>
          <w:sz w:val="17"/>
          <w:szCs w:val="17"/>
          <w:color w:val="auto"/>
        </w:rPr>
        <w:t>We granted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336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60" w:type="dxa"/>
            <w:vAlign w:val="bottom"/>
            <w:gridSpan w:val="3"/>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620" w:type="dxa"/>
            <w:vAlign w:val="bottom"/>
          </w:tcPr>
          <w:p>
            <w:pPr>
              <w:spacing w:after="0"/>
              <w:rPr>
                <w:sz w:val="13"/>
                <w:szCs w:val="13"/>
                <w:color w:val="auto"/>
              </w:rPr>
            </w:pPr>
          </w:p>
        </w:tc>
        <w:tc>
          <w:tcPr>
            <w:tcW w:w="1660" w:type="dxa"/>
            <w:vAlign w:val="bottom"/>
            <w:tcBorders>
              <w:top w:val="single" w:sz="8" w:color="auto"/>
            </w:tcBorders>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tcBorders>
              <w:top w:val="single" w:sz="8" w:color="auto"/>
            </w:tcBorders>
          </w:tcPr>
          <w:p>
            <w:pPr>
              <w:jc w:val="right"/>
              <w:ind w:right="19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680" w:type="dxa"/>
            <w:vAlign w:val="bottom"/>
            <w:tcBorders>
              <w:top w:val="single" w:sz="8" w:color="auto"/>
            </w:tcBorders>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tcBorders>
              <w:top w:val="single" w:sz="8" w:color="auto"/>
            </w:tcBorders>
          </w:tcPr>
          <w:p>
            <w:pPr>
              <w:jc w:val="right"/>
              <w:ind w:right="2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6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7"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We granted approximately 0.3 million shares of PSU awards with a weighted-average grant date fair value of $97.40 per share to certain of our executives during the three and nine months ended September 30, 2024. We granted approximately 0.3 million shares of PSU awards with a weighted-average grant date fair value of $90.96 per share to certain of our executives during the three and nine months ended September 30, 2023. The grant date fair value of these awards was determined using a Monte Carlo simulation pricing model. Approximately 0.1 million shares of PSU awards vested during the first quarter of 2024. No shares of PSU awards vested during the second and third quarter of 2024 or the nine months ended September 30, 2023. Approximately 0.1 million shares of PSU awards were forfeited during the three and nine months ended September 30, 2024. None of these PSU awards were forfeited during the nine months ended September 30, 2023.</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total compensation expense related to unvested PSUs that were granted to certain of our executives, but not yet recognized, was $27.0 million. This expense is expected to be amortized on a graded vesting method over a weighted-average vesting period of 2.3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2"/>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 liabilities, by award type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7"/>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1"/>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15"/>
        </w:trPr>
        <w:tc>
          <w:tcPr>
            <w:tcW w:w="11240" w:type="dxa"/>
            <w:vAlign w:val="bottom"/>
            <w:gridSpan w:val="15"/>
          </w:tcPr>
          <w:p>
            <w:pPr>
              <w:jc w:val="right"/>
              <w:ind w:right="154"/>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(in</w:t>
            </w: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5"/>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24"/>
                <w:szCs w:val="24"/>
                <w:color w:val="auto"/>
              </w:rPr>
            </w:pPr>
          </w:p>
        </w:tc>
        <w:tc>
          <w:tcPr>
            <w:tcW w:w="2880" w:type="dxa"/>
            <w:vAlign w:val="bottom"/>
            <w:gridSpan w:val="4"/>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repurchased less than 0.1 million shares of our common stock under the Repurchase Program in open-market transactions, at a weighted-average price of $54.99 per share, for an aggregate purchase price of $0.6 million. As of September 30, 2024, $1.03 billion remained available for future share repurchases under the Repurchase Program. Refer to Note 16, Subsequent Events, for information regarding the October 2024 approval of a $1.0 billion increase in the authorized stock repurchase amount under the Repurchase Program and the extension of the Repurchase Program to February 28, 2026.</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7"/>
          <w:szCs w:val="17"/>
          <w:color w:val="auto"/>
        </w:rPr>
        <w:t>Our effective tax rate was 13% for the three months ended September 30, 2024, compared to an effective tax rate of 0% for the same period last year. Our effective tax rate was 14% for the nine months ended September 30, 2024, compared to an effective tax rate of 5% for the same period last year. The tax rates for the three months ended September 30, 2024 and 2023 were comprised of U.S. federal and state taxes, withholding taxes and foreign taxes that amounted to $123.6 million and $50.2 million, respectively. The tax rate for the three months ended September 30, 2024 was impacted by a tax benefit of $33.1 million from the foreign-derived intangible income (“FDII”) deduction, and excess tax benefits from stock-based compensation expense of</w:t>
      </w:r>
    </w:p>
    <w:p>
      <w:pPr>
        <w:spacing w:after="0" w:line="1"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$9.3 million. The tax rate for the three months ended September 30, 2023 was impacted by a tax benefit of $41.9 million from the FDII deduction, excess tax benefits from stock-based compensation expense of $8.6 million.</w:t>
      </w:r>
    </w:p>
    <w:p>
      <w:pPr>
        <w:spacing w:after="0" w:line="20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tax rates for the nine months ended September 30, 2024 and 2023 were comprised of U.S. federal and state taxes, withholding taxes and foreign taxes that amounted to $315.0 million and $220.9 million, respectively. The tax rate for the nine months ended September 30, 2024 was impacted by a tax benefit of $84.0 million from the FDII deduction, and excess tax benefits from stock-based compensation expense of $33.8 million. The tax rate for the nine months ended September 30, 2023 was impacted by a tax benefit of $105.9 million from the FDII deduction, excess tax benefits from stock-based compensation expense of $48.3 million, and the release of reserves of $18.1 million on uncertain tax positions and the accrued interest thereon due to the expiration of statutes of limitations.</w:t>
      </w:r>
    </w:p>
    <w:p>
      <w:pPr>
        <w:spacing w:after="0" w:line="21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unrecognized tax benefits were $72.3 million and $65.8 million, respectively. If recognized, $61.0 million of the unrecognized tax benefits as of September 30, 2024 would favorably affect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effective tax rate. It is our policy to include accrued interest and penalties related to unrecognized tax benefits in income tax expense. As of September 30, 2024 and December 31, 2023, accrued interest and penalties were $8.4 million and $6.4 million, respectively. It is reasonably possible that our gross unrecognized tax benefits will decrease by up to $1.4 million in the next 12 months, due to the lapse of statutes of limitation in various jurisdictions. This decrease, if recognized, would favorably impact our effective tax rate, and would be recognized as an additional tax benefit.</w:t>
      </w:r>
    </w:p>
    <w:p>
      <w:pPr>
        <w:spacing w:after="0" w:line="208"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2024, our deferred tax assets were $1.30 billion, an increase of $301.9 million over the prior quarter. The increase was primarily due to the acquisition of Lacework, the opening balance sheet of which included deferred tax assets of $244.4 million primarily related to pre-acquisition federal net operating loss carryforwards with an indefinite carryforward period.</w:t>
      </w:r>
    </w:p>
    <w:p>
      <w:pPr>
        <w:spacing w:after="0" w:line="20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 have ongoing tax audits in the United Kingdom, Canada and several other foreign jurisdictions. The focus of these audits is the inter-company profit allocation.</w:t>
      </w:r>
    </w:p>
    <w:p>
      <w:pPr>
        <w:spacing w:after="0" w:line="20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216"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7"/>
          <w:szCs w:val="17"/>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The OECD continues to release additional guidance on these rules. Based on the enacted laws, BEPS Pillar Two has no impact to our effective tax rate or cash flows for the nine months ended September 30, 2024. We will continue to evaluate the impact of these tax law changes on future reporting periods.</w:t>
      </w:r>
    </w:p>
    <w:p>
      <w:pPr>
        <w:spacing w:after="0" w:line="202"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September 30, 2024 and 2023 were $4.6 million and $3.8 million, respectively. Our matching contributions to our 401(k) Plan and the RRSP for the nine months ended September 30, 2024 and 2023 were $15.2 million and $13.9 million, respectively.</w:t>
      </w:r>
    </w:p>
    <w:p>
      <w:pPr>
        <w:spacing w:after="0" w:line="210"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0"/>
          </w:tcPr>
          <w:p>
            <w:pPr>
              <w:ind w:left="7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3"/>
                <w:szCs w:val="13"/>
                <w:color w:val="auto"/>
              </w:rPr>
            </w:pPr>
          </w:p>
        </w:tc>
        <w:tc>
          <w:tcPr>
            <w:tcW w:w="1320" w:type="dxa"/>
            <w:vAlign w:val="bottom"/>
            <w:gridSpan w:val="5"/>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ind w:left="40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1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9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7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1,297.9</w:t>
            </w:r>
          </w:p>
        </w:tc>
        <w:tc>
          <w:tcPr>
            <w:tcW w:w="60" w:type="dxa"/>
            <w:vAlign w:val="bottom"/>
          </w:tcPr>
          <w:p>
            <w:pPr>
              <w:spacing w:after="0"/>
              <w:rPr>
                <w:sz w:val="19"/>
                <w:szCs w:val="19"/>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144.8</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478.4</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545.6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1,776.3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1,703.9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276.8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815.5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1,334.6</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4,295.7</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37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96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10"/>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10"/>
          </w:tcPr>
          <w:p>
            <w:pPr>
              <w:ind w:left="6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980" w:type="dxa"/>
            <w:vAlign w:val="bottom"/>
            <w:tcBorders>
              <w:top w:val="single" w:sz="8" w:color="auto"/>
            </w:tcBorders>
            <w:gridSpan w:val="6"/>
          </w:tcPr>
          <w:p>
            <w:pPr>
              <w:ind w:lef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tcBorders>
              <w:top w:val="single" w:sz="8" w:color="auto"/>
            </w:tcBorders>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60" w:type="dxa"/>
            <w:vAlign w:val="bottom"/>
            <w:tcBorders>
              <w:top w:val="single" w:sz="8" w:color="auto"/>
            </w:tcBorders>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left="660" w:right="8760" w:hanging="652"/>
        <w:spacing w:after="0" w:line="518" w:lineRule="auto"/>
        <w:tabs>
          <w:tab w:leader="none" w:pos="46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b w:val="1"/>
          <w:bCs w:val="1"/>
          <w:i w:val="1"/>
          <w:iCs w:val="1"/>
          <w:color w:val="auto"/>
        </w:rPr>
        <w:t>Real Property Purchase</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we purchased real property in Atlanta, Georgia, for $15.8 million in cash.</w:t>
      </w:r>
    </w:p>
    <w:p>
      <w:pPr>
        <w:spacing w:after="0" w:line="23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As of November 8, 2024, approximately $2.03 billion remained available for future share repurchases.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the transition in administrations, public health issues, wars, natural disasters and economic growth;</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government regulation, tariffs and other policies;</w:t>
      </w:r>
    </w:p>
    <w:p>
      <w:pPr>
        <w:spacing w:after="0" w:line="252" w:lineRule="exact"/>
        <w:rPr>
          <w:rFonts w:ascii="Times New Roman" w:cs="Times New Roman" w:eastAsia="Times New Roman" w:hAnsi="Times New Roman"/>
          <w:sz w:val="18"/>
          <w:szCs w:val="18"/>
          <w:i w:val="1"/>
          <w:iCs w:val="1"/>
          <w:color w:val="auto"/>
        </w:rPr>
      </w:pPr>
    </w:p>
    <w:p>
      <w:pPr>
        <w:ind w:left="1300" w:right="560" w:hanging="644"/>
        <w:spacing w:after="0" w:line="268"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service offerings;</w:t>
      </w:r>
    </w:p>
    <w:p>
      <w:pPr>
        <w:spacing w:after="0" w:line="199"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460" w:hanging="644"/>
        <w:spacing w:after="0" w:line="284" w:lineRule="auto"/>
        <w:tabs>
          <w:tab w:leader="none" w:pos="129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including those related to cloud-based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current or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right="420" w:hanging="644"/>
        <w:spacing w:after="0" w:line="284"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service revenue growth and inventory related charges;</w:t>
      </w:r>
    </w:p>
    <w:p>
      <w:pPr>
        <w:spacing w:after="0" w:line="158" w:lineRule="exact"/>
        <w:rPr>
          <w:rFonts w:ascii="Times New Roman" w:cs="Times New Roman" w:eastAsia="Times New Roman" w:hAnsi="Times New Roman"/>
          <w:sz w:val="18"/>
          <w:szCs w:val="18"/>
          <w:color w:val="auto"/>
        </w:rPr>
      </w:pPr>
    </w:p>
    <w:p>
      <w:pPr>
        <w:ind w:left="1300" w:right="100" w:hanging="644"/>
        <w:spacing w:after="0" w:line="284"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 including sales and marketing expense, research and development expense, general and administrative expense, and expectations regarding these expenses;</w:t>
      </w:r>
    </w:p>
    <w:p>
      <w:pPr>
        <w:sectPr>
          <w:pgSz w:w="11900" w:h="16838" w:orient="portrait"/>
          <w:cols w:equalWidth="0" w:num="1">
            <w:col w:w="11180"/>
          </w:cols>
          <w:pgMar w:left="320" w:top="2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points of presence (“PoP”) deployment;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 will increase year over year in absolute dollars during the remainder of 2024;</w:t>
      </w:r>
    </w:p>
    <w:p>
      <w:pPr>
        <w:spacing w:after="0" w:line="252" w:lineRule="exact"/>
        <w:rPr>
          <w:rFonts w:ascii="Times New Roman" w:cs="Times New Roman" w:eastAsia="Times New Roman" w:hAnsi="Times New Roman"/>
          <w:sz w:val="18"/>
          <w:szCs w:val="18"/>
          <w:i w:val="1"/>
          <w:iCs w:val="1"/>
          <w:color w:val="auto"/>
        </w:rPr>
      </w:pPr>
    </w:p>
    <w:p>
      <w:pPr>
        <w:ind w:left="1300" w:right="80" w:hanging="644"/>
        <w:spacing w:after="0" w:line="284" w:lineRule="auto"/>
        <w:tabs>
          <w:tab w:leader="none" w:pos="129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00" w:hanging="644"/>
        <w:spacing w:after="0" w:line="284" w:lineRule="auto"/>
        <w:tabs>
          <w:tab w:leader="none" w:pos="129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520" w:hanging="644"/>
        <w:spacing w:after="0" w:line="259"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spending related to real estate assets, acquisitions and development, including data centers and points of presence, office building and warehouse investments, as well as other capital expenditures and to the impact on free cash flow and expenses;</w:t>
      </w:r>
    </w:p>
    <w:p>
      <w:pPr>
        <w:spacing w:after="0" w:line="19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2024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68"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Fortinet is a leader in cybersecurity and the convergence of networking and security. Our mission is to secure people, devices and data everywhere. Our integrated platform, the Fortinet Security Fabric, spans secure networking, unified SASE and AI-driven security operations. As of September 30, 2024, our end-customers were located in over 100 countries and included enterprises such as in the financial services, retail, healthcare and operational technology market verticals, communication and security service providers, and government organizations. We currently have approximately 77% of the Fortune 100 companies and approximately 71% of the Global 2000 companies as customers. As a global company headquartered in Sunnyvale, California our research and development is centered in the United States and Canada with a global footprint of support and centers of excellence around the world. As of September 30, 2024, we held 1,027 U.S. patents and 1,371 global patents and we are recognized in over 130 enterprise analyst reports demonstrating both our vision and execution across security and networking products.</w:t>
      </w:r>
    </w:p>
    <w:p>
      <w:pPr>
        <w:spacing w:after="0" w:line="201" w:lineRule="exact"/>
        <w:rPr>
          <w:sz w:val="20"/>
          <w:szCs w:val="20"/>
          <w:color w:val="auto"/>
        </w:rPr>
      </w:pPr>
    </w:p>
    <w:p>
      <w:pPr>
        <w:ind w:left="660" w:hanging="328"/>
        <w:spacing w:after="0" w:line="238" w:lineRule="auto"/>
        <w:tabs>
          <w:tab w:leader="none" w:pos="655" w:val="left"/>
        </w:tabs>
        <w:numPr>
          <w:ilvl w:val="0"/>
          <w:numId w:val="2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software as a service (“SaaS”) solution. When delivered via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Fortinet’s network firewall offerings consist of a FortiGate data center, hyperscale and distributed firewalls, as well as encrypted applications (SSL inspection, virtual private network and IPsec connectivity). Our ability to converge networking and security also enables the ethernet to become an extension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180"/>
        <w:spacing w:after="0" w:line="245" w:lineRule="auto"/>
        <w:rPr>
          <w:sz w:val="20"/>
          <w:szCs w:val="20"/>
          <w:color w:val="auto"/>
        </w:rPr>
      </w:pPr>
      <w:r>
        <w:rPr>
          <w:rFonts w:ascii="Times New Roman" w:cs="Times New Roman" w:eastAsia="Times New Roman" w:hAnsi="Times New Roman"/>
          <w:sz w:val="18"/>
          <w:szCs w:val="18"/>
          <w:color w:val="auto"/>
        </w:rPr>
        <w:t>of our customers’ security infrastructure through FortiSwitch and FortiLink. Our wireless LAN solution leverages secure networking to provide secure wireless access for the enterprise LAN edge. FortiExtender secures 5G/LTE and remote ethernet extenders to connect and secure any branch environment. Fortinet’s Secure Connectivity solution includes FortiSwitch secure ethernet switches, FortiAP wireless local area network access points and FortiExtender 5G connectivity gateways.</w:t>
      </w:r>
    </w:p>
    <w:p>
      <w:pPr>
        <w:spacing w:after="0" w:line="217" w:lineRule="exact"/>
        <w:rPr>
          <w:sz w:val="20"/>
          <w:szCs w:val="20"/>
          <w:color w:val="auto"/>
        </w:rPr>
      </w:pPr>
    </w:p>
    <w:p>
      <w:pPr>
        <w:ind w:left="660" w:hanging="328"/>
        <w:spacing w:after="0" w:line="241" w:lineRule="auto"/>
        <w:tabs>
          <w:tab w:leader="none" w:pos="64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b w:val="1"/>
          <w:bCs w:val="1"/>
          <w:i w:val="1"/>
          <w:iCs w:val="1"/>
          <w:color w:val="auto"/>
        </w:rPr>
        <w:t>Unified Secure Access Service Edge (SASE)</w:t>
      </w:r>
      <w:r>
        <w:rPr>
          <w:rFonts w:ascii="Times New Roman" w:cs="Times New Roman" w:eastAsia="Times New Roman" w:hAnsi="Times New Roman"/>
          <w:sz w:val="17"/>
          <w:szCs w:val="17"/>
          <w:color w:val="auto"/>
        </w:rPr>
        <w:t>—As applications move to the cloud and work from anywhere is now the norm, cloud delivery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enables secure access to applications on any cloud. The Fortinet Unified SASE solution includes an industry-leading single-vendor SASE solution that includes firewall, SD-WAN, secure web gateway, cloud access services broker, DLP, and zero trust network access. Fortinet is one of the few vendors to deliver consistent convergence and AI-powered security across Secure SD-WAN and SSE to enable a single-vendor SASE framework with a unique, cloud-centric architecture powered by FortiOS. Given this, Fortinet is well positioned to support customers transitioning from SD-WAN to a single-vendor SASE platform. Additionally, Fortinet offers a full suite of cloud security products that enable customers to secure their applications from code to cloud, including web application firewalls, virtualized firewalls and cloud-native firewalls, among other products.</w:t>
      </w:r>
    </w:p>
    <w:p>
      <w:pPr>
        <w:spacing w:after="0" w:line="195" w:lineRule="exact"/>
        <w:rPr>
          <w:rFonts w:ascii="Times New Roman" w:cs="Times New Roman" w:eastAsia="Times New Roman" w:hAnsi="Times New Roman"/>
          <w:sz w:val="19"/>
          <w:szCs w:val="19"/>
          <w:color w:val="auto"/>
        </w:rPr>
      </w:pPr>
    </w:p>
    <w:p>
      <w:pPr>
        <w:ind w:left="660" w:right="40" w:hanging="328"/>
        <w:spacing w:after="0" w:line="23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AI-Driven Security Operations (SecOps)</w:t>
      </w:r>
      <w:r>
        <w:rPr>
          <w:rFonts w:ascii="Times New Roman" w:cs="Times New Roman" w:eastAsia="Times New Roman" w:hAnsi="Times New Roman"/>
          <w:sz w:val="18"/>
          <w:szCs w:val="18"/>
          <w:color w:val="auto"/>
        </w:rPr>
        <w:t>—Fortinet’s AI-Driven Security Operations portfolio offers a broad range of cybersecurity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protect, detect, respond, and recover from cyberthreats, all tightly integrated within the Fortinet Security Fabric. Fortinet’s SecOps so</w:t>
      </w:r>
      <w:r>
        <w:rPr>
          <w:rFonts w:ascii="Times New Roman" w:cs="Times New Roman" w:eastAsia="Times New Roman" w:hAnsi="Times New Roman"/>
          <w:sz w:val="18"/>
          <w:szCs w:val="18"/>
          <w:color w:val="333333"/>
        </w:rPr>
        <w:t>lution includes FortiAnalyzer,</w:t>
      </w:r>
      <w:r>
        <w:rPr>
          <w:rFonts w:ascii="Times New Roman" w:cs="Times New Roman" w:eastAsia="Times New Roman" w:hAnsi="Times New Roman"/>
          <w:sz w:val="18"/>
          <w:szCs w:val="18"/>
          <w:color w:val="auto"/>
        </w:rPr>
        <w:t xml:space="preserve"> FortiSIEM security information and event management, FortiSOAR security orchestration, automation and response, for SOC Analytics and Automation, FortiEDR endpoint detection and response, FortiXDR extended detection and response, FortiMDR managed detection and response service, FortiNDR network detection and response, FortiSandbox sandboxing, and FortiDeceptor deception technology for behavioral detection and response, FortiRecon as digital risk protection. FortiGuard services include SOCaaS, and Incident Response to effectively address staff shortages by providing expert oversight and rapid response. To further enhance operational efficiency, the FortiAI generative AI assistance ensures that organizations are well equipped to navigate the evolving threat landscape.</w:t>
      </w:r>
    </w:p>
    <w:p>
      <w:pPr>
        <w:spacing w:after="0" w:line="2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machine learning and AI technologies to provide timely protection updates and actionable threat intelligence for the benefit of our customers. FortiGuard Security Services are a suite of AI-powered security capabilities that are natively integrated as part of the Fortinet 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212"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17"/>
          <w:szCs w:val="17"/>
          <w:color w:val="auto"/>
        </w:rPr>
        <w:t>FortiCare Technical Support Service is a per-device technical support service, which provides customers access to experts to ensure efficient and effective operations and maintenance of their Fortinet capabilities. Global technical support is offered 24x7 with flexible add-ons, including enhanced SLAs and premium hardware replacement through in-country depots. Organizations have the flexibility to procure different levels of service for different devices based on their availability needs. We offer three per-device support options tailored to the needs of our enterprise customers: FortiCare Premium, FortiCare Elite and FortiCare Essential. The FortiCare Elite service aims to provide a 15-minute response time for key product families.</w:t>
      </w:r>
    </w:p>
    <w:p>
      <w:pPr>
        <w:spacing w:after="0" w:line="20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over 1 million certifications to date.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10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$1.51 billion and $4.30 billion during the three and nine months ended September 30, 2024, an increase of 13% and 10%, respectively, compared to $1.33 billion and $3.89 billion in the same periods last year. Our revenue growth was driven by the growth in service revenue. Product revenue was $473.9 million and $1.33 billion during the three and nine months ended September 30, 2024, an increase of 2% and a decrease of 7%, respectively, compared to $465.9 million and $1.44 billion in the same periods last year. Service revenue was $1.03 billion and $2.96 billion during the three and nine months ended September 30, 2024, an increase of 19% and 21%, respectively, compared to $868.7 million and $2.45 billion in the same periods last year.</w:t>
      </w:r>
    </w:p>
    <w:p>
      <w:pPr>
        <w:spacing w:after="0" w:line="21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$1.24 billion and $3.45 billion during the three and nine months ended September 30, 2024, an increase of 22% and 16%, respectively, compared to $1.02 billion and $2.97 billion in the same periods last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4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was 82.5% and 80.4% during the three and nine months ended September 30, 2024, an increase of 6.3 and 4.1 percentage points, respectively, compared to 76.2% and 76.3% in the same periods last year.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$470.9 million and $1.23 billion during the three and nine months ended September 30, 2024, an increase of 55% and 44%, respectively, compared to $303.2 million and $855.7 million in the same periods last year.</w:t>
      </w:r>
    </w:p>
    <w:p>
      <w:pPr>
        <w:spacing w:after="0" w:line="188"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31.2% and 28.6% during the three and nine months ended September 30, 2024, an increase of 8.5 and 6.6 percentage points, respectively, compared to 22.7% and 22.0% in the same periods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and marketable equity securities were $3.70 billion as of September 30,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$6.01 billion, including short-term deferred revenue of $3.08 billion, as of September 30, 2024.</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$1.78 billion during the nine months ended September 30, 2024, an increase of $36.7 million, or 2%, compared to the same period last year.</w:t>
      </w:r>
    </w:p>
    <w:p>
      <w:pPr>
        <w:spacing w:after="0" w:line="188"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2024, we closed an acquisition of Lacework, a privately held data-driven cloud security company, with a goal of offering its CNAPP solution separately as well as integrated with our existing portfolio, forming a comprehensive, AI-driven cloud security platform available from a single vendor, which will help customers identify, prioritize, and remediate risks and threats in complex cloud-native infrastructure from code to cloud. On August 5, 2024, we completed the acquisition of Next DLP, a privately held insider risk and DLP company. From August 2024 to September 2024, revenue from these two acquired companies was $13.8 million, or 0.9% and 0.3% of total revenue during the three and nine months ended September 30, 2024, respectively.</w:t>
      </w:r>
    </w:p>
    <w:p>
      <w:pPr>
        <w:spacing w:after="0" w:line="214"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On a geographic basis, revenue continues to be diversified globally, which remains a key strength of our business. During the three months ended September 30, 2024, the Americas region, the Europe, Middle East and Africa (“EMEA”) region, and the Asia Pacific (“APAC”) region contributed 41%, 40% and 19% of our total revenue, respectively and increased 14%, 17%, and 3% compared to the same period last year, respectively. During the nine months ended September 30, 2024, the Americas, EMEA, and APAC regions contributed 41%, 40% and 19% of our total revenue, respectively, and increased by 11%, 14% and 4% compared to the same period last year, respectively.</w:t>
      </w:r>
    </w:p>
    <w:p>
      <w:pPr>
        <w:spacing w:after="0" w:line="22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Product revenue increased 2% during the three months ended September 30, 2024 compared to the same period last year. Product revenue decreased 7% during the nine months ended September 30, 2024 compared to the same period last year, due to the decrease in hardware revenue, partially offset by the increase in software license revenue. The decrease in hardware revenue was impacted by the change in backlog from hardware shipped in the prior periods and macroeconomic conditions. When we fulfill, ship and bill during a quarter to satisfy backlog, this increases our aggregate billings and revenue during any particular quarter. As the supply chain challenges normalize, our product revenue growth rate may be lower versus prior quarters where delivery from backlog contributed more to billings.</w:t>
      </w:r>
    </w:p>
    <w:p>
      <w:pPr>
        <w:spacing w:after="0" w:line="209"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18"/>
          <w:szCs w:val="18"/>
          <w:color w:val="auto"/>
        </w:rPr>
        <w:t>Service revenue growth during the three and nine months ended September 30, 2024 was 19% and 21%, respectively, as compared to the same periods last year, was primarily driven by the strength of our security subscription revenue, which grew 20% and 23%, respectively. The increase was primarily due to the recognition of service revenue from our growing deferred revenue balance related to FortiGuard and other security subscriptions delivered to on-premise and cloud-based environments and strength in unified SASE and SecOps. We expect our service revenue to continue to grow for the remainder of 2024, with growth opportunities that include unified SASE and SecOps offerings. While service revenue is expected to grow, we anticipate that the growth rates will ease for the remainder of 2024 due to slowing deferred revenue over the past several quarters.</w:t>
      </w:r>
    </w:p>
    <w:p>
      <w:pPr>
        <w:spacing w:after="0" w:line="22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September 30, 2024, six countries represented approximately 50% of our billings and the remaining 50% in the aggregate were from over 100 countries that each individually contributed less than 3% of our billings.</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Total gross margin increased 6.3 and 4.1 percentage points, respectively, during the three and nine months ended September 30, 2024 compared to the same periods last year, primarily driven by increased product and service gross margin and a shift in the revenue mix to higher margin service revenue. We expect our gross margin to increase for full year 2024 compared to full year 2023.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Operating expenses as a percentage of revenue decreased 2.2 and 2.5 percentage points, respectively, during the three and nine months ended September 30, 2024 compared to the same periods last year, mainly because our revenue growth outpaced our headcount growth. Headcount increased to 13,986 employees and contractors as of September 30, 2024, a 3% increase compared to 13,568 as of December 31, 2023. We expect our operating expenses as a percentage of revenue to decrease for full year 2024 compared to full year 2023.</w:t>
      </w:r>
    </w:p>
    <w:p>
      <w:pPr>
        <w:spacing w:after="0" w:line="20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Operating margin has improved 8.5 and 6.6 percentage points, respectively, during the three and nine months ended September 30, 2024, as a result of improvement in gross margin and decrease in operating expenses as a percentage of revenue. We expect our operating margin to increase for full year 2024 compared to full year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and Geopolitical Developments</w:t>
      </w:r>
    </w:p>
    <w:p>
      <w:pPr>
        <w:spacing w:after="0" w:line="243"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212529"/>
        </w:rPr>
        <w:t>Our overall performance depends in part on worldwide economic and geopolitical conditions, such as GDP growth, the war in Ukraine and the Israel-Hamas war or tensions between China and Taiwan, and their impact on customer behavior. Worsening economic conditions, including inflation, changing interest rates, slower growth, any recession, fluctuations in foreign exchange rates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w:t>
      </w:r>
    </w:p>
    <w:p>
      <w:pPr>
        <w:spacing w:after="0" w:line="211"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enterprise customers, service providers and systems integrators. In addition, we sell our software licenses and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depending on the end-customer’s size and security requirements.</w:t>
      </w:r>
    </w:p>
    <w:p>
      <w:pPr>
        <w:spacing w:after="0" w:line="23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customers purchase our hardware products, software licenses and cloud-delivered solutions, including our FortiGuard security subscription, FortiCare technical support services, unified SASE and SecOps services. We generally invoice at the time of our sale for the total price of the products and services. Standard payment terms are generally no more than 60 days, though we may offer extended payment terms to certain distributors or certain transactions.</w:t>
      </w:r>
    </w:p>
    <w:p>
      <w:pPr>
        <w:spacing w:after="0" w:line="19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offer our products hosted in our own data centers, PoPs, and through co-locations and major cloud service providers, including Microsoft Azure, Amazon Web Services and Google Cloud.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operating activities below under “—Liquidity and Capital Resources.” Deferred revenue, billings (non-GAAP), and free cash flow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are discussed immediately below the following table: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25"/>
        </w:trPr>
        <w:tc>
          <w:tcPr>
            <w:tcW w:w="8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6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1,508.1</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6,011.7</w:t>
            </w:r>
          </w:p>
        </w:tc>
        <w:tc>
          <w:tcPr>
            <w:tcW w:w="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5,285.3</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1,582.2</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608.1</w:t>
            </w:r>
          </w:p>
        </w:tc>
        <w:tc>
          <w:tcPr>
            <w:tcW w:w="7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571.8</w:t>
            </w:r>
          </w:p>
        </w:tc>
        <w:tc>
          <w:tcPr>
            <w:tcW w:w="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w:t>
      </w:r>
    </w:p>
    <w:p>
      <w:pPr>
        <w:spacing w:after="0" w:line="219" w:lineRule="auto"/>
        <w:rPr>
          <w:sz w:val="20"/>
          <w:szCs w:val="20"/>
          <w:color w:val="auto"/>
        </w:rPr>
      </w:pPr>
      <w:r>
        <w:rPr>
          <w:rFonts w:ascii="Times New Roman" w:cs="Times New Roman" w:eastAsia="Times New Roman" w:hAnsi="Times New Roman"/>
          <w:sz w:val="18"/>
          <w:szCs w:val="18"/>
          <w:color w:val="auto"/>
        </w:rPr>
        <w:t>FortiCare technical support service contracts, which is recognized as revenue ratably over the service term. We monitor our deferred revenue balance,</w:t>
      </w:r>
    </w:p>
    <w:p>
      <w:pPr>
        <w:spacing w:after="0" w:line="234" w:lineRule="auto"/>
        <w:rPr>
          <w:sz w:val="20"/>
          <w:szCs w:val="20"/>
          <w:color w:val="auto"/>
        </w:rPr>
      </w:pPr>
      <w:r>
        <w:rPr>
          <w:rFonts w:ascii="Times New Roman" w:cs="Times New Roman" w:eastAsia="Times New Roman" w:hAnsi="Times New Roman"/>
          <w:sz w:val="18"/>
          <w:szCs w:val="18"/>
          <w:color w:val="auto"/>
        </w:rPr>
        <w:t>short-term and total deferred revenue growth and the mix of short-term and long-term deferred revenue because deferred revenue represents a significant</w:t>
      </w:r>
    </w:p>
    <w:p>
      <w:pPr>
        <w:spacing w:after="0" w:line="235" w:lineRule="auto"/>
        <w:rPr>
          <w:sz w:val="20"/>
          <w:szCs w:val="20"/>
          <w:color w:val="auto"/>
        </w:rPr>
      </w:pPr>
      <w:r>
        <w:rPr>
          <w:rFonts w:ascii="Times New Roman" w:cs="Times New Roman" w:eastAsia="Times New Roman" w:hAnsi="Times New Roman"/>
          <w:sz w:val="18"/>
          <w:szCs w:val="18"/>
          <w:color w:val="auto"/>
        </w:rPr>
        <w:t>portion of free cash flow and of revenue to be recognized in future periods. Deferred revenue was $6.01 billion as of September 30, 2024, an increase of</w:t>
      </w:r>
    </w:p>
    <w:p>
      <w:pPr>
        <w:spacing w:after="0" w:line="235" w:lineRule="auto"/>
        <w:rPr>
          <w:sz w:val="20"/>
          <w:szCs w:val="20"/>
          <w:color w:val="auto"/>
        </w:rPr>
      </w:pPr>
      <w:r>
        <w:rPr>
          <w:rFonts w:ascii="Times New Roman" w:cs="Times New Roman" w:eastAsia="Times New Roman" w:hAnsi="Times New Roman"/>
          <w:sz w:val="18"/>
          <w:szCs w:val="18"/>
          <w:color w:val="auto"/>
        </w:rPr>
        <w:t>$276.7 million, or 5%, from December 31, 2023. Short term deferred revenue was $3.08 billion as of September 30, 2024, an increase of $232.5 million, or</w:t>
      </w:r>
    </w:p>
    <w:p>
      <w:pPr>
        <w:spacing w:after="0"/>
        <w:rPr>
          <w:sz w:val="20"/>
          <w:szCs w:val="20"/>
          <w:color w:val="auto"/>
        </w:rPr>
      </w:pPr>
      <w:r>
        <w:rPr>
          <w:rFonts w:ascii="Times New Roman" w:cs="Times New Roman" w:eastAsia="Times New Roman" w:hAnsi="Times New Roman"/>
          <w:sz w:val="18"/>
          <w:szCs w:val="18"/>
          <w:color w:val="auto"/>
        </w:rPr>
        <w:t>8%, from December 31, 2023.</w:t>
      </w:r>
    </w:p>
    <w:p>
      <w:pPr>
        <w:spacing w:after="0" w:line="21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$1.58 billion for the three months ended September 30, 2024, an increase of 6% compared to $1.49 billion in the same period last year.</w:t>
      </w:r>
    </w:p>
    <w:p>
      <w:pPr>
        <w:spacing w:after="0" w:line="203"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or if customers cancel or delay delivery of orders, our backlog may be affected, which will negatively impact our aggregate backlog to billings conversion and revenue in such quarter, and as the supply chain challenges normalized, our product revenue growth rate may be lower versus prior quarters where delivery from backlog contributed more to billings.</w:t>
      </w:r>
    </w:p>
    <w:p>
      <w:pPr>
        <w:spacing w:after="0" w:line="221"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25"/>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gridSpan w:val="3"/>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2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2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w:t>
            </w: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3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investing activities other than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capital expenditures and cash flows from financing activities. Management accounts for this limitation by providing information about our capital expenditures and other investing and financing activities on the condensed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r>
      <w:tr>
        <w:trPr>
          <w:trHeight w:val="211"/>
        </w:trPr>
        <w:tc>
          <w:tcPr>
            <w:tcW w:w="8060" w:type="dxa"/>
            <w:vAlign w:val="bottom"/>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25"/>
        </w:trPr>
        <w:tc>
          <w:tcPr>
            <w:tcW w:w="8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00" w:type="dxa"/>
            <w:vAlign w:val="bottom"/>
          </w:tcPr>
          <w:p>
            <w:pPr>
              <w:spacing w:after="0"/>
              <w:rPr>
                <w:sz w:val="19"/>
                <w:szCs w:val="19"/>
                <w:color w:val="auto"/>
              </w:rPr>
            </w:pP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tcBorders>
              <w:bottom w:val="single" w:sz="8" w:color="auto"/>
            </w:tcBorders>
          </w:tcPr>
          <w:p>
            <w:pPr>
              <w:jc w:val="right"/>
              <w:ind w:right="2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6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(628.9)</w:t>
            </w:r>
          </w:p>
        </w:tc>
      </w:tr>
      <w:tr>
        <w:trPr>
          <w:trHeight w:val="20"/>
        </w:trPr>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three and nine months ended September 30, 2024, as compared to the critical accounting policies and estimates described in our Annual Report on Form 10-K filed with the SEC on February 26, 2024 (the “Form 10-K”).</w:t>
      </w:r>
    </w:p>
    <w:p>
      <w:pPr>
        <w:spacing w:after="0" w:line="20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Total revenue increased $173.5 million, or 13%, during the three months ended September 30, 2024 compared to the same period last year. We continued to experience diversification of revenue geographically, and across customer and industry segments. Revenue from all regions grew, with EMEA contributing the largest portion of the increase on an absolute dollar basis and on a percentage basis.</w:t>
      </w:r>
    </w:p>
    <w:p>
      <w:pPr>
        <w:spacing w:after="0" w:line="20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Product revenue increased $8.0 million, or 2%, during the three months ended September 30, 2024 compared to the same period last year due to the increase in software license revenue.</w:t>
      </w:r>
    </w:p>
    <w:p>
      <w:pPr>
        <w:spacing w:after="0" w:line="17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Service revenue increased $165.5 million, or 19%, during the three months ended September 30, 2024 compared to the same period last year. Security subscription revenue increased $101.2 million, or 20%, and technical support and other services revenue increased $64.3 million, or 17%, during the three months ended September 30, 2024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Of the service revenue recognized during the three months ended September 30, 2024, 88% was included in the deferred revenue balance as of June 30, 2024. Of the service revenue recognized during the three months ended September 30, 2023, 88% was included in the deferred revenue balance as of June 30,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2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20" w:type="dxa"/>
            <w:vAlign w:val="bottom"/>
            <w:shd w:val="clear" w:color="auto" w:fill="CCEEFF"/>
          </w:tcPr>
          <w:p>
            <w:pPr>
              <w:jc w:val="center"/>
              <w:ind w:left="139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20" w:type="dxa"/>
            <w:vAlign w:val="bottom"/>
          </w:tcPr>
          <w:p>
            <w:pPr>
              <w:jc w:val="center"/>
              <w:ind w:left="143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Total gross margin increased 6.3 percentage points during the three months ended September 30, 2024 compared to the same period last year, primarily driven by increased product and service gross margin and a shift in the revenue mix to higher margin service revenue, partially offset by the impact of the acquisitions in the current quarter. Revenue mix shifted by 3.5 percentage points from product revenue to service revenue, as a percentage of total revenue.</w:t>
      </w:r>
    </w:p>
    <w:p>
      <w:pPr>
        <w:spacing w:after="0" w:line="208"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Product gross margin increased 13.9 percentage points during the three months ended September 30, 2024 compared to the same period last year, primarily due to a reduction in our liability related to renegotiation of supplier contractual commitments which resulted in a reduction to cost of sales during the period, lower expedite fees, a shift in revenue mix from hardware to software and lower freight costs, partially offset by increased direct cost. Cost of product revenue was comprised primarily of third-party contract manufacturers’ costs, costs of materials used in production and inventory reserves related to excess inventory and contractual delivery commitments.</w:t>
      </w:r>
    </w:p>
    <w:p>
      <w:pPr>
        <w:spacing w:after="0" w:line="21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increased 1.4 percentage points during the three months ended September 30, 2024 compared to the same period last year, because service revenue growth outpaced labor cost increase and benefited from a revenue mix shift towards higher margin security subscription services, partially offset by the impact of the acquisitions in the current quarter. Cost of service revenue was comprised primarily of personnel-related costs, third-party repair and contract fulfillment, data center costs, colocation and cloud provider fees, supplies and facility-related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77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increased $30.4 million, or 19%, during the three months ended September 30, 2024 compared to the same period last year, primarily due to an increase of $26.6 million in personnel-related costs as a result of increased headcount and compensation rates to support the development of new products and continued enhancements to our existing products and the impact of the acquisitions in the current quarter. We currently intend to continue investing in our research and development organization, and expect research and development expense to increase in absolute dollars year over year during the remainder of 2024.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Sales and marketing expense increased $11.5 million, or 2%, during the three months ended September 30, 2024 compared to the same period last year, primarily due to an increase of $19.9 million in personnel-related costs and $2.6 million in cloud hosting services costs related to sales demonstrations. The increases were partially offset by a decrease of $10.4 million in marketing program and related expenses. We currently intend to continue making investments in sales and marketing resources critical to support our future growth and expect our sales and marketing expense to increase in absolute dollars year over year during the remainder of 2024.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$18.2 million, or 34%, during the three months ended September 30, 2024 compared to the same period last year, primarily due to an increase of $12.0 million in legal related fees and other professional services fees and $3.8 million in personnel-related costs. We currently expect general and administrative expense to increase in absolute dollars year over year during the remainder of 2024.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We generated operating income of $470.9 million during the three months ended September 30, 2024, an increase of $167.7 million, or 55%, compared to $303.2 million in the same period last year. Operating margin was 31.2% during the three months ended September 30, 2024, compared to 22.7% in the same period last year. The increase in operating margin was primarily due to 6.3 percentage points increase in gross margin and 3.6 percentage points decrease in sales and marketing expense as a percentage of revenue, partially offset by 0.7 percentage points and 0.7 percentage points increases in general and administrative expense and research and development expense as a percentage of revenue, respectively. Excluding the acquisitions in the current quarter, operating margin was 33.6% during the three months ended September 30,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gain on bargain purchase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101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6"/>
                <w:szCs w:val="16"/>
                <w:color w:val="auto"/>
              </w:rPr>
            </w:pPr>
          </w:p>
        </w:tc>
        <w:tc>
          <w:tcPr>
            <w:tcW w:w="1740" w:type="dxa"/>
            <w:vAlign w:val="bottom"/>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gridSpan w:val="3"/>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42.4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106.3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18.8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increased $5.4 million during the three months ended September 30, 2024 compared to the same period last year, primarily as a result of higher investment balances. Interest income varies depending on our average investment balances during the period, types and mix of investments, and market interest rates. Interest expense remained comparatively flat during the three months ended September 30, 2024 compared to the same period last year. Gain on bargain purchase was $106.3 million during the three months ended September 30, 2024 and is related to our acquisition of Lacework. The $18.8 million change in other income (expense)—net during the three months ended September 30, 2024 compared to the same period last year, was primarily due to an increase of $13.4 million gain on marketable equity securities and a $5.7 million decrease in foreign currency exchange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11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6"/>
                <w:szCs w:val="16"/>
                <w:color w:val="auto"/>
              </w:rPr>
            </w:pPr>
          </w:p>
        </w:tc>
        <w:tc>
          <w:tcPr>
            <w:tcW w:w="1600" w:type="dxa"/>
            <w:vAlign w:val="bottom"/>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6"/>
                <w:szCs w:val="16"/>
                <w:color w:val="auto"/>
              </w:rPr>
            </w:pPr>
          </w:p>
        </w:tc>
        <w:tc>
          <w:tcPr>
            <w:tcW w:w="1660" w:type="dxa"/>
            <w:vAlign w:val="bottom"/>
            <w:vMerge w:val="restart"/>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20" w:type="dxa"/>
            <w:vAlign w:val="bottom"/>
            <w:gridSpan w:val="3"/>
          </w:tcPr>
          <w:p>
            <w:pPr>
              <w:jc w:val="right"/>
              <w:ind w:right="955"/>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81.2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81.5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13% for the three months ended September 30, 2024 compared to an effective tax rate of 0% for the same period last year. The provision for income taxes for the three months ended September 30, 2024 was primarily comprised of U.S. federal and state taxes, withholding taxes and foreign taxes totaling $123.6 million, which were favorably affected by a tax benefit of $33.1 million from the foreign-derived intangible income deduction (the “FDII deduction”) and excess tax benefits from stock-based compensation expense of $9.3 million.</w:t>
      </w:r>
    </w:p>
    <w:p>
      <w:pPr>
        <w:spacing w:after="0" w:line="208"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2023 was comprised of U.S. federal and state taxes, withholding taxes, and foreign taxes totaling $50.2 million, which were favorably affected by a tax benefit of $41.9 million from the FDII deduction, excess tax benefits from stock-based compensation expense of $8.6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19685</wp:posOffset>
            </wp:positionV>
            <wp:extent cx="23056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Loss from equity method investments remained comparatively flat during the three months ended September 30, 2024 compared to the same period last year.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Total revenue increased $406.0 million, or 10%, during the nine months ended September 30, 2024 compared to the same period last year. We continued to experience diversification of revenue geographically, and across customer and industry segments. Revenue from all regions grew, with EMEA contributing the largest portion of the increase on an absolute dollar basis and on a percentage basis.</w:t>
      </w:r>
    </w:p>
    <w:p>
      <w:pPr>
        <w:spacing w:after="0" w:line="20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Product revenue decreased $104.5 million, or 7%, during the nine months ended September 30, 2024 compared to the same period last year, due to the decrease in hardware revenue, partially offset by the increase in software license revenue. The decrease in hardware revenue was impacted by the change in backlog from hardware shipped in the prior periods and macroeconomic conditions. When we fulfill, ship and bill during a quarter to satisfy backlog, this increases our aggregate billings and revenue during any particular quarter. As the supply chain challenges normalize, our product revenue growth rate may be lower versus prior quarters where delivery from backlog contributed more to billings.</w:t>
      </w:r>
    </w:p>
    <w:p>
      <w:pPr>
        <w:spacing w:after="0" w:line="19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Service revenue increased $510.5 million, or 21%, during the nine months ended September 30, 2024 compared to the same period last year. Security subscription revenue increased $317.8 million, or 23%, and technical support and other services revenue increased $192.7 million, or 18%, during the nine months ended September 30, 2024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12"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Of the service revenue recognized during the nine months ended September 30, 2024, 77% was included in the deferred revenue balance as of December 31, 2023. Of the service revenue recognized during the nine months ended September 30, 2023, 73% was included in the deferred revenue balance as of December 31, 2022. We expect service revenue growth rates to ease for the remainder of 2024 due to slowing deferred revenue over the past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quarters</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partially offset by increases in SaaS revenue.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2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6"/>
                <w:szCs w:val="16"/>
                <w:color w:val="auto"/>
              </w:rPr>
            </w:pP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w w:val="96"/>
              </w:rPr>
              <w:t>(92.4)</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14.2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843.1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812"/>
              <w:spacing w:after="0"/>
              <w:rPr>
                <w:sz w:val="20"/>
                <w:szCs w:val="20"/>
                <w:color w:val="auto"/>
              </w:rPr>
            </w:pPr>
            <w:r>
              <w:rPr>
                <w:rFonts w:ascii="Times New Roman" w:cs="Times New Roman" w:eastAsia="Times New Roman" w:hAnsi="Times New Roman"/>
                <w:sz w:val="18"/>
                <w:szCs w:val="18"/>
                <w:color w:val="auto"/>
                <w:w w:val="96"/>
              </w:rPr>
              <w:t>(78.2)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Total gross margin increased 4.1 percentage points during the nine months ended September 30, 2024 compared to the same period last year, primarily driven by a shift in the revenue mix to higher margin service revenue and increased product and service gross margin. Revenue mix shifted by 5.9 percentage points from product revenue to service revenue, as a percentage of total revenue.</w:t>
      </w:r>
    </w:p>
    <w:p>
      <w:pPr>
        <w:spacing w:after="0" w:line="190"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Product gross margin increased 3.9 percentage points during the nine months ended September 30, 2024 compared to the same period last year, primarily due to decrease in inventory related reserves expense, lower expedite fees, a shift in revenue mix from hardware to software and lower freight costs, partially offset by reduced prices on certain products. During the first quarter of 2024, we lowered list prices on select products. Cost of product revenue was comprised primarily of third-party contract manufacturers’ costs, costs of materials used in production and inventory reserves related to excess inventory and contractual delivery commitments.</w:t>
      </w:r>
    </w:p>
    <w:p>
      <w:pPr>
        <w:spacing w:after="0" w:line="212"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increased 2.0 percentage points during the nine months ended September 30, 2024 compared to the same period last year, because service revenue growth outpaced labor cost increase and benefited from pricing actions in earlier periods and a revenue mix shift towards higher margin security subscription services. Cost of service revenue was comprised primarily of personnel-related costs, third-party repair and contract fulfillment, data center costs, colocation and cloud provider fees, supplies and facility-related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6"/>
                <w:szCs w:val="16"/>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200" w:type="dxa"/>
            <w:vAlign w:val="bottom"/>
          </w:tcPr>
          <w:p>
            <w:pPr>
              <w:spacing w:after="0"/>
              <w:rPr>
                <w:sz w:val="16"/>
                <w:szCs w:val="16"/>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300"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 increased $64.4 million, or 14%, during the nine months ended September 30, 2024 compared to the same period last year, primarily due to an increase of $51.2 million in personnel-related costs as a result of increased headcount and compensation rates to support the development of new products and continued enhancements to our existing products. In addition, depreciation expense and other occupancy-related expense increased $6.5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Sales and marketing expense increased $19.7 million, or 1%, during the nine months ended September 30, 2024 compared to the same period last year, primarily due to an increase of $30.2 million in personnel-related costs. In addition, travel expense increased $4.4 million and depreciation expense and other occupancy-related expense increased $2.4 million. The increases were partially offset by a decrease of $21.3 million in marketing program and related expenses.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$26.5 million, or 17%, during the nine months ended September 30, 2024 compared to the same period last year, primarily due to an increase of $22.1 million in legal related fees and other professional services fees.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18"/>
          <w:szCs w:val="18"/>
          <w:color w:val="auto"/>
        </w:rPr>
        <w:t>We generated operating income of $1.23 billion during the nine months ended September 30, 2024, an increase of $373.6 million, or 44%, compared to $855.7 million in the same period last year. Operating margin was 28.6% during the nine months ended September 30, 2024, compared to 22.0% in the same period last year. The increase in operating margin was primarily due to 4.1 percentage points increase in gross margin and 3.2 percentage points decrease in sales and marketing expense as a percentage of revenue, partially offset by 0.4 percentage points and 0.3 percentage points increases in research and development expense and general and administrative expense as a percentage of revenue,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gain on bargain purchase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6"/>
                <w:szCs w:val="16"/>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6"/>
                <w:szCs w:val="16"/>
                <w:color w:val="auto"/>
              </w:rPr>
            </w:pPr>
          </w:p>
        </w:tc>
        <w:tc>
          <w:tcPr>
            <w:tcW w:w="1740" w:type="dxa"/>
            <w:vAlign w:val="bottom"/>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gridSpan w:val="3"/>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23.7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106.3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17.9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Interest income increased $23.7 million during the nine months ended September 30, 2024 compared to the same period last year, primarily as a result of higher interest rates and investment balances. Interest income varies depending on our average investment balances during the period, types and mix of investments, and market interest rates. Interest expense remained comparatively flat during the nine months ended September 30, 2024 compared to the same period last year. Gain on bargain purchase was $106.3 million during the nine months ended September 30, 2024 and is related to our acquisition of Lacework. The $17.9 million change in other income (expense)—net during the nine months ended September 30, 2024 compared to the same period last year, was primarily due to an increase of $16.9 million gain on marketable equity securities and a $1.7 million decrease in foreign currency exchange losses.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3"/>
          </w:tcPr>
          <w:p>
            <w:pPr>
              <w:jc w:val="right"/>
              <w:ind w:right="11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6"/>
                <w:szCs w:val="16"/>
                <w:color w:val="auto"/>
              </w:rPr>
            </w:pPr>
          </w:p>
        </w:tc>
        <w:tc>
          <w:tcPr>
            <w:tcW w:w="16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6"/>
                <w:szCs w:val="16"/>
                <w:color w:val="auto"/>
              </w:rPr>
            </w:pPr>
          </w:p>
        </w:tc>
        <w:tc>
          <w:tcPr>
            <w:tcW w:w="1680" w:type="dxa"/>
            <w:vAlign w:val="bottom"/>
            <w:vMerge w:val="restart"/>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40" w:type="dxa"/>
            <w:vAlign w:val="bottom"/>
            <w:gridSpan w:val="3"/>
          </w:tcPr>
          <w:p>
            <w:pPr>
              <w:jc w:val="right"/>
              <w:ind w:right="955"/>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197.2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48.6</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148.6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14% for the nine months ended September 30, 2024 compared to an effective tax rate of 5% for the same period last year. The provision for income taxes for the nine months ended September 30, 2024 was primarily comprised of U.S. federal and state taxes, withholding taxes and foreign taxes that were $315.0 million. This provision for income taxes was favorably affected by a tax benefit of $84.0 million from the FDII deduction, and excess tax benefits from stock-based compensation expense of $33.8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provision for income taxes for the nine months ended September 30, 2023 was comprised of U.S. federal and state taxes, withholding taxes, and foreign taxes that were $220.9 million, which were offset by a tax benefit of $105.9 million from the FDII deduction, excess tax benefits from stock-based compensation expense of $48.3 million, and the release of reserves of $18.1 million on uncertain tax positions and the accrued interest thereon due to the expiration of statutes of limitations.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057"/>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6"/>
                <w:szCs w:val="16"/>
                <w:color w:val="auto"/>
              </w:rPr>
            </w:pPr>
          </w:p>
        </w:tc>
        <w:tc>
          <w:tcPr>
            <w:tcW w:w="152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Loss from equity method investments decreased $8.7 million during the nine months ended September 30, 2024 compared to the same period last year, primarily driven by our proportionate share of Linksys’ financial results including our share of the amortization of the basis differences improved over the same period last year, partially offset by the OTTI charge of $8.0 million recorded in the second quarter of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105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2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3"/>
                <w:szCs w:val="13"/>
                <w:color w:val="auto"/>
              </w:rPr>
            </w:pPr>
          </w:p>
        </w:tc>
        <w:tc>
          <w:tcPr>
            <w:tcW w:w="1320" w:type="dxa"/>
            <w:vAlign w:val="bottom"/>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investments and marketable equity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3"/>
                <w:szCs w:val="13"/>
                <w:color w:val="auto"/>
              </w:rPr>
            </w:pPr>
          </w:p>
        </w:tc>
        <w:tc>
          <w:tcPr>
            <w:tcW w:w="132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4"/>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real estate purchases, other capital expenditures and business acquisitions, payment of taxes in connection with the net settlement of equity awards and proceeds from the issuance of common stock and repurchases of our common stock.</w:t>
      </w:r>
    </w:p>
    <w:p>
      <w:pPr>
        <w:spacing w:after="0" w:line="19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international conflicts, including the war in Ukraine and the Israel-Hamas war, and our ability to execute. We expect proceeds from the exercise of stock options in future years to be impacted by the increased mix of restricted stock units and performance stock units versus stock options granted to our employees and to vary based on our share price.</w:t>
      </w:r>
    </w:p>
    <w:p>
      <w:pPr>
        <w:spacing w:after="0" w:line="211"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During the nine months ended September 30, 2024, we repurchased less than 0.1 million shares of common stock under</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Repurchase program for an aggregate purchase price of $0.6 million. As of September 30, 2024, approximately $1.03 billion remained available for future share repurchases. 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As of November 8, 2024, approximately $2.03 billion remained available for future share repurchases.</w:t>
      </w:r>
    </w:p>
    <w:p>
      <w:pPr>
        <w:spacing w:after="0" w:line="212"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$100.0 million and $120.0 million for the fourth quarter of 2024.</w:t>
      </w:r>
    </w:p>
    <w:p>
      <w:pPr>
        <w:spacing w:after="0" w:line="211"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10, Debt, in Part I, Item 1 of this Quarterly Report on Form 10-Q for information on the Senior Notes. As of September 30, 2024, the long-term debt, net of unamortized discount and debt issuance costs, was $993.8 million.</w:t>
      </w:r>
    </w:p>
    <w:p>
      <w:pPr>
        <w:spacing w:after="0" w:line="208" w:lineRule="exact"/>
        <w:rPr>
          <w:sz w:val="20"/>
          <w:szCs w:val="20"/>
          <w:color w:val="auto"/>
        </w:rPr>
      </w:pPr>
    </w:p>
    <w:p>
      <w:pPr>
        <w:ind w:right="40" w:firstLine="648"/>
        <w:spacing w:after="0" w:line="231" w:lineRule="auto"/>
        <w:rPr>
          <w:sz w:val="20"/>
          <w:szCs w:val="20"/>
          <w:color w:val="auto"/>
        </w:rPr>
      </w:pPr>
      <w:r>
        <w:rPr>
          <w:rFonts w:ascii="Times New Roman" w:cs="Times New Roman" w:eastAsia="Times New Roman" w:hAnsi="Times New Roman"/>
          <w:sz w:val="18"/>
          <w:szCs w:val="18"/>
          <w:color w:val="auto"/>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198"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These inventory purchase commitments as of September 30, 2024 totaled $550.0 million, a decrease of $87.3 million compared to $637.3 million as of December 31, 2023 due to fulfillment of customer demand as our supply availability improved and our continued efforts to work with contract manufacturers and suppliers to optimize our inventory and purchase commitment position. We record a liability for inventory purchase commitments in excess of our future demand forecasts consistent with the valuation of our excess and obsolete inventory. As of September 30, 2024 and December 31, 2023, the liability for these inventory purchase commitments was $76.3 million and $84.7 million, respectively, and was recorded in accrued liabilities on our condensed consolidated balance sheets.</w:t>
      </w:r>
    </w:p>
    <w:p>
      <w:pPr>
        <w:spacing w:after="0" w:line="19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increased our purchase commitments in prior years to address significant supply constraints seen industry-wide due to component shortages. Our agreements secured supply and pricing for certain product components with contract manufacturers to meet customer demand and to address extended lead times.</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w:t>
      </w:r>
    </w:p>
    <w:p>
      <w:pPr>
        <w:spacing w:after="0" w:line="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195"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September 30, 2024, we had $116.5 million in other contractual commitments having a remaining term in excess of one year that are non-cancelable.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2023.</w:t>
      </w:r>
    </w:p>
    <w:p>
      <w:pPr>
        <w:spacing w:after="0" w:line="2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our cash, cash equivalents and short-term and long-term investments of $3.65 billion were invested primarily in deposit accounts, commercial paper, corporate debt securities, U.S. government and agency securities, certificates of deposit and term deposits and money market funds. It is our investment policy to invest excess cash in a manner that preserves capital, provides liquidity, and generates return without significantly increasing risk. We do not enter into investments for trading or speculative purposes.</w:t>
      </w:r>
    </w:p>
    <w:p>
      <w:pPr>
        <w:spacing w:after="0" w:line="20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$192.8 million as of September 30, 2024 and $199.9 million as of December 31, 2023.</w:t>
      </w:r>
    </w:p>
    <w:p>
      <w:pPr>
        <w:spacing w:after="0" w:line="175"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capital and capital expenditure requirements will depend on many factors, including our growth rate; the timing and amount of our share repurchases;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and the war in Ukraine and the Israel-Hamas war.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accounts receivable—net, deferred revenue, deferred contract costs, deferred tax assets, inventory, accounts payable and accrued liabilities.</w:t>
      </w:r>
    </w:p>
    <w:p>
      <w:pPr>
        <w:spacing w:after="0" w:line="21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Our operating activities during the nine months ended September 30, 2024 provided cash flows of $1.78 billion as a result of the continued growth of our business, improved profitability and our ability to successfully manage our working capital. Changes in operating assets and liabilities primarily resulted from an increase in sales of our security subscription services and technical support services to new and existing customers, as reflected by an increase of $234.4 million in our deferred revenue during the nine months ended September 30, 2024. In addition, changes in operating assets and liabilities were driven by a decrease of $376.5 million in accounts receivable—net, an increase of $212.2 million in deferred contract costs, an increase of $187.6 million in deferred tax assets, a decrease of $104.9 million in inventory, a decrease of $72.3 million in accrued liabilities and a decrease of $32.0 million in accounts payable.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various companies and business acquisitions. Historically, in making a lease-versus-ownership decision related to warehouse, office or data center space, we have considered various factors including financial metrics, expected long-term growth rates, time to market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1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investing activities was $647.5 million, primarily driven by $281.3 million used for the purchases of property and equipment, $247.0 million used for the acquisitions of Lacework and Next DLP, net of cash and $102.6 million spent for purchases of investments, net of maturities and sales of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our Amended and Restated Fortinet, Inc. 2009 Equity Incentive Plan.</w:t>
      </w:r>
    </w:p>
    <w:p>
      <w:pPr>
        <w:spacing w:after="0" w:line="20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financing activities was $41.3 million, primarily driven by $39.9 million used to pay tax withholding, net of proceeds from the issuance of common stock.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nine months ended September 30, 2024 compared to the disclosures in Part II, Item 7A of the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2024.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September 30, 2024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accordance with the Internal Controls Guidance, management has excluded Lacework, a privately held data-driven cloud security company, and Next DLP, a privately held data security company, from its assessment of internal control over financial reporting as of September 30, 2024, because Lacework and Next DLP were acquired by us in business combinations during the quarter ended September 30, 2024. Lacework and Next DLP assets represented approximately 3.5% and 1.3% of our consolidated total assets, respectively, excluding the effects of purchase accounting, as of September 30, 2024, and their revenues represented approximately 0.9% and 0.1% of our consolidated total revenue, respectively, for the quarter ended September 30, 2024.</w:t>
      </w:r>
    </w:p>
    <w:p>
      <w:pPr>
        <w:spacing w:after="0" w:line="211"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There were no other changes in our internal controls over financial reporting (as defined in Rules 13a-15(f) or 15d-15(f) under the Exchange Act) during the quarter ended September 30, 2024,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11. Commitments and Contingencies in Part I, Item 1 of this Quarterly Report on Form 10-Q for additional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16"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49" w:lineRule="exact"/>
        <w:rPr>
          <w:sz w:val="20"/>
          <w:szCs w:val="20"/>
          <w:color w:val="auto"/>
        </w:rPr>
      </w:pPr>
    </w:p>
    <w:p>
      <w:pPr>
        <w:ind w:left="1300" w:right="360" w:hanging="644"/>
        <w:spacing w:after="0" w:line="250"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macroeconomic and regional economic challenges resulting, for example, from a recession or other economic downturn, increased inflation or possible stagflation in certain geographies, changing interest rates, the war in Ukraine, the Israel-Hamas war, tensions between China and Taiwan, or other factors;</w:t>
      </w:r>
    </w:p>
    <w:p>
      <w:pPr>
        <w:spacing w:after="0" w:line="203"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and execution, and our ability to attract and retain new end-customers or sell additional products and services to our existing end-customers, including customer demand for platform solutions like ours versus point solutions;</w:t>
      </w:r>
    </w:p>
    <w:p>
      <w:pPr>
        <w:spacing w:after="0" w:line="189" w:lineRule="exact"/>
        <w:rPr>
          <w:rFonts w:ascii="Times New Roman" w:cs="Times New Roman" w:eastAsia="Times New Roman" w:hAnsi="Times New Roman"/>
          <w:sz w:val="18"/>
          <w:szCs w:val="18"/>
          <w:color w:val="auto"/>
        </w:rPr>
      </w:pPr>
    </w:p>
    <w:p>
      <w:pPr>
        <w:ind w:left="1300" w:right="78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89" w:lineRule="exact"/>
        <w:rPr>
          <w:rFonts w:ascii="Times New Roman" w:cs="Times New Roman" w:eastAsia="Times New Roman" w:hAnsi="Times New Roman"/>
          <w:sz w:val="18"/>
          <w:szCs w:val="18"/>
          <w:color w:val="auto"/>
        </w:rPr>
      </w:pPr>
    </w:p>
    <w:p>
      <w:pPr>
        <w:jc w:val="both"/>
        <w:ind w:left="1300" w:right="60" w:hanging="644"/>
        <w:spacing w:after="0"/>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epidemics and pandemics, supply chain disruptions, inflation and other cost increases, international trade disputes or tariffs, natural disasters, health emergencies, power outages, civil unrest, labor disruption, international conflicts, terrorism, wars, such as the war in Ukraine and the Israel-Hamas war, and critical infrastructure attacks;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9" w:lineRule="exact"/>
        <w:rPr>
          <w:rFonts w:ascii="Times New Roman" w:cs="Times New Roman" w:eastAsia="Times New Roman" w:hAnsi="Times New Roman"/>
          <w:sz w:val="18"/>
          <w:szCs w:val="18"/>
          <w:color w:val="auto"/>
        </w:rPr>
      </w:pPr>
    </w:p>
    <w:p>
      <w:pPr>
        <w:ind w:left="1300" w:right="320" w:hanging="644"/>
        <w:spacing w:after="0" w:line="250"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or if customers cancel or delay delivery of orders, our backlog may be affected, which will negatively impact our aggregate backlog to billings conversion and revenue in such quarter;</w:t>
      </w:r>
    </w:p>
    <w:p>
      <w:pPr>
        <w:spacing w:after="0" w:line="203" w:lineRule="exact"/>
        <w:rPr>
          <w:rFonts w:ascii="Times New Roman" w:cs="Times New Roman" w:eastAsia="Times New Roman" w:hAnsi="Times New Roman"/>
          <w:sz w:val="18"/>
          <w:szCs w:val="18"/>
          <w:color w:val="auto"/>
        </w:rPr>
      </w:pPr>
    </w:p>
    <w:p>
      <w:pPr>
        <w:ind w:left="1300" w:right="320" w:hanging="644"/>
        <w:spacing w:after="0" w:line="245"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supply chain challenges normalize, our product revenue growth rate may be lower versus prior quarters where delivery from backlog contributed more to billings. We expect billings growth to normalize and lower the impact from backlog fluctuations. For the first three quarters of 2024, the comparably lower backlog contribution to billings has resulted in decreased year-over-year quarterly growth rates;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cost increases and any lack of market acceptance of our price increases designed to help offset any supplier cost increases;</w:t>
      </w:r>
    </w:p>
    <w:p>
      <w:pPr>
        <w:spacing w:after="0" w:line="238" w:lineRule="exact"/>
        <w:rPr>
          <w:rFonts w:ascii="Times New Roman" w:cs="Times New Roman" w:eastAsia="Times New Roman" w:hAnsi="Times New Roman"/>
          <w:sz w:val="18"/>
          <w:szCs w:val="18"/>
          <w:color w:val="auto"/>
        </w:rPr>
      </w:pPr>
    </w:p>
    <w:p>
      <w:pPr>
        <w:ind w:left="1300" w:right="42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 or changes in shipping terms;</w:t>
      </w:r>
    </w:p>
    <w:p>
      <w:pPr>
        <w:spacing w:after="0" w:line="18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increased inflation or possible stagflation in certain geographies, increasing or decreasing interest rates, the war in Ukraine and the Israel-Hamas war and other factors;</w:t>
      </w:r>
    </w:p>
    <w:p>
      <w:pPr>
        <w:spacing w:after="0" w:line="203" w:lineRule="exact"/>
        <w:rPr>
          <w:rFonts w:ascii="Times New Roman" w:cs="Times New Roman" w:eastAsia="Times New Roman" w:hAnsi="Times New Roman"/>
          <w:sz w:val="18"/>
          <w:szCs w:val="18"/>
          <w:color w:val="auto"/>
        </w:rPr>
      </w:pPr>
    </w:p>
    <w:p>
      <w:pPr>
        <w:ind w:left="1300" w:right="80" w:hanging="644"/>
        <w:spacing w:after="0"/>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vulnerabilities in our products or services, as well as reputational harm from the failure or misuse of our products or services, and any actual or perceived defects or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w:t>
      </w:r>
    </w:p>
    <w:p>
      <w:pPr>
        <w:spacing w:after="0" w:line="211" w:lineRule="exact"/>
        <w:rPr>
          <w:rFonts w:ascii="Times New Roman" w:cs="Times New Roman" w:eastAsia="Times New Roman" w:hAnsi="Times New Roman"/>
          <w:sz w:val="18"/>
          <w:szCs w:val="18"/>
          <w:color w:val="auto"/>
        </w:rPr>
      </w:pPr>
    </w:p>
    <w:p>
      <w:pPr>
        <w:ind w:left="1300" w:right="100" w:hanging="644"/>
        <w:spacing w:after="0" w:line="250"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of our internal enterprise IT networks, our operational networks, our research and development networks, our back-end labs and cloud stacks hosted in our data centers, colocation vendors or public cloud providers, and resulting harm to public perception of our products and services;</w:t>
      </w:r>
    </w:p>
    <w:p>
      <w:pPr>
        <w:spacing w:after="0" w:line="163"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3" w:lineRule="exact"/>
        <w:rPr>
          <w:rFonts w:ascii="Times New Roman" w:cs="Times New Roman" w:eastAsia="Times New Roman" w:hAnsi="Times New Roman"/>
          <w:sz w:val="18"/>
          <w:szCs w:val="18"/>
          <w:color w:val="auto"/>
        </w:rPr>
      </w:pPr>
    </w:p>
    <w:p>
      <w:pPr>
        <w:ind w:left="1300" w:right="80" w:hanging="644"/>
        <w:spacing w:after="0" w:line="250"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accounting risks, integration risks related to product plans and products and risks of negative impact by such acquisitions and equity investments on our financial results;</w:t>
      </w:r>
    </w:p>
    <w:p>
      <w:pPr>
        <w:spacing w:after="0" w:line="190" w:lineRule="exact"/>
        <w:rPr>
          <w:rFonts w:ascii="Times New Roman" w:cs="Times New Roman" w:eastAsia="Times New Roman" w:hAnsi="Times New Roman"/>
          <w:sz w:val="18"/>
          <w:szCs w:val="18"/>
          <w:color w:val="auto"/>
        </w:rPr>
      </w:pPr>
    </w:p>
    <w:p>
      <w:pPr>
        <w:ind w:left="1300" w:right="66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performance relating to environmental, social and governance (“ESG”) and commitment to carbon neutrality;</w:t>
      </w:r>
    </w:p>
    <w:p>
      <w:pPr>
        <w:spacing w:after="0" w:line="189"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data security requirements and enforcement across certain jurisdictions;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9"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89" w:lineRule="exact"/>
        <w:rPr>
          <w:rFonts w:ascii="Times New Roman" w:cs="Times New Roman" w:eastAsia="Times New Roman" w:hAnsi="Times New Roman"/>
          <w:sz w:val="18"/>
          <w:szCs w:val="18"/>
          <w:color w:val="auto"/>
        </w:rPr>
      </w:pPr>
    </w:p>
    <w:p>
      <w:pPr>
        <w:ind w:left="1300" w:right="80" w:hanging="644"/>
        <w:spacing w:after="0"/>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such as the war in Ukraine and the Israel-Hamas war, and critical infrastructure attacks;</w:t>
      </w:r>
    </w:p>
    <w:p>
      <w:pPr>
        <w:spacing w:after="0" w:line="211" w:lineRule="exact"/>
        <w:rPr>
          <w:rFonts w:ascii="Times New Roman" w:cs="Times New Roman" w:eastAsia="Times New Roman" w:hAnsi="Times New Roman"/>
          <w:sz w:val="18"/>
          <w:szCs w:val="18"/>
          <w:color w:val="auto"/>
        </w:rPr>
      </w:pPr>
    </w:p>
    <w:p>
      <w:pPr>
        <w:ind w:left="1300" w:right="40" w:hanging="644"/>
        <w:spacing w:after="0" w:line="245"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market demand and any negative impact to our sales and the effectiveness of our sales team based on changes to sales compensation or to our sales compensation plan;</w:t>
      </w:r>
    </w:p>
    <w:p>
      <w:pPr>
        <w:spacing w:after="0" w:line="207" w:lineRule="exact"/>
        <w:rPr>
          <w:rFonts w:ascii="Times New Roman" w:cs="Times New Roman" w:eastAsia="Times New Roman" w:hAnsi="Times New Roman"/>
          <w:sz w:val="18"/>
          <w:szCs w:val="18"/>
          <w:color w:val="auto"/>
        </w:rPr>
      </w:pPr>
    </w:p>
    <w:p>
      <w:pPr>
        <w:ind w:left="1300" w:hanging="644"/>
        <w:spacing w:after="0" w:line="24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hanging="644"/>
        <w:spacing w:after="0" w:line="245"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and IoT and OT security opportunities;</w:t>
      </w:r>
    </w:p>
    <w:p>
      <w:pPr>
        <w:spacing w:after="0" w:line="2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38"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35" w:lineRule="exact"/>
        <w:rPr>
          <w:rFonts w:ascii="Times New Roman" w:cs="Times New Roman" w:eastAsia="Times New Roman" w:hAnsi="Times New Roman"/>
          <w:sz w:val="18"/>
          <w:szCs w:val="18"/>
          <w:color w:val="auto"/>
        </w:rPr>
      </w:pPr>
    </w:p>
    <w:p>
      <w:pPr>
        <w:jc w:val="both"/>
        <w:ind w:left="1300" w:right="38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63" w:lineRule="exact"/>
        <w:rPr>
          <w:rFonts w:ascii="Times New Roman" w:cs="Times New Roman" w:eastAsia="Times New Roman" w:hAnsi="Times New Roman"/>
          <w:sz w:val="18"/>
          <w:szCs w:val="18"/>
          <w:color w:val="auto"/>
        </w:rPr>
      </w:pPr>
    </w:p>
    <w:p>
      <w:pPr>
        <w:ind w:left="1300" w:right="260" w:hanging="644"/>
        <w:spacing w:after="0" w:line="250"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62" w:lineRule="exact"/>
        <w:rPr>
          <w:rFonts w:ascii="Times New Roman" w:cs="Times New Roman" w:eastAsia="Times New Roman" w:hAnsi="Times New Roman"/>
          <w:sz w:val="18"/>
          <w:szCs w:val="18"/>
          <w:color w:val="auto"/>
        </w:rPr>
      </w:pPr>
    </w:p>
    <w:p>
      <w:pPr>
        <w:ind w:left="1300" w:right="180" w:hanging="644"/>
        <w:spacing w:after="0" w:line="250"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spacing w:after="0" w:line="163" w:lineRule="exact"/>
        <w:rPr>
          <w:rFonts w:ascii="Times New Roman" w:cs="Times New Roman" w:eastAsia="Times New Roman" w:hAnsi="Times New Roman"/>
          <w:sz w:val="18"/>
          <w:szCs w:val="18"/>
          <w:color w:val="auto"/>
        </w:rPr>
      </w:pPr>
    </w:p>
    <w:p>
      <w:pPr>
        <w:ind w:left="1300" w:right="60" w:hanging="644"/>
        <w:spacing w:after="0" w:line="250"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3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on our billings, revenue, operating margins and free cash flow;</w:t>
      </w:r>
    </w:p>
    <w:p>
      <w:pPr>
        <w:spacing w:after="0" w:line="198" w:lineRule="exact"/>
        <w:rPr>
          <w:rFonts w:ascii="Times New Roman" w:cs="Times New Roman" w:eastAsia="Times New Roman" w:hAnsi="Times New Roman"/>
          <w:sz w:val="18"/>
          <w:szCs w:val="18"/>
          <w:color w:val="auto"/>
        </w:rPr>
      </w:pPr>
    </w:p>
    <w:p>
      <w:pPr>
        <w:ind w:left="1300" w:right="62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right="10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189"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and hosted services and the uncertainty associated with transitioning to providing such services;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19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48"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9"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93" w:lineRule="exact"/>
        <w:rPr>
          <w:rFonts w:ascii="Times New Roman" w:cs="Times New Roman" w:eastAsia="Times New Roman" w:hAnsi="Times New Roman"/>
          <w:sz w:val="18"/>
          <w:szCs w:val="18"/>
          <w:color w:val="auto"/>
        </w:rPr>
      </w:pPr>
    </w:p>
    <w:p>
      <w:pPr>
        <w:ind w:left="1300" w:right="60" w:hanging="644"/>
        <w:spacing w:after="0" w:line="250"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such as that caused by the war in Ukraine, the Israel-Hamas war, tensions between China and Taiwan, and any disruption or negative impact on our ability to sell to, ship product to and support customers in certain regions based on trade restrictions, embargoes and export control law restrictions;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2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9"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89"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manufacture.</w:t>
      </w:r>
    </w:p>
    <w:p>
      <w:pPr>
        <w:spacing w:after="0" w:line="1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20"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increasing or decreasing interest rates, reduced information technology spending, including firewall and other security spending, or any economic downturn or recession, may adversely impact our business.</w:t>
      </w:r>
    </w:p>
    <w:p>
      <w:pPr>
        <w:spacing w:after="0" w:line="161"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increasing or decreasing interest rates, geopolitical instability and uncertainty, a reduction in information technology spending regardless of macroeconomic conditions, the effects of epidemics and pandemics and the impact of the war in Ukraine and the Israel-Hamas war each could have a material adverse impacts on our financial condition and results of</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12"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increasing or decreasing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and our operating margins may decline.</w:t>
      </w:r>
    </w:p>
    <w:p>
      <w:pPr>
        <w:spacing w:after="0" w:line="21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 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changing interest rates, the war in Ukraine and the Israel-Hamas war,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2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acquisition or leasing of new data centers, data center expansions or office buildings, could involve significant risks to our business.</w:t>
      </w:r>
    </w:p>
    <w:p>
      <w:pPr>
        <w:spacing w:after="0" w:line="172"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08"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issues and geological problems;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ESG;</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260" w:hanging="644"/>
        <w:spacing w:after="0" w:line="266"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500" w:firstLine="648"/>
        <w:spacing w:after="0" w:line="245"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208"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4"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0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27% of our total net accounts receivable as of September 30, 2024.</w:t>
      </w:r>
    </w:p>
    <w:p>
      <w:pPr>
        <w:spacing w:after="0" w:line="167"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0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Six distributor customers accounted for 65% of our total net accounts receivable in the aggregate as of September 30, 2024. See Note 15. Segment Information in Part I, Item 1 of this Quarterly Report on Form 10-Q for distributor customers that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08" w:lineRule="exact"/>
        <w:rPr>
          <w:sz w:val="20"/>
          <w:szCs w:val="20"/>
          <w:color w:val="auto"/>
        </w:rPr>
      </w:pPr>
    </w:p>
    <w:p>
      <w:pPr>
        <w:jc w:val="both"/>
        <w:ind w:right="220" w:firstLine="648"/>
        <w:spacing w:after="0" w:line="256" w:lineRule="auto"/>
        <w:rPr>
          <w:sz w:val="20"/>
          <w:szCs w:val="20"/>
          <w:color w:val="auto"/>
        </w:rPr>
      </w:pPr>
      <w:r>
        <w:rPr>
          <w:rFonts w:ascii="Times New Roman" w:cs="Times New Roman" w:eastAsia="Times New Roman" w:hAnsi="Times New Roman"/>
          <w:sz w:val="17"/>
          <w:szCs w:val="17"/>
          <w:color w:val="auto"/>
        </w:rPr>
        <w:t>We provide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1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2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or changes in shipping terms could cause our billings and revenue to fall below expected levels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00"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50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189"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or widespread public health problems including pandemics and epidemics;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9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19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 and FortiCare technical support service contracts decline, our revenue and revenue growth may decrease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ratably over the term of the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Aruba Networks, LLC, Check Point Software Technologies Ltd., Cisco Systems, Inc. (“Cisco”), CrowdStrike Holdings, Inc. (“CrowdStrike”), F5 Networks, Inc., Huawei Technologies Co., Ltd., Juniper Networks, Inc., Palo Alto Networks, Inc., SonicWALL, Inc., Sophos Group Plc, and Zscaler, Inc. (“Zscaler”).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185"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198"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0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December 2023, our Chief Revenue Officer announced his upcoming retirement after 19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and may incur other debt in the future, which may adversely affect our financial condition and future financial results.</w:t>
      </w:r>
    </w:p>
    <w:p>
      <w:pPr>
        <w:spacing w:after="0" w:line="243" w:lineRule="exact"/>
        <w:rPr>
          <w:sz w:val="20"/>
          <w:szCs w:val="20"/>
          <w:color w:val="auto"/>
        </w:rPr>
      </w:pPr>
    </w:p>
    <w:p>
      <w:pPr>
        <w:jc w:val="both"/>
        <w:ind w:right="280"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2024, we had an aggregate of $993.8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4"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2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4"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45"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4" w:lineRule="exact"/>
        <w:rPr>
          <w:sz w:val="20"/>
          <w:szCs w:val="20"/>
          <w:color w:val="auto"/>
        </w:rPr>
      </w:pPr>
    </w:p>
    <w:p>
      <w:pPr>
        <w:ind w:left="1300" w:right="140" w:hanging="644"/>
        <w:spacing w:after="0" w:line="24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and the Israel-Hamas war or tensions between China and Taiwan, and critical infrastructure attacks;</w:t>
      </w:r>
    </w:p>
    <w:p>
      <w:pPr>
        <w:spacing w:after="0" w:line="211" w:lineRule="exact"/>
        <w:rPr>
          <w:rFonts w:ascii="Times New Roman" w:cs="Times New Roman" w:eastAsia="Times New Roman" w:hAnsi="Times New Roman"/>
          <w:sz w:val="18"/>
          <w:szCs w:val="18"/>
          <w:color w:val="auto"/>
        </w:rPr>
      </w:pPr>
    </w:p>
    <w:p>
      <w:pPr>
        <w:ind w:left="1300" w:right="180" w:hanging="644"/>
        <w:spacing w:after="0" w:line="250"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03"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changes in trade agreements and conflicts such as the war in Ukraine and the Israel-Hamas war, tensions between China and Taiwan and any expansions thereof, could adversely affect our business and financial performance;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4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foreign markets, such as any economic instability caused by economic downturns or recessions, could adversely affect our business and financial performance;</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(“IP”) rights in some countries;</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9" w:lineRule="exact"/>
        <w:rPr>
          <w:rFonts w:ascii="Times New Roman" w:cs="Times New Roman" w:eastAsia="Times New Roman" w:hAnsi="Times New Roman"/>
          <w:sz w:val="18"/>
          <w:szCs w:val="18"/>
          <w:color w:val="auto"/>
        </w:rPr>
      </w:pPr>
    </w:p>
    <w:p>
      <w:pPr>
        <w:ind w:left="1300" w:right="94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48" w:lineRule="exact"/>
        <w:rPr>
          <w:rFonts w:ascii="Times New Roman" w:cs="Times New Roman" w:eastAsia="Times New Roman" w:hAnsi="Times New Roman"/>
          <w:sz w:val="18"/>
          <w:szCs w:val="18"/>
          <w:color w:val="auto"/>
        </w:rPr>
      </w:pPr>
    </w:p>
    <w:p>
      <w:pPr>
        <w:ind w:left="1300" w:right="80" w:hanging="644"/>
        <w:spacing w:after="0" w:line="245"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07"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9" w:lineRule="exact"/>
        <w:rPr>
          <w:rFonts w:ascii="Times New Roman" w:cs="Times New Roman" w:eastAsia="Times New Roman" w:hAnsi="Times New Roman"/>
          <w:sz w:val="18"/>
          <w:szCs w:val="18"/>
          <w:color w:val="auto"/>
        </w:rPr>
      </w:pPr>
    </w:p>
    <w:p>
      <w:pPr>
        <w:ind w:left="1300" w:right="200" w:hanging="644"/>
        <w:spacing w:after="0"/>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19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1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w:t>
      </w:r>
    </w:p>
    <w:p>
      <w:pPr>
        <w:sectPr>
          <w:pgSz w:w="11900" w:h="16838" w:orient="portrait"/>
          <w:cols w:equalWidth="0" w:num="1">
            <w:col w:w="11200"/>
          </w:cols>
          <w:pgMar w:left="320" w:top="279" w:right="3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45"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3" w:lineRule="exact"/>
        <w:rPr>
          <w:sz w:val="20"/>
          <w:szCs w:val="20"/>
          <w:color w:val="auto"/>
        </w:rPr>
      </w:pPr>
    </w:p>
    <w:p>
      <w:pPr>
        <w:ind w:left="1300" w:right="160" w:hanging="644"/>
        <w:spacing w:after="0" w:line="26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38"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63" w:lineRule="exact"/>
        <w:rPr>
          <w:rFonts w:ascii="Times New Roman" w:cs="Times New Roman" w:eastAsia="Times New Roman" w:hAnsi="Times New Roman"/>
          <w:sz w:val="18"/>
          <w:szCs w:val="18"/>
          <w:color w:val="auto"/>
        </w:rPr>
      </w:pPr>
    </w:p>
    <w:p>
      <w:pPr>
        <w:ind w:left="1300" w:right="860" w:hanging="644"/>
        <w:spacing w:after="0" w:line="26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9"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19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fabric,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190"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213"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their own supply chain and contractual requirements, challenges and risks.</w:t>
      </w:r>
    </w:p>
    <w:p>
      <w:pPr>
        <w:spacing w:after="0" w:line="185"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1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right="200" w:hanging="644"/>
        <w:spacing w:after="0" w:line="250"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3"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40" w:hanging="644"/>
        <w:spacing w:after="0" w:line="245"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and the Israel-Hamas war,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8"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12"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0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Services, Industry and Customers</w:t>
      </w:r>
    </w:p>
    <w:p>
      <w:pPr>
        <w:spacing w:after="0" w:line="25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 our products or services, the failure of our products or services to detect or prevent a security incident or the misuse of our products could harm our and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operational results and reputation.</w:t>
      </w:r>
    </w:p>
    <w:p>
      <w:pPr>
        <w:spacing w:after="0" w:line="17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For example, we recently discovered, and subsequently released to customers an advisory update and patch for, a critical vulnerability in our FortiManager product. We are subject to various risks due to the FortiManager vulnerability, including reputational harm, adverse impacts to customer relationships, potential litigation, and additional regulatory scrutiny, which could negatively impact our business, operating results and financial condition. There can be no assurance that posts on our FortiGuard Labs website, including with respect to the recently announced FortiManager vulnerability, will be sufficiently timely, accurate or complete or that those customers will take steps to mitigate the risk of vulnerabilities, and certain customers may be negatively impacted. Additionally, any perception that our products have vulnerabilities, whether or not accurate, and any actual vulnerabilities may harm our operational results and reputation, more significantly as compared to other companies in other industries.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operational results and reputation. We cannot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4" w:lineRule="exact"/>
        <w:rPr>
          <w:sz w:val="20"/>
          <w:szCs w:val="20"/>
          <w:color w:val="auto"/>
        </w:rPr>
      </w:pPr>
    </w:p>
    <w:p>
      <w:pPr>
        <w:ind w:left="1300" w:right="120" w:hanging="644"/>
        <w:spacing w:after="0" w:line="266"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198" w:lineRule="exact"/>
        <w:rPr>
          <w:rFonts w:ascii="Times New Roman" w:cs="Times New Roman" w:eastAsia="Times New Roman" w:hAnsi="Times New Roman"/>
          <w:sz w:val="18"/>
          <w:szCs w:val="18"/>
          <w:color w:val="auto"/>
        </w:rPr>
      </w:pPr>
    </w:p>
    <w:p>
      <w:pPr>
        <w:ind w:left="1300" w:right="640" w:hanging="644"/>
        <w:spacing w:after="0" w:line="250"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w:t>
      </w:r>
    </w:p>
    <w:p>
      <w:pPr>
        <w:spacing w:after="0" w:line="2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connect to customers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vendors and partners systems and provide services, or our research and development networks, our back-end labs and cloud stacks hosted in our data centers,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1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artificial intelligence (“AI”), and malicious parties may use AI to help attack our solutions, systems, and our customers.</w:t>
      </w:r>
    </w:p>
    <w:p>
      <w:pPr>
        <w:spacing w:after="0" w:line="211"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For example, recently, an individual gained unauthorized access to a limited number of files stored on our instance of a third-party cloud-based shared file drive, which included limited data related to a small percentage of our customers. We do not currently believe that this incident was material as a result of our assessment of various factors, including, but not limited to, because (i) our operations, products, and services have not been impacted, and (ii) we have identified no evidence of additional access to any other of our resources. As a result, we have not experienced, and do not currently believe that the incident is reasonably likely to have, a material impact to our financial condition, operating results or business. However, we remain subject to various risks due to the incident and its impact, including reputational harm, adverse impacts to customer relationships, potential litigation, and additional regulatory scrutiny. We have also, for example, discovered that unauthorized parties have targeted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0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22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both product shortages, which may result in lost sales and higher expenses, and excess inventory, which may require us to sell our products at discounts and lead to inventory charges or write-offs.</w:t>
      </w:r>
    </w:p>
    <w:p>
      <w:pPr>
        <w:spacing w:after="0" w:line="18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labor disruption, cyber events, international trade disputes, international conflicts, terrorism, wars or other foreign conflicts, such as the war in Ukraine and the Israel-Hamas war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have in some instances and may in the future require us to accept or pay for components and finished goods regardless of our level of sales in a particular period, which may negatively impact our operating results and financial condition. For additional information and a further discussion of impacts and risks related to our purchase commitments with our suppliers, refer to Note 11. Commitments and Contingencies in Part I, Item 1 of this Quarterly Report on Form 10-Q.</w:t>
      </w:r>
    </w:p>
    <w:p>
      <w:pPr>
        <w:spacing w:after="0" w:line="19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2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198"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2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1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7"/>
          <w:szCs w:val="17"/>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w:t>
      </w:r>
    </w:p>
    <w:p>
      <w:pPr>
        <w:spacing w:after="0" w:line="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4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2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additionally third-party manufacturing cost increases and changes in the geopolitical environment could result in lower gross margins and free cash flow.</w:t>
      </w:r>
    </w:p>
    <w:p>
      <w:pPr>
        <w:spacing w:after="0" w:line="188"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international conflicts, terrorism, wars or other foreign conflicts, such as the war in Ukraine and the Israel-Hamas war or tensions between China and Taiwan,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90% of our hardware is manufactured in Taiwan. Any increase in tensions between China and Taiwan, including threats of military actions or escalation of military activities, could adversely affect our manufacturing operations in Taiwan.</w:t>
      </w:r>
    </w:p>
    <w:p>
      <w:pPr>
        <w:spacing w:after="0" w:line="17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72"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models to us, or requires us to find an alternate supplier and we are not able to do so on a timely and reasonable basis, or if these foundries materially increase their prices for fabrication of our ASICs, our business would be harmed.</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2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CPUs from Intel and Advanced Micro Devices, Inc. (“AMD”), network and wireless chips from Broadcom, Marvell, Qualcomm and Intel, and memory devices from Intel, Micron, ADATA, Toshiba, Samsung and Western Digital.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14"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198"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7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incidents or false identification of spam or spyware could adversely affect our business.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heuristics, machine learning (“ML”) or artificial intelligence (“AI”) features in our products, which attempt to identify viruses and other threats not based on any known signatures but based on characteristics or anomalies that may indicate that a particular item is a threat.</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7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Microsoft Azure, Amazon Web Services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25"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(EDI).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1"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14" w:lineRule="exact"/>
        <w:rPr>
          <w:sz w:val="20"/>
          <w:szCs w:val="20"/>
          <w:color w:val="auto"/>
        </w:rPr>
      </w:pPr>
    </w:p>
    <w:p>
      <w:pPr>
        <w:ind w:right="460" w:firstLine="648"/>
        <w:spacing w:after="0" w:line="242" w:lineRule="auto"/>
        <w:rPr>
          <w:sz w:val="20"/>
          <w:szCs w:val="20"/>
          <w:color w:val="auto"/>
        </w:rPr>
      </w:pPr>
      <w:r>
        <w:rPr>
          <w:rFonts w:ascii="Times New Roman" w:cs="Times New Roman" w:eastAsia="Times New Roman" w:hAnsi="Times New Roman"/>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12" w:lineRule="exact"/>
        <w:rPr>
          <w:sz w:val="20"/>
          <w:szCs w:val="20"/>
          <w:color w:val="auto"/>
        </w:rPr>
      </w:pPr>
    </w:p>
    <w:p>
      <w:pPr>
        <w:jc w:val="both"/>
        <w:ind w:right="40" w:firstLine="648"/>
        <w:spacing w:after="0" w:line="239"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1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r>
        <w:rPr>
          <w:rFonts w:ascii="Times New Roman" w:cs="Times New Roman" w:eastAsia="Times New Roman" w:hAnsi="Times New Roman"/>
          <w:sz w:val="21"/>
          <w:szCs w:val="21"/>
          <w:b w:val="1"/>
          <w:bCs w:val="1"/>
          <w:i w:val="1"/>
          <w:iCs w:val="1"/>
          <w:color w:val="008080"/>
        </w:rPr>
        <w:t>.</w:t>
      </w:r>
    </w:p>
    <w:p>
      <w:pPr>
        <w:spacing w:after="0" w:line="24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machine learning technology into our solutions, as evidenced by our acquisition of Lacework.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 could impair our ability to compete effectively and adversely affect our financial results. Data practices by us or others that result in controversy could also impair the acceptance of AI solutions. This in turn could undermine confidence in the decisions, predictions, analysis, and effectiveness of our AI-related initiatives. 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(hallucinations) or flawed, or contains copyrighted or other protected material, and if our customers or others use this flawed content to their detriment,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1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w:t>
      </w:r>
    </w:p>
    <w:p>
      <w:pPr>
        <w:spacing w:after="0" w:line="14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1"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50"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3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88"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spacing w:after="0" w:line="21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 results of certain businesses that we invest in, such as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18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Linksys sells predominantly into the consumer Wi-Fi market, and its sales have declined since our investment. Because we are accounting for our Linksys investment using the equity method of accounting, we are required to assess the investment for other-than-temporary impairment (“OTTI”) when events or circumstances suggest that the carrying amount of the investment may be impaired. We analyze whether there should be an OTTI of the value of our investment in Linksys. In evaluating OTTI, we consider factors such as Linksys’ financial results and operating history, our ability and intent to hold the investment until its fair value recovers, the implied revenue valuation multiples compared to guideline public companies, Linksys’ ability to achieve milestones and any notable operational and strategic changes. We intend to continue to analyze our investment in Linksys to determine whether any further impairment is appropriate. If any further decline in fair value is determined to be other-than-temporary, we will adjust the carrying value of the investment to its fair value and record the impairment expense in our condensed consolidated statements of income. The cost basis of the investment is not adjusted for subsequent recoveries in fair value. We may experience additional volatility to our statements of operations due to the underlying operating results of Linksys, impairments of our Linksys investment or additional investments in Linksys. This volatility could be material to our results in any given quarter and may cause our stock price to decline.</w:t>
      </w:r>
    </w:p>
    <w:p>
      <w:pPr>
        <w:spacing w:after="0" w:line="22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7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following certain changes to U.S. law intended to address the concerns underlying that court decision with respect to transfers of personal data to the United States. As of September 2024,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14"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53"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7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2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72"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commerce, could adversely affect our financial condition and results of operations as could the continuing uncertainty regarding whether such actions will be taken.</w:t>
      </w:r>
    </w:p>
    <w:p>
      <w:pPr>
        <w:spacing w:after="0" w:line="18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goods imported from China.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1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2"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7"/>
          <w:szCs w:val="17"/>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 Similar laws and regulations have been passed or are pending in the European Economic Area and the UK.</w:t>
      </w:r>
    </w:p>
    <w:p>
      <w:pPr>
        <w:spacing w:after="0" w:line="197" w:lineRule="exact"/>
        <w:rPr>
          <w:sz w:val="20"/>
          <w:szCs w:val="20"/>
          <w:color w:val="auto"/>
        </w:rPr>
      </w:pPr>
    </w:p>
    <w:p>
      <w:pPr>
        <w:jc w:val="both"/>
        <w:ind w:right="400" w:firstLine="648"/>
        <w:spacing w:after="0" w:line="250" w:lineRule="auto"/>
        <w:rPr>
          <w:sz w:val="20"/>
          <w:szCs w:val="20"/>
          <w:color w:val="auto"/>
        </w:rPr>
      </w:pPr>
      <w:r>
        <w:rPr>
          <w:rFonts w:ascii="Times New Roman" w:cs="Times New Roman" w:eastAsia="Times New Roman" w:hAnsi="Times New Roman"/>
          <w:sz w:val="18"/>
          <w:szCs w:val="18"/>
          <w:color w:val="auto"/>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18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2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72"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For example, in 2023, California passed three separate climate bills governing disclosure of greenhouse gas emissions data, climate-related financials risks and details around emissions-related claims and carbon offsets.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ESG standards set by various constituencies.</w:t>
      </w:r>
    </w:p>
    <w:p>
      <w:pPr>
        <w:spacing w:after="0" w:line="21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ESG matters, such as our commitment to target Net-Zero on Scope 1 and Scope 2 emissions resulting from our owned facilities worldwide by 2030 or our commitment to the Paris Agreement via the Science Based Targets Initiative,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adopted a rule that requires climate disclosures in periodic and other filings with the SEC covering fiscal years beginning in 2025, which rule has been stayed pending the completion of a judicial review. To comply with this SEC rule, if such rule goes into effect in their current form,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3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2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72" w:lineRule="exact"/>
        <w:rPr>
          <w:sz w:val="20"/>
          <w:szCs w:val="20"/>
          <w:color w:val="auto"/>
        </w:rPr>
      </w:pPr>
    </w:p>
    <w:p>
      <w:pPr>
        <w:ind w:right="160" w:firstLine="648"/>
        <w:spacing w:after="0" w:line="296"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6"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9" w:lineRule="exact"/>
        <w:rPr>
          <w:rFonts w:ascii="Times New Roman" w:cs="Times New Roman" w:eastAsia="Times New Roman" w:hAnsi="Times New Roman"/>
          <w:sz w:val="18"/>
          <w:szCs w:val="18"/>
          <w:color w:val="auto"/>
        </w:rPr>
      </w:pPr>
    </w:p>
    <w:p>
      <w:pPr>
        <w:ind w:left="1300" w:right="840" w:hanging="644"/>
        <w:spacing w:after="0" w:line="266"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1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4"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2"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2023, our internal controls over financial reporting were effective, we cannot predict the outcome of our testing in</w:t>
      </w:r>
    </w:p>
    <w:p>
      <w:pPr>
        <w:spacing w:after="0" w:line="1"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8"/>
          <w:szCs w:val="18"/>
          <w:color w:val="auto"/>
        </w:rPr>
        <w:t>2024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7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nine months ended September 30, 2024, the closing price of our common stock ranged from $55.39 to $77.55 per share.</w:t>
      </w:r>
    </w:p>
    <w:p>
      <w:pPr>
        <w:spacing w:after="0" w:line="19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67" w:lineRule="exact"/>
        <w:rPr>
          <w:sz w:val="20"/>
          <w:szCs w:val="20"/>
          <w:color w:val="auto"/>
        </w:rPr>
      </w:pPr>
    </w:p>
    <w:p>
      <w:pPr>
        <w:jc w:val="both"/>
        <w:ind w:right="680" w:firstLine="648"/>
        <w:spacing w:after="0" w:line="250"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1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share repurchase amount under the Repurchase Program, bringing the aggregate amount authorized to be repurchased to $7.25 billion of our outstanding common stock. In February 2024, our board of directors approved an extension of the Repurchase Program to February 28, 2025. As of September 30, 2024, approximately $1.03 billion remained available for future share repurchases. 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As of November 8, 2024, approximately $2.03 billion remained available for future share repurchases.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2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4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40" w:hanging="644"/>
        <w:spacing w:after="0" w:line="250" w:lineRule="auto"/>
        <w:tabs>
          <w:tab w:leader="none" w:pos="12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198" w:lineRule="exact"/>
        <w:rPr>
          <w:rFonts w:ascii="Times New Roman" w:cs="Times New Roman" w:eastAsia="Times New Roman" w:hAnsi="Times New Roman"/>
          <w:sz w:val="18"/>
          <w:szCs w:val="18"/>
          <w:color w:val="auto"/>
        </w:rPr>
      </w:pPr>
    </w:p>
    <w:p>
      <w:pPr>
        <w:ind w:left="1300" w:right="480" w:hanging="644"/>
        <w:spacing w:after="0" w:line="266"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6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instability, changes in trade agreements and conflicts such as the war in Ukraine and the Israel-Hamas war could adversely affect our business and financial performance.</w:t>
      </w:r>
    </w:p>
    <w:p>
      <w:pPr>
        <w:spacing w:after="0" w:line="17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7"/>
          <w:szCs w:val="17"/>
          <w:color w:val="auto"/>
        </w:rPr>
        <w:t>Economic uncertainty in various global markets caused by political instability and conflict, such as the war in Ukraine and the Israel-Hamas war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2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changing interest rates, changes to government spending and regulations, and weakening product demand could adversely affect our business and financial performance.</w:t>
      </w:r>
    </w:p>
    <w:p>
      <w:pPr>
        <w:spacing w:after="0" w:line="172"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Economic challenges caused by the economic downturn, any resulting recession, inflation or change in interest rates can weaken and harm our financial position.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18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the Israel-Hamas war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August 2024, we repurchased less than 0.1 million shares of common stock as part of publicly announced plan or program in open-market transactions at a weighted-average price of $54.99 per share. As of August 31, 2024, $1.03 billion remained available for future share repurchases under the Repurchase Program. We had no stock purchase in July or September 2024.</w:t>
      </w:r>
    </w:p>
    <w:p>
      <w:pPr>
        <w:spacing w:after="0" w:line="21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As of November 8, 2024, approximately $2.03 billion remained available for future share repurchases.</w:t>
      </w:r>
    </w:p>
    <w:p>
      <w:pPr>
        <w:spacing w:after="0" w:line="2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No director or Section 16 officer of the Company adopted or terminated a “Rule 10b5-1 trading arrangement” or “non-Rule 10b5-1 trading arrangement,” as each term is defined in Item 408(a) of Regulation S-K, during the three months ended September 30,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5"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61"/>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4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1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10-Q for the quarter ended September 30, 2024 is formatted in inline XBRL.</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9" w:lineRule="exact"/>
        <w:rPr>
          <w:sz w:val="20"/>
          <w:szCs w:val="20"/>
          <w:color w:val="auto"/>
        </w:rPr>
      </w:pPr>
    </w:p>
    <w:p>
      <w:pPr>
        <w:ind w:left="140" w:hanging="132"/>
        <w:spacing w:after="0"/>
        <w:tabs>
          <w:tab w:leader="none" w:pos="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ind w:left="100" w:hanging="92"/>
        <w:spacing w:after="0" w:line="195" w:lineRule="auto"/>
        <w:tabs>
          <w:tab w:leader="none" w:pos="10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9" w:right="6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383"/>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 Xie</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 Xie, Chief Executive Officer and Chairman</w:t>
            </w:r>
          </w:p>
        </w:tc>
        <w:tc>
          <w:tcPr>
            <w:tcW w:w="0" w:type="dxa"/>
            <w:vAlign w:val="bottom"/>
          </w:tcPr>
          <w:p>
            <w:pPr>
              <w:spacing w:after="0"/>
              <w:rPr>
                <w:sz w:val="1"/>
                <w:szCs w:val="1"/>
                <w:color w:val="auto"/>
              </w:rPr>
            </w:pPr>
          </w:p>
        </w:tc>
      </w:tr>
      <w:tr>
        <w:trPr>
          <w:trHeight w:val="302"/>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Executive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Keith Jensen</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Keith Jensen, Chief Financial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Financial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Christiane Ohlgart</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Christiane Ohlgart, Chief Accounting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279" w:right="35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September 30, 2024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940" w:type="dxa"/>
            <w:vAlign w:val="bottom"/>
          </w:tcPr>
          <w:p>
            <w:pPr>
              <w:spacing w:after="0"/>
              <w:rPr>
                <w:sz w:val="15"/>
                <w:szCs w:val="15"/>
                <w:color w:val="auto"/>
              </w:rPr>
            </w:pPr>
          </w:p>
        </w:tc>
        <w:tc>
          <w:tcPr>
            <w:tcW w:w="268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9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Quarterly Report on Form 10-Q of Fortinet, Inc. for the quarter ended September 30, 2024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26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940" w:type="dxa"/>
            <w:vAlign w:val="bottom"/>
          </w:tcPr>
          <w:p>
            <w:pPr>
              <w:spacing w:after="0"/>
              <w:rPr>
                <w:sz w:val="15"/>
                <w:szCs w:val="15"/>
                <w:color w:val="auto"/>
              </w:rPr>
            </w:pPr>
          </w:p>
        </w:tc>
        <w:tc>
          <w:tcPr>
            <w:tcW w:w="268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decimal"/>
      <w:start w:val="7"/>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8"/>
    </w:lvl>
  </w:abstractNum>
  <w:abstractNum w:abstractNumId="11">
    <w:nsid w:val="737B8DDC"/>
    <w:multiLevelType w:val="hybridMultilevel"/>
    <w:lvl w:ilvl="0">
      <w:lvlJc w:val="left"/>
      <w:lvlText w:val="%1."/>
      <w:numFmt w:val="decimal"/>
      <w:start w:val="9"/>
    </w:lvl>
  </w:abstractNum>
  <w:abstractNum w:abstractNumId="12">
    <w:nsid w:val="6CEAF087"/>
    <w:multiLevelType w:val="hybridMultilevel"/>
    <w:lvl w:ilvl="0">
      <w:lvlJc w:val="left"/>
      <w:lvlText w:val="%1."/>
      <w:numFmt w:val="decimal"/>
      <w:start w:val="10"/>
    </w:lvl>
  </w:abstractNum>
  <w:abstractNum w:abstractNumId="13">
    <w:nsid w:val="22221A70"/>
    <w:multiLevelType w:val="hybridMultilevel"/>
    <w:lvl w:ilvl="0">
      <w:lvlJc w:val="left"/>
      <w:lvlText w:val="%1."/>
      <w:numFmt w:val="decimal"/>
      <w:start w:val="11"/>
    </w:lvl>
  </w:abstractNum>
  <w:abstractNum w:abstractNumId="14">
    <w:nsid w:val="4516DDE9"/>
    <w:multiLevelType w:val="hybridMultilevel"/>
    <w:lvl w:ilvl="0">
      <w:lvlJc w:val="left"/>
      <w:lvlText w:val="%1."/>
      <w:numFmt w:val="decimal"/>
      <w:start w:val="12"/>
    </w:lvl>
  </w:abstractNum>
  <w:abstractNum w:abstractNumId="15">
    <w:nsid w:val="3006C83E"/>
    <w:multiLevelType w:val="hybridMultilevel"/>
    <w:lvl w:ilvl="0">
      <w:lvlJc w:val="left"/>
      <w:lvlText w:val="%1."/>
      <w:numFmt w:val="decimal"/>
      <w:start w:val="14"/>
    </w:lvl>
  </w:abstractNum>
  <w:abstractNum w:abstractNumId="16">
    <w:nsid w:val="614FD4A1"/>
    <w:multiLevelType w:val="hybridMultilevel"/>
    <w:lvl w:ilvl="0">
      <w:lvlJc w:val="left"/>
      <w:lvlText w:val="%1."/>
      <w:numFmt w:val="decimal"/>
      <w:start w:val="15"/>
    </w:lvl>
  </w:abstractNum>
  <w:abstractNum w:abstractNumId="17">
    <w:nsid w:val="419AC241"/>
    <w:multiLevelType w:val="hybridMultilevel"/>
    <w:lvl w:ilvl="0">
      <w:lvlJc w:val="left"/>
      <w:lvlText w:val="%1."/>
      <w:numFmt w:val="decimal"/>
      <w:start w:val="16"/>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2024-11-08T15:17:34Z</dcterms:created>
  <dcterms:modified xsi:type="dcterms:W3CDTF">2024-11-08T15:17:34Z</dcterms:modified>
</cp:coreProperties>
</file>