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820" w:right="1680" w:hanging="3794"/>
        <w:spacing w:after="0" w:line="393" w:lineRule="auto"/>
        <w:tabs>
          <w:tab w:leader="none" w:pos="412"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20"/>
          </w:cols>
          <w:pgMar w:left="320" w:top="225" w:right="35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20"/>
          </w:cols>
          <w:pgMar w:left="320" w:top="225" w:right="359" w:bottom="1440" w:gutter="0" w:footer="0" w:header="0"/>
          <w:type w:val="continuous"/>
        </w:sectPr>
      </w:pPr>
    </w:p>
    <w:p>
      <w:pPr>
        <w:spacing w:after="0" w:line="128" w:lineRule="exact"/>
        <w:rPr>
          <w:sz w:val="24"/>
          <w:szCs w:val="24"/>
          <w:color w:val="auto"/>
        </w:rPr>
      </w:pPr>
    </w:p>
    <w:p>
      <w:pPr>
        <w:ind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60"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20"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firstLine="283"/>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12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May 4, 2026, there were 732,648,391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6240" w:type="dxa"/>
            <w:vAlign w:val="bottom"/>
            <w:gridSpan w:val="8"/>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4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506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5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60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18"/>
                <w:szCs w:val="18"/>
                <w:color w:val="auto"/>
              </w:rPr>
            </w:pPr>
          </w:p>
        </w:tc>
        <w:tc>
          <w:tcPr>
            <w:tcW w:w="834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8"/>
                <w:szCs w:val="18"/>
                <w:color w:val="auto"/>
              </w:rPr>
            </w:pPr>
          </w:p>
        </w:tc>
      </w:tr>
      <w:tr>
        <w:trPr>
          <w:trHeight w:val="1729"/>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24"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89"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such as a possible economic downturn or recession, and possible impacts of inflation or stagflation, tariffs, trade policies or other trade disruptions, geopolitical instability and conflicts, changing interest rates, changes in government spending or regulation or reduced information technology (“IT”) spending, including firewall spending, may adversely impact our business.</w:t>
      </w:r>
    </w:p>
    <w:p>
      <w:pPr>
        <w:spacing w:after="0" w:line="184" w:lineRule="exact"/>
        <w:rPr>
          <w:rFonts w:ascii="Times New Roman" w:cs="Times New Roman" w:eastAsia="Times New Roman" w:hAnsi="Times New Roman"/>
          <w:sz w:val="17"/>
          <w:szCs w:val="17"/>
          <w:color w:val="auto"/>
        </w:rPr>
      </w:pPr>
    </w:p>
    <w:p>
      <w:pPr>
        <w:ind w:left="1300" w:right="12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are currently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02" w:lineRule="exact"/>
        <w:rPr>
          <w:rFonts w:ascii="Times New Roman" w:cs="Times New Roman" w:eastAsia="Times New Roman" w:hAnsi="Times New Roman"/>
          <w:sz w:val="18"/>
          <w:szCs w:val="18"/>
          <w:color w:val="auto"/>
        </w:rPr>
      </w:pPr>
    </w:p>
    <w:p>
      <w:pPr>
        <w:ind w:left="1300" w:right="2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prior periods of supply chain disruption, including during the COVID-19 pandemic, we increased our purchase order commitments. Similar conditions could arise in the future, which may require us to accept or pay for components and finished goods regardless of our level of sales in a particular period, which may negatively or unpredictably impact our operating results and financial condition.</w:t>
      </w:r>
    </w:p>
    <w:p>
      <w:pPr>
        <w:spacing w:after="0" w:line="206"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including our product and service billings and revenue, may slow, and our operating margins may decline, particularly if our billings and revenue do not improve or grow as anticipated, or if customer demand, renewal rates, pricing, competitive dynamics, implementation timing, cost structure, or macroeconomic conditions adversely affect our business, which could negatively impact our financial condition and results of operations.</w:t>
      </w:r>
    </w:p>
    <w:p>
      <w:pPr>
        <w:spacing w:after="0" w:line="206"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improvements, leasing activity, and ongoing maintenance and management of office buildings, warehouses, data centers and points of presence (“PoPs”), as well as data center operations, expansions or enhancements, could involve significant risks to our business.</w:t>
      </w:r>
    </w:p>
    <w:p>
      <w:pPr>
        <w:spacing w:after="0" w:line="202"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hiring and retention, and execution could negatively impact our results of operations.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88"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 a large percentage of our revenue and accounts receivable.</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or changes in shipping terms could cause our billings and revenue to fall below expected levels.</w:t>
      </w:r>
    </w:p>
    <w:p>
      <w:pPr>
        <w:spacing w:after="0" w:line="188"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and other security subscriptions and FortiCare technical support services. Revenue generated from these services may decline or fluctuate in manners that could adversely impact our results of operations.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52"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 Our Product Security Incident Response Team publicly posts on our FortiGuard Labs website</w:t>
      </w:r>
    </w:p>
    <w:p>
      <w:pPr>
        <w:sectPr>
          <w:pgSz w:w="11900" w:h="16838" w:orient="portrait"/>
          <w:cols w:equalWidth="0" w:num="1">
            <w:col w:w="11200"/>
          </w:cols>
          <w:pgMar w:left="320" w:top="873"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4" w:name="page5"/>
    <w:bookmarkEnd w:id="4"/>
    <w:p>
      <w:pPr>
        <w:ind w:left="320" w:right="60"/>
        <w:spacing w:after="0" w:line="266" w:lineRule="auto"/>
        <w:rPr>
          <w:sz w:val="20"/>
          <w:szCs w:val="20"/>
          <w:color w:val="auto"/>
        </w:rPr>
      </w:pPr>
      <w:r>
        <w:rPr>
          <w:rFonts w:ascii="Times New Roman" w:cs="Times New Roman" w:eastAsia="Times New Roman" w:hAnsi="Times New Roman"/>
          <w:sz w:val="18"/>
          <w:szCs w:val="18"/>
          <w:color w:val="auto"/>
        </w:rPr>
        <w:t>known product vulnerabilities, including critical vulnerabilities, and methods for customers to mitigate the risk of vulnerabilities. However, there can be no assurance that such posts will be sufficiently timely, accurate or complete or that those customers will see such posts or take steps to mitigate the risk of vulnerabilities, and certain customers may be negatively impacted.</w:t>
      </w:r>
    </w:p>
    <w:p>
      <w:pPr>
        <w:spacing w:after="0" w:line="203" w:lineRule="exact"/>
        <w:rPr>
          <w:sz w:val="20"/>
          <w:szCs w:val="20"/>
          <w:color w:val="auto"/>
        </w:rPr>
      </w:pPr>
    </w:p>
    <w:p>
      <w:pPr>
        <w:ind w:left="320" w:right="20" w:hanging="320"/>
        <w:spacing w:after="0" w:line="26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enterprise IT networks, our operational networks, our research and development networks, our back-end labs and cloud stacks hosted in our data centers or PoPs,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spacing w:after="0" w:line="206" w:lineRule="exact"/>
        <w:rPr>
          <w:rFonts w:ascii="Times New Roman" w:cs="Times New Roman" w:eastAsia="Times New Roman" w:hAnsi="Times New Roman"/>
          <w:sz w:val="18"/>
          <w:szCs w:val="18"/>
          <w:color w:val="auto"/>
        </w:rPr>
      </w:pPr>
    </w:p>
    <w:p>
      <w:pPr>
        <w:ind w:left="320" w:right="38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88" w:lineRule="exact"/>
        <w:rPr>
          <w:rFonts w:ascii="Times New Roman" w:cs="Times New Roman" w:eastAsia="Times New Roman" w:hAnsi="Times New Roman"/>
          <w:sz w:val="18"/>
          <w:szCs w:val="18"/>
          <w:color w:val="auto"/>
        </w:rPr>
      </w:pPr>
    </w:p>
    <w:p>
      <w:pPr>
        <w:ind w:left="320" w:right="32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the majority of our billings, revenue and cash flow from sales outside of the United States, which may expose us to risks associated with international operations and may adversely affect our business, financial condition and results of operations.</w:t>
      </w:r>
    </w:p>
    <w:p>
      <w:pPr>
        <w:spacing w:after="0" w:line="188" w:lineRule="exact"/>
        <w:rPr>
          <w:rFonts w:ascii="Times New Roman" w:cs="Times New Roman" w:eastAsia="Times New Roman" w:hAnsi="Times New Roman"/>
          <w:sz w:val="18"/>
          <w:szCs w:val="18"/>
          <w:color w:val="auto"/>
        </w:rPr>
      </w:pPr>
    </w:p>
    <w:p>
      <w:pPr>
        <w:ind w:left="320" w:hanging="320"/>
        <w:spacing w:after="0" w:line="289" w:lineRule="auto"/>
        <w:tabs>
          <w:tab w:leader="none" w:pos="3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84" w:lineRule="exact"/>
        <w:rPr>
          <w:rFonts w:ascii="Times New Roman" w:cs="Times New Roman" w:eastAsia="Times New Roman" w:hAnsi="Times New Roman"/>
          <w:sz w:val="17"/>
          <w:szCs w:val="17"/>
          <w:color w:val="auto"/>
        </w:rPr>
      </w:pPr>
    </w:p>
    <w:p>
      <w:pPr>
        <w:ind w:left="320" w:hanging="32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52" w:lineRule="exact"/>
        <w:rPr>
          <w:rFonts w:ascii="Times New Roman" w:cs="Times New Roman" w:eastAsia="Times New Roman" w:hAnsi="Times New Roman"/>
          <w:sz w:val="18"/>
          <w:szCs w:val="18"/>
          <w:color w:val="auto"/>
        </w:rPr>
      </w:pPr>
    </w:p>
    <w:p>
      <w:pPr>
        <w:jc w:val="both"/>
        <w:ind w:left="320" w:right="40" w:hanging="320"/>
        <w:spacing w:after="0" w:line="266"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organizations and other adjacent customers, which are subject to regulatory requirements, their own supply chain constraints and contractual requirements, challenges and risks, including impacts from geopolitical dynamics.</w:t>
      </w:r>
    </w:p>
    <w:p>
      <w:pPr>
        <w:spacing w:after="0" w:line="202" w:lineRule="exact"/>
        <w:rPr>
          <w:rFonts w:ascii="Times New Roman" w:cs="Times New Roman" w:eastAsia="Times New Roman" w:hAnsi="Times New Roman"/>
          <w:sz w:val="18"/>
          <w:szCs w:val="18"/>
          <w:color w:val="auto"/>
        </w:rPr>
      </w:pPr>
    </w:p>
    <w:p>
      <w:pPr>
        <w:ind w:left="320" w:right="20" w:hanging="320"/>
        <w:spacing w:after="0" w:line="26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and finished goods from third-party manufacturers based on our forecasts of future demand and targeted inventory levels, which exposes us to the risk of product shortages, tariffs, may result in lost sales, higher expenses and inventory excesses which may lead to inventory charges and costs related to future purchase commitments, possibly requiring us to sell our products at discounts or offer various other incentives.</w:t>
      </w:r>
    </w:p>
    <w:p>
      <w:pPr>
        <w:spacing w:after="0" w:line="206" w:lineRule="exact"/>
        <w:rPr>
          <w:rFonts w:ascii="Times New Roman" w:cs="Times New Roman" w:eastAsia="Times New Roman" w:hAnsi="Times New Roman"/>
          <w:sz w:val="18"/>
          <w:szCs w:val="18"/>
          <w:color w:val="auto"/>
        </w:rPr>
      </w:pPr>
    </w:p>
    <w:p>
      <w:pPr>
        <w:ind w:left="320" w:right="16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cost increases, and changes in the geopolitical environment.</w:t>
      </w:r>
    </w:p>
    <w:p>
      <w:pPr>
        <w:spacing w:after="0" w:line="188" w:lineRule="exact"/>
        <w:rPr>
          <w:rFonts w:ascii="Times New Roman" w:cs="Times New Roman" w:eastAsia="Times New Roman" w:hAnsi="Times New Roman"/>
          <w:sz w:val="18"/>
          <w:szCs w:val="18"/>
          <w:color w:val="auto"/>
        </w:rPr>
      </w:pPr>
    </w:p>
    <w:p>
      <w:pPr>
        <w:jc w:val="both"/>
        <w:ind w:left="320" w:right="540" w:hanging="320"/>
        <w:spacing w:after="0" w:line="266"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202" w:lineRule="exact"/>
        <w:rPr>
          <w:rFonts w:ascii="Times New Roman" w:cs="Times New Roman" w:eastAsia="Times New Roman" w:hAnsi="Times New Roman"/>
          <w:sz w:val="18"/>
          <w:szCs w:val="18"/>
          <w:color w:val="auto"/>
        </w:rPr>
      </w:pPr>
    </w:p>
    <w:p>
      <w:pPr>
        <w:ind w:left="320" w:right="22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activists’ and regulators’ expectations of our investments and performance relating to operational sustainability factors may impose additional costs and expose us to new risks.</w:t>
      </w:r>
    </w:p>
    <w:p>
      <w:pPr>
        <w:spacing w:after="0" w:line="188" w:lineRule="exact"/>
        <w:rPr>
          <w:rFonts w:ascii="Times New Roman" w:cs="Times New Roman" w:eastAsia="Times New Roman" w:hAnsi="Times New Roman"/>
          <w:sz w:val="18"/>
          <w:szCs w:val="18"/>
          <w:color w:val="auto"/>
        </w:rPr>
      </w:pPr>
    </w:p>
    <w:p>
      <w:pPr>
        <w:ind w:left="320" w:right="82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188" w:lineRule="exact"/>
        <w:rPr>
          <w:rFonts w:ascii="Times New Roman" w:cs="Times New Roman" w:eastAsia="Times New Roman" w:hAnsi="Times New Roman"/>
          <w:sz w:val="18"/>
          <w:szCs w:val="18"/>
          <w:color w:val="auto"/>
        </w:rPr>
      </w:pPr>
    </w:p>
    <w:p>
      <w:pPr>
        <w:ind w:left="320" w:right="84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188" w:lineRule="exact"/>
        <w:rPr>
          <w:rFonts w:ascii="Times New Roman" w:cs="Times New Roman" w:eastAsia="Times New Roman" w:hAnsi="Times New Roman"/>
          <w:sz w:val="18"/>
          <w:szCs w:val="18"/>
          <w:color w:val="auto"/>
        </w:rPr>
      </w:pPr>
    </w:p>
    <w:p>
      <w:pPr>
        <w:ind w:left="320" w:right="52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88" w:lineRule="exact"/>
        <w:rPr>
          <w:rFonts w:ascii="Times New Roman" w:cs="Times New Roman" w:eastAsia="Times New Roman" w:hAnsi="Times New Roman"/>
          <w:sz w:val="18"/>
          <w:szCs w:val="18"/>
          <w:color w:val="auto"/>
        </w:rPr>
      </w:pPr>
    </w:p>
    <w:p>
      <w:pPr>
        <w:ind w:left="320" w:right="140" w:hanging="320"/>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00" w:top="891" w:right="359" w:bottom="1440" w:gutter="0" w:footer="0" w:header="0"/>
        </w:sectPr>
      </w:pPr>
    </w:p>
    <w:bookmarkStart w:id="5" w:name="page6"/>
    <w:bookmarkEnd w:id="5"/>
    <w:p>
      <w:pPr>
        <w:ind w:left="320" w:hanging="320"/>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can weaken and harm our financial position.</w:t>
      </w:r>
    </w:p>
    <w:p>
      <w:pPr>
        <w:spacing w:after="0" w:line="252" w:lineRule="exact"/>
        <w:rPr>
          <w:rFonts w:ascii="Times New Roman" w:cs="Times New Roman" w:eastAsia="Times New Roman" w:hAnsi="Times New Roman"/>
          <w:sz w:val="18"/>
          <w:szCs w:val="18"/>
          <w:color w:val="auto"/>
        </w:rPr>
      </w:pPr>
    </w:p>
    <w:p>
      <w:pPr>
        <w:ind w:left="320" w:hanging="320"/>
        <w:spacing w:after="0" w:line="266"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Weakening product demand caused by geopolitical instability, changes in trade agreements, wars and foreign conflicts, such as the war in Ukraine, tensions between China and Taiwan or conflicts in the Middle East, could adversely affect our business and financial performance.</w:t>
      </w:r>
    </w:p>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300" w:top="1134"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5,900.2</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9,151.7</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734.0 and 743.0 shares issued and outstanding</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March 31, 2026 and December 31, 2025, respectively</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1,770.1</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10,389.2</w:t>
            </w:r>
          </w:p>
        </w:tc>
      </w:tr>
      <w:tr>
        <w:trPr>
          <w:trHeight w:val="21"/>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8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6"/>
                <w:szCs w:val="16"/>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GAIN (LOSS) FROM EQUITY METHOD INVESTMENTS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(Note 8):</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3"/>
                <w:szCs w:val="13"/>
                <w:color w:val="auto"/>
              </w:rPr>
            </w:pPr>
          </w:p>
        </w:tc>
        <w:tc>
          <w:tcPr>
            <w:tcW w:w="1240" w:type="dxa"/>
            <w:vAlign w:val="bottom"/>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tax benefit related to items of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vMerge w:val="continue"/>
          </w:tcPr>
          <w:p>
            <w:pPr>
              <w:spacing w:after="0"/>
              <w:rPr>
                <w:sz w:val="14"/>
                <w:szCs w:val="14"/>
                <w:color w:val="auto"/>
              </w:rPr>
            </w:pP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184"/>
        </w:trPr>
        <w:tc>
          <w:tcPr>
            <w:tcW w:w="49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on net stock repurchases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BALANCE—March 31, 2026</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0" w:type="dxa"/>
            <w:vAlign w:val="bottom"/>
          </w:tcPr>
          <w:p>
            <w:pPr>
              <w:spacing w:after="0"/>
              <w:rPr>
                <w:sz w:val="1"/>
                <w:szCs w:val="1"/>
                <w:color w:val="auto"/>
              </w:rPr>
            </w:pPr>
          </w:p>
        </w:tc>
      </w:tr>
      <w:tr>
        <w:trPr>
          <w:trHeight w:val="184"/>
        </w:trPr>
        <w:tc>
          <w:tcPr>
            <w:tcW w:w="49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r>
              <w:rPr>
                <w:rFonts w:ascii="Times New Roman" w:cs="Times New Roman" w:eastAsia="Times New Roman" w:hAnsi="Times New Roman"/>
                <w:sz w:val="18"/>
                <w:szCs w:val="18"/>
                <w:u w:val="single" w:color="auto"/>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18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discounts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Sales of investments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6"/>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Repayment of senior notes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3,596.6</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and equipment from inventory to property and equipment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Liability incurred for repurchase of common stock</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Excise tax payable on net stock repurchase</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2025, contained in our Annual Report on Form 10-K filed with the SEC on February 25, 2026. In the opinion of management, all adjustments, which include normal recurring adjustments, considered necessary for a fair presentation, have been included. The results of operations for the three months ended March 31, 2026 are not necessarily indicative of the results to be expected for the full year or for any future periods. The condensed consolidated balance sheet as of December 31, 2025 is derived from the audited consolidated financial statements for the year ended December 31, 2025.</w:t>
      </w:r>
    </w:p>
    <w:p>
      <w:pPr>
        <w:spacing w:after="0" w:line="20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As of March 31, 2026, the functional currency of our foreign subsidiaries is the U.S. dollar. Effective January 1, 2026, the Company transitioned the functional currency of one of its subsidiaries to the U.S. dollar following its full operational integration. We consolidate all legal entities in which we have an absolute controlling financial interest. All intercompany balances and transactions have been eliminated in consolidation.</w:t>
      </w:r>
    </w:p>
    <w:p>
      <w:pPr>
        <w:spacing w:after="0" w:line="225"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three months ended March 31, 2026, as compared to the significant accounting policies described in our Annual Report on Form 10-K for the fiscal year ended December 31, 2025 filed with the SEC.</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Adopted Accounting Standards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4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July 2025, the Financial Accounting Standards Board (the “FASB”) issued Accounting Standards Update (“ASU”) 2025-05—Financial Instruments—Credit Losses (Topic 326): Measurement of Credit Losses for Accounts Receivable and Contract Assets (“ASU 2025-05”), which provides a practical expedient for estimating expected credit losses for current accounts receivable and current contract assets that arise from transactions accounted for under Revenue from Contracts with Customers (Topic 606). The amendments are effective for our annual reporting periods beginning with fiscal year 2026 and interim reporting periods within those annual reporting periods on a prospective basis, with early adoption permitted. We adopted ASU 2025-05 on January 1, 2026 and the adoption of this standard did not have a material impact on our condensed consolidated financial statements.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Disaggregation Disclosures</w:t>
      </w:r>
    </w:p>
    <w:p>
      <w:pPr>
        <w:spacing w:after="0" w:line="22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enhances the disclosures required for expense disaggregation in our annual and interim consolidated financial statements. The amendments are effective for our annual reporting periods beginning fiscal year 2027 and our interim reporting periods beginning in fiscal year 2028, with early adoption permitted, and can be applied prospectively or retrospectively. We are currently evaluating the ASU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41"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which amends the cost capitalization criteria for internal-use software development costs by removing all references to prescriptive and sequential software project development stages and providing new guidance on how to evaluate whether the probable-to-complete recognition threshold has been met. The amendments are effective for our annual periods beginning fiscal year 2028 and interim reporting periods within those annual reporting periods and can be applied prospectively, retrospectively, or via a modified prospective transition method, with early adoption permitted. We are currently assessing adoption timing and the method of adoption.</w:t>
      </w:r>
    </w:p>
    <w:p>
      <w:pPr>
        <w:spacing w:after="0" w:line="20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9"/>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3"/>
                <w:szCs w:val="13"/>
                <w:color w:val="auto"/>
              </w:rPr>
            </w:pPr>
          </w:p>
        </w:tc>
        <w:tc>
          <w:tcPr>
            <w:tcW w:w="1240" w:type="dxa"/>
            <w:vAlign w:val="bottom"/>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23"/>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service revenue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$1.09 billion and $972.5 million in revenue that was included in the deferred revenue balance as of December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remaining performance obligations was $7.45 billion, which was substantially comprised of deferred security subscription and technical support services revenue as well as unbilled contract revenue from non-cancellable contracts that will be recognized in future periods. We expect to recognize approximately $3.76 billion as revenue over the next 12 months, $2.94 billion in years two and three, and the remainder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of deferred contract costs, primarily consisting of sales commissions earned by our sales force, was $94.2 million and $78.0 million during the three months ended March 31, 2026 and 2025,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short-term and long-term investments comprised of available-for-sale investments and marketable equity securities. The following tables summarize our short-term and long-term investments (in millions):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49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33"/>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3"/>
        </w:trPr>
        <w:tc>
          <w:tcPr>
            <w:tcW w:w="49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r>
      <w:tr>
        <w:trPr>
          <w:trHeight w:val="214"/>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48"/>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672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The contractual maturities of our available-for-sale investments were (in millions):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4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1,041.6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48"/>
        </w:trPr>
        <w:tc>
          <w:tcPr>
            <w:tcW w:w="4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3"/>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1,381.3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not material in the periods presented.</w:t>
      </w:r>
    </w:p>
    <w:p>
      <w:pPr>
        <w:spacing w:after="0" w:line="239"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Gains and losses on our marketable equity securities are recorded in other income—net on the condensed consolidated statements of income. During the three months ended March 31, 2026, we sold certain marketable equity securities for net proceeds of $115.9 million, for which we recognized net gains of $50.7 million during the period. We had no sales of marketable equity securities during the three months ended March 31, 2025. During the three months ended March 31, 2026 and 2025, we recognized a $3.6 million and $14.7 million unrealized loss, respectively, related to the changes in the fair value of our marketable equity securities still held at the reporting date.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our financial assets measured at fair value on a recurring basis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Total short-term investments</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months ended March 31, 2026 and year ended December 31, 2025.</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32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0"/>
        </w:trPr>
        <w:tc>
          <w:tcPr>
            <w:tcW w:w="7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excess and obsolete inventory reserve was $125.3 million and $137.5 million as of March 31, 2026 and December 31, 2025, respectively. Inventory write-downs related to excess and obsolete inventory were immaterial during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three months ended March 31, 2026 and 2025, respectively. These were recorded in cost of product revenue on the condensed consolidated statements of income.</w:t>
      </w: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3"/>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w:t>
            </w:r>
          </w:p>
        </w:tc>
      </w:tr>
      <w:tr>
        <w:trPr>
          <w:trHeight w:val="21"/>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we purchased certain real estate property in the United States totaling $47.1 million, to be used for future development to expand our data center and office space. The purchase was accounted for under the asset acquisition method, with $45.1 million allocated to land and $2.0 million allocated to buildings and improvements, based on their relative fair values.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$29.5 million and $24.0 million during the three months ended March 31, 2026 and 2025, respectively.</w:t>
      </w:r>
    </w:p>
    <w:p>
      <w:pPr>
        <w:spacing w:after="0" w:line="24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Linksys Holdings, Inc.</w:t>
      </w:r>
    </w:p>
    <w:p>
      <w:pPr>
        <w:spacing w:after="0" w:line="25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2021, we invested $160.0 million in cash for shares of the Series A Preferred Stock of Linksys for a 50.8% ownership interest in the outstanding equity of Linksys. On January 31, 2025 (“Linksys Acquisition Date”), we acquired all of the remaining outstanding Series A Preferred Stock of Linksys for $20.8 million in cash and now own 100% of the outstanding equity of Linksys. Our pre-existing equity method investment in Linksys of 50.8% ownership interest was remeasured to the fair value of $21.5 million at the Linksys Acquisition Date, which resulted in a $10.8 million gain recorded in gain (loss) from equity method investments on the condensed consolidated statements of income. Therefore, the aggregate purchase consideration for Linksys’ equity equaling the fair value of the previously owned stock and the purchase price for the remaining stock acquired was $42.3 million.</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Of the aggregate purchase price,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million was allocated to identifiable intangible assets acquired, and $64.7 million was allocated to other net assets acquired which predominantly</w:t>
      </w:r>
    </w:p>
    <w:p>
      <w:pPr>
        <w:spacing w:after="0"/>
        <w:rPr>
          <w:sz w:val="20"/>
          <w:szCs w:val="20"/>
          <w:color w:val="auto"/>
        </w:rPr>
      </w:pPr>
      <w:r>
        <w:rPr>
          <w:rFonts w:ascii="Times New Roman" w:cs="Times New Roman" w:eastAsia="Times New Roman" w:hAnsi="Times New Roman"/>
          <w:sz w:val="18"/>
          <w:szCs w:val="18"/>
          <w:color w:val="auto"/>
        </w:rPr>
        <w:t>included deferred tax asset of $45.8 million, inventory of $21.4 million, and cash of $8.8 million, offset by $11.3 million of net other assets and liabilities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The excess of the fair values of the net assets acquired over the net purchase consideration was recorded as a gain on bargain purchase of</w:t>
      </w:r>
    </w:p>
    <w:p>
      <w:pPr>
        <w:spacing w:after="0" w:line="234" w:lineRule="auto"/>
        <w:rPr>
          <w:sz w:val="20"/>
          <w:szCs w:val="20"/>
          <w:color w:val="auto"/>
        </w:rPr>
      </w:pPr>
      <w:r>
        <w:rPr>
          <w:rFonts w:ascii="Times New Roman" w:cs="Times New Roman" w:eastAsia="Times New Roman" w:hAnsi="Times New Roman"/>
          <w:sz w:val="18"/>
          <w:szCs w:val="18"/>
          <w:color w:val="auto"/>
        </w:rPr>
        <w:t>$39.9 million within other income—net on the condensed consolidated statements of income. The gain on bargain purchase occurred primarily due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of the deferred tax assets, which were comprised primarily of pre-acquisition federal net operating loss carryforwards with an indefinite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 period. In addition, we had previously recorded a deferred tax asset of $30.6 million for an outside basis difference in our investment in</w:t>
      </w:r>
    </w:p>
    <w:p>
      <w:pPr>
        <w:spacing w:after="0" w:line="234" w:lineRule="auto"/>
        <w:rPr>
          <w:sz w:val="20"/>
          <w:szCs w:val="20"/>
          <w:color w:val="auto"/>
        </w:rPr>
      </w:pPr>
      <w:r>
        <w:rPr>
          <w:rFonts w:ascii="Times New Roman" w:cs="Times New Roman" w:eastAsia="Times New Roman" w:hAnsi="Times New Roman"/>
          <w:sz w:val="18"/>
          <w:szCs w:val="18"/>
          <w:color w:val="auto"/>
        </w:rPr>
        <w:t>Linksys when it was accounted for under the equity method. As a result of the acquisition of the remaining shares, we now account for our investment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Linksys under the consolidation method, and therefore we have derecognized this deferred tax asset. The charge is included in the provision for income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on the condensed consolidated statements of income. Acquisition-related costs related to this acquisition were not material and were recorded as</w:t>
      </w: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4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2025, we completed other acquisitions for total purchase consideration of $38.3 million in cash. We have accounted for the transactions as business combinations and recorded goodwill of $21.9 million, among which $8.6 million of goodwill is expected to be deductible and $13.3 million of goodwill is not deductible for income tax purposes. Acquisition-related costs were not material and were recorded as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acquisition-related information</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operating results of the acquired companies are included in our condensed consolidated statements of income from the respective dates of acquisition. Acquisition-related costs related to each acquisition were not material. The operating results of the acquired companies were not material in the period presented. Pro forma information has not been presented, as the impact of these acquisitions, individually and in the aggregate, in each period were not material to our condensed consolidated financial statements.</w:t>
      </w:r>
    </w:p>
    <w:p>
      <w:pPr>
        <w:spacing w:after="0" w:line="20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had goodwill of $257.4 million. There were no impairments to goodwill during the three months ended March 31, 2026 or during prior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29"/>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$10.3 million and $11.8 million during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 (the remainder of 2026)</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25"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3"/>
                <w:szCs w:val="13"/>
                <w:color w:val="auto"/>
              </w:rPr>
            </w:pPr>
          </w:p>
        </w:tc>
        <w:tc>
          <w:tcPr>
            <w:tcW w:w="1260" w:type="dxa"/>
            <w:vAlign w:val="bottom"/>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PSUs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180" w:type="dxa"/>
            <w:vAlign w:val="bottom"/>
            <w:tcBorders>
              <w:top w:val="single" w:sz="8" w:color="auto"/>
            </w:tcBorders>
          </w:tcPr>
          <w:p>
            <w:pPr>
              <w:ind w:left="420"/>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13"/>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9280" w:type="dxa"/>
            <w:vAlign w:val="bottom"/>
            <w:gridSpan w:val="2"/>
          </w:tcPr>
          <w:p>
            <w:pPr>
              <w:ind w:left="87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
        </w:trPr>
        <w:tc>
          <w:tcPr>
            <w:tcW w:w="8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1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maturity on March 15, 2026, we repaid the full $500.0 million aggregate principal amount of the 2026 Senior Notes.</w:t>
      </w:r>
    </w:p>
    <w:p>
      <w:pPr>
        <w:spacing w:after="0" w:line="239"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We may redeem the 2031 Senior Notes at any time in whole or in part for cash, at specified redemption prices that include accrued and unpaid interest, if any, and a make-whole premium. However, no make-whole premium will be paid for redemptions of the 2031 Senior Notes on or after December 15, 2030. Interest on the Senior Notes is payable on March 15 and September 15 of each year, beginning on September 15, 2021. The Senior Notes were recorded net of discount and issuance costs, which are amortized to interest expense over the respective contractual terms of these notes using the effective interest method.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As of March 31, 2026 and December 31, 2025, we accrued interest payable of $0.5 million and $4.7 million, respectively, and there are no financial covenants with which we must comply. During the three months ended March 31, 2026 and 2025, we recorded $4.2 million and $4.5 million of total interest expense in relation to these Senior Notes in each period, respectively. No interest costs were capitalized for the three months ended March 31, 2026 and 2025, as the costs that qualified for capitalization were not material.</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2031 Senior Notes was approximately $445.2 million, including accrued and unpaid interest, as of March 31, 2026.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March 31, 2026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42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bl>
    <w:p>
      <w:pPr>
        <w:spacing w:after="0" w:line="30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15"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As of March 31, 2026, we had $1.37 billion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March 31, 2026 and December 31, 2025, the liability for these inventory purchase commitments was $27.2 million and $26.7 million, respectively, and was recorded in accrued liabilities on our condensed consolidated balance sheets. The expense related to such accrued liability for inventory purchase commitments is recorded in cost of product revenue on the condensed consolidated statements of income. The expense related to such accrued liability for inventory purchase commitments was immaterial and a $4.5 million benefit during the three months ended March 31, 2026 and 2025, respectively.</w:t>
      </w:r>
    </w:p>
    <w:p>
      <w:pPr>
        <w:spacing w:after="0" w:line="226"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March 31, 2026, we had $127.8 million in other contractual commitments having a remaining term in excess of one year that are non-cancelable.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had $70.4 million in contractual commitments related to payments for operating leases.</w:t>
      </w:r>
    </w:p>
    <w:p>
      <w:pPr>
        <w:spacing w:after="0" w:line="235"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subject to legal proceedings arising in the ordinary course of business. We record accruals for litigation contingencies when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is probable and reasonably estimable, based on management’s assessment of the expected outcome and currently available information. As of March 31, 2026 and December 31, 2025, litigation loss contingency accruals associated with outstanding matters were not material.</w:t>
      </w:r>
    </w:p>
    <w:p>
      <w:pPr>
        <w:spacing w:after="0" w:line="20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On September 22, 2025, a securities class action was filed against us, our chief executive officer, our chief technology officer, our current chief financial officer and our former chief financial officer in the United States District Court, Northern District of California, captioned Oklahoma Firefighters Pension and Retirement System v. Fortinet, Inc., et al., Case No. 3:25-cv-08037. On October 16, 2025, a securities class action was filed against us, our chief executive Officer, our current chief financial officer and our former chief financial officer in the same court, captioned State of Rhode Island Office of the General Treasurer v. Fortinet, Inc., et al., Case No. 3:25-cv-08888. These suits are brought on behalf of an alleged class of stockholders who purchased or acquired shares of our common stock between November 8, 2024 through August 6, 2025. The complaints allege that defendants made false or misleading statements about our business, operations and prospects, including regarding the 2026 firewall refresh cycle, and purport to assert claims under Sections 10(b) and 20(a) of the Exchange Act. The court subsequently consolidated these actions under a new caption, In re Fortinet, Inc. Securities Litigation, Lead Case No. 3:25-cv-08037 (the “Consolidated Securities Class Action”), and appointed a lead plaintiff and lead counsel. A consolidated amended complaint was filed on April 24, 2026, which asserts claims under Section 10(b), 20(a) and 20A of the Exchange Act against our chief executive officer, our chief technology officer, our current chief financial officer, and our former chief financial officer relating to the same events and circumstances alleged in the initial complaints, and adds a Section 10(b) claim against our head of investor relations. The Consolidated Securities Class Action seeks damages, attorneys fees and costs, and other relief that the court may deem appropriate. The time to respond to the consolidated amended complaint has not yet passed. We believe the Consolidated Securities Class Action is without merit and intend to defend the suit vigorously. Based on the preliminary nature of the proceedings in the Consolidated Securities Class Action, the outcome of that matter remains uncertain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and we cannot estimate the potential impact, if any, on our business or financial statements at this time. Accordingly, no loss accrual was recorded as of March 31, 2026 related to this litigation.</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On October 8, 2025, Plaintiff Jack Pittrof filed a stockholder derivative complaint against us as a nominal defendant and certain of our current and former directors and officers in the United States District Court for the Northern District of California, captioned Pittrof v. Xie, et al., Case No. 3:2025-cv-08592 (“Pittrof”). The complaint alleges claims based on events similar to those in the securities class action and asserts causes of action against the individual defendants for breach of fiduciary duty, aiding and abetting breach of fiduciary duty, unjust enrichment, waste of corporate assets, and for violations of Section 10(b) of the Exchange Act. On November 5, 2025, Plaintiff Michael J. Marrinan filed a stockholder derivative complaint against us as a nominal defendant and certain of our current and former directors and officers in the United States District Court for the Northern District of California, captioned Marrinan v. Xie, et al., Case No. 3:25-cv-09546 (“Marrinan”). The complaint alleges claims based on events similar to those in the securities class action and asserts causes of action against the individual defendants for breach of fiduciary duty, unjust enrichment, insider trading, gross mismanagement, waste of corporate assets, violations of California Corporations Code §§ 24400, 25500, et. seq., and violations of Section 10(b) of the Exchange Act. On November 6, 2025, Plaintiff Bryan Foster filed a stockholder derivative complaint against us as a nominal defendant and certain of our current and former directors and officers in the United States District Court for the Northern District of California, captioned Foster v. Xie, et al., Case No. 3:25-cv-09611 (“Foster”). The complaint alleges claims based on events similar to those in the securities class action and asserts causes of action against the individual defendants for breach of fiduciary duty, unjust enrichment, abuse of control, gross mismanagement, waste of corporate assets, for violations of Section 10(b), 14(a), and 20(a) of the Exchange Act, and for contribution under Section 21D of the Exchange Act. On December 2, 2025, Plaintiff LR Trust filed a stockholder derivative complaint against us as a nominal defendant and certain of our current and former directors and officers in the United States District Court for the Northern District of California, captioned LR Trust v. Xie, et al., Case No. 3:25-cv-10350 (“LR Trust,” together with Pittrof, Marrinan, and Foster, the “Derivative Actions”). The complaint alleges claims based on events similar to those in the securities class action and asserts causes of action against the individual defendants for breach of fiduciary duty, unjust enrichment, insider trading, aiding and abetting, violations of Sections 10(b) and 14(a) of the Exchange Act, and for contribution under Section 21D of the Exchange Act. On behalf of the Company, the Derivative Actions seek damages, disgorgement, remedial actions, restitution, and attorneys’ fees and costs. The Derivative Actions have been consolidated under a new caption, In re Fortinet, Inc. Stockholder Derivative Litigation, Lead Case No. 3:2025-cv-08592 (the “Consolidated Derivative Action”). On April 2, 2026, the Court stayed all proceedings in the Consolidated Derivative Action pending the final resolution of the Consolidated Securities Class Action.</w:t>
      </w:r>
    </w:p>
    <w:p>
      <w:pPr>
        <w:spacing w:after="0" w:line="212"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alleged breach of warranty and misrepresentation claims, which we denied. After trial, a jury returned a verdict fully in favor of us and against Alorica on October 4, 2024. Alorica has filed a notice of appeal. We believe that the ultimate outcome of this matter will not materially impact our financial position, results of operations or cash flows. However, any further legal proceedings, including Alorica’s appeal, would be subject to inherent uncertainties, and a future unfavorable ruling could occur. No loss accrual had been recorded as of March 31, 2026 or December 31, 2025 related to this litigation.</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—We enter into indemnification provisions in the ordinary course of business with other companies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customers, and vendors, where we agree to indemnify, hold harmless, and reimburse the 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Intellectual Property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6"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claims or proceedings related to these types of matters that we believe are likely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6060" w:hanging="652"/>
        <w:spacing w:after="0" w:line="534" w:lineRule="auto"/>
        <w:tabs>
          <w:tab w:leader="none" w:pos="4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PLANS AND SHARE REPURCHASE PROGRAM </w:t>
      </w:r>
      <w:r>
        <w:rPr>
          <w:rFonts w:ascii="Times New Roman" w:cs="Times New Roman" w:eastAsia="Times New Roman" w:hAnsi="Times New Roman"/>
          <w:sz w:val="18"/>
          <w:szCs w:val="18"/>
          <w:b w:val="1"/>
          <w:bCs w:val="1"/>
          <w:i w:val="1"/>
          <w:iCs w:val="1"/>
          <w:color w:val="auto"/>
        </w:rPr>
        <w:t>Stock-Based Compensation Plans</w:t>
      </w:r>
    </w:p>
    <w:p>
      <w:pPr>
        <w:spacing w:after="0" w:line="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stock options and PSUs. As of March 31, 2026, there were a total of 45.5 million shares of common stock available for grant under the Amended Plan.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Market/Performance-Based PSUs</w:t>
      </w:r>
    </w:p>
    <w:p>
      <w:pPr>
        <w:spacing w:after="0" w:line="243"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RSUs Outstanding</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66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right"/>
              <w:ind w:right="53"/>
              <w:spacing w:after="0" w:line="175" w:lineRule="exact"/>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6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230"/>
        </w:trPr>
        <w:tc>
          <w:tcPr>
            <w:tcW w:w="8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0" w:type="dxa"/>
            <w:vAlign w:val="bottom"/>
          </w:tcPr>
          <w:p>
            <w:pPr>
              <w:spacing w:after="0"/>
              <w:rPr>
                <w:sz w:val="1"/>
                <w:szCs w:val="1"/>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2026</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We grant RSUs under the Amended Plan to employees and non-employees. Subject to certain exceptions, RSUs vest generally over four years subject to continued service.</w:t>
      </w:r>
    </w:p>
    <w:p>
      <w:pPr>
        <w:spacing w:after="0" w:line="20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grant market/performance-based PSUs under the Amended Plan to certain of our executives. Based on the achievement of the market/performance-based vesting conditions during the applicable performance period for such PSUs,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12"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we granted approximately 0.1 million shares of PSU awards to certain of our executives, with a weighted-average grant date fair value of $103.01 and $168.93 per share, respectively. The grant date fair value of these awards was determined using a Monte Carlo simulation pricing model. The following table summarizes the weighted-average assumptions relating to our PSUs: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380" w:type="dxa"/>
            <w:vAlign w:val="bottom"/>
            <w:tcBorders>
              <w:bottom w:val="single" w:sz="8" w:color="auto"/>
            </w:tcBorders>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7860" w:type="dxa"/>
            <w:vAlign w:val="bottom"/>
          </w:tcPr>
          <w:p>
            <w:pPr>
              <w:spacing w:after="0"/>
              <w:rPr>
                <w:sz w:val="13"/>
                <w:szCs w:val="13"/>
                <w:color w:val="auto"/>
              </w:rPr>
            </w:pPr>
          </w:p>
        </w:tc>
        <w:tc>
          <w:tcPr>
            <w:tcW w:w="1740" w:type="dxa"/>
            <w:vAlign w:val="bottom"/>
            <w:gridSpan w:val="2"/>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4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Approximately 0.1 million and 0.2 million shares of PSUs vested during the three months ended March 31, 2026 and 2025, respectively. Less than 0.1 million shares of PSUs were forfeited during the three months ended March 31, 2026 and none of the PSUs were forfeited during the three months ended March 31, 2025.</w:t>
      </w:r>
    </w:p>
    <w:p>
      <w:pPr>
        <w:spacing w:after="0" w:line="20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while compensation expense for PSUs is recognized on a graded vesting method. As of March 31, 2026, total compensation expense related to unvested RSUs and PSUs that were granted to employees, non-employees and certain executives, but not yet recognized, was $665.7 million, with a weighted-average vesting period of 2.9 years and $29.8 million, with a weighted-average vesting period of 2.3 years,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RSUs and PSUs settle into shares of common stock upon vesting. Upon the vesting of the RSUs and PSUs, we net-settle the RSUs and PSUs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100" w:type="dxa"/>
            <w:vAlign w:val="bottom"/>
          </w:tcPr>
          <w:p>
            <w:pPr>
              <w:spacing w:after="0"/>
              <w:rPr>
                <w:sz w:val="13"/>
                <w:szCs w:val="13"/>
                <w:color w:val="auto"/>
              </w:rPr>
            </w:pPr>
          </w:p>
        </w:tc>
        <w:tc>
          <w:tcPr>
            <w:tcW w:w="1120" w:type="dxa"/>
            <w:vAlign w:val="bottom"/>
          </w:tcPr>
          <w:p>
            <w:pPr>
              <w:jc w:val="center"/>
              <w:ind w:left="337"/>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3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12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36.5</w:t>
            </w:r>
          </w:p>
        </w:tc>
        <w:tc>
          <w:tcPr>
            <w:tcW w:w="100" w:type="dxa"/>
            <w:vAlign w:val="bottom"/>
          </w:tcPr>
          <w:p>
            <w:pPr>
              <w:spacing w:after="0"/>
              <w:rPr>
                <w:sz w:val="20"/>
                <w:szCs w:val="20"/>
                <w:color w:val="auto"/>
              </w:rPr>
            </w:pP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53.8</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380" w:type="dxa"/>
            <w:vAlign w:val="bottom"/>
            <w:tcBorders>
              <w:bottom w:val="single" w:sz="8" w:color="auto"/>
            </w:tcBorders>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9"/>
        </w:trPr>
        <w:tc>
          <w:tcPr>
            <w:tcW w:w="7860" w:type="dxa"/>
            <w:vAlign w:val="bottom"/>
          </w:tcPr>
          <w:p>
            <w:pPr>
              <w:spacing w:after="0"/>
              <w:rPr>
                <w:sz w:val="13"/>
                <w:szCs w:val="13"/>
                <w:color w:val="auto"/>
              </w:rPr>
            </w:pPr>
          </w:p>
        </w:tc>
        <w:tc>
          <w:tcPr>
            <w:tcW w:w="1740" w:type="dxa"/>
            <w:vAlign w:val="bottom"/>
            <w:gridSpan w:val="2"/>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4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4"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vest—March 31, 2026</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exercisable—March 31,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at the date of the balance sheet for all in-the-money stock options. Stock compensation expense is recognized on a straight-line basis over the vesting period of each stock option. As of March 31, 2026, total compensation expense related to unvested stock options granted to employees but not yet recognized was $61.6 million, with a weighted-average remaining vesting period of 2.9 years.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3"/>
                <w:szCs w:val="13"/>
                <w:color w:val="auto"/>
              </w:rPr>
            </w:pPr>
          </w:p>
        </w:tc>
        <w:tc>
          <w:tcPr>
            <w:tcW w:w="1240" w:type="dxa"/>
            <w:vAlign w:val="bottom"/>
          </w:tcPr>
          <w:p>
            <w:pPr>
              <w:jc w:val="right"/>
              <w:ind w:right="314"/>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100" w:type="dxa"/>
            <w:vAlign w:val="bottom"/>
          </w:tcPr>
          <w:p>
            <w:pPr>
              <w:spacing w:after="0"/>
              <w:rPr>
                <w:sz w:val="13"/>
                <w:szCs w:val="13"/>
                <w:color w:val="auto"/>
              </w:rPr>
            </w:pPr>
          </w:p>
        </w:tc>
        <w:tc>
          <w:tcPr>
            <w:tcW w:w="1120" w:type="dxa"/>
            <w:vAlign w:val="bottom"/>
          </w:tcPr>
          <w:p>
            <w:pPr>
              <w:jc w:val="center"/>
              <w:ind w:left="33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8"/>
                <w:szCs w:val="18"/>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26.5</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w:t>
            </w:r>
          </w:p>
        </w:tc>
      </w:tr>
      <w:tr>
        <w:trPr>
          <w:trHeight w:val="223"/>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73.2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66.9</w:t>
            </w:r>
          </w:p>
        </w:tc>
      </w:tr>
      <w:tr>
        <w:trPr>
          <w:trHeight w:val="21"/>
        </w:trPr>
        <w:tc>
          <w:tcPr>
            <w:tcW w:w="8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529"/>
        </w:trPr>
        <w:tc>
          <w:tcPr>
            <w:tcW w:w="112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w:t>
            </w: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by award type (in millions):</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34"/>
        </w:trPr>
        <w:tc>
          <w:tcPr>
            <w:tcW w:w="81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24"/>
                <w:szCs w:val="24"/>
                <w:color w:val="auto"/>
              </w:rPr>
            </w:pPr>
          </w:p>
        </w:tc>
      </w:tr>
      <w:tr>
        <w:trPr>
          <w:trHeight w:val="158"/>
        </w:trPr>
        <w:tc>
          <w:tcPr>
            <w:tcW w:w="8100" w:type="dxa"/>
            <w:vAlign w:val="bottom"/>
          </w:tcPr>
          <w:p>
            <w:pPr>
              <w:spacing w:after="0"/>
              <w:rPr>
                <w:sz w:val="13"/>
                <w:szCs w:val="13"/>
                <w:color w:val="auto"/>
              </w:rPr>
            </w:pPr>
          </w:p>
        </w:tc>
        <w:tc>
          <w:tcPr>
            <w:tcW w:w="1120" w:type="dxa"/>
            <w:vAlign w:val="bottom"/>
          </w:tcPr>
          <w:p>
            <w:pPr>
              <w:jc w:val="center"/>
              <w:ind w:left="33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8"/>
                <w:szCs w:val="18"/>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56.3</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73.2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66.9</w:t>
            </w: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515"/>
        </w:trPr>
        <w:tc>
          <w:tcPr>
            <w:tcW w:w="112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(in</w:t>
            </w: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34"/>
        </w:trPr>
        <w:tc>
          <w:tcPr>
            <w:tcW w:w="81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24"/>
                <w:szCs w:val="24"/>
                <w:color w:val="auto"/>
              </w:rPr>
            </w:pPr>
          </w:p>
        </w:tc>
      </w:tr>
      <w:tr>
        <w:trPr>
          <w:trHeight w:val="159"/>
        </w:trPr>
        <w:tc>
          <w:tcPr>
            <w:tcW w:w="8100" w:type="dxa"/>
            <w:vAlign w:val="bottom"/>
          </w:tcPr>
          <w:p>
            <w:pPr>
              <w:spacing w:after="0"/>
              <w:rPr>
                <w:sz w:val="13"/>
                <w:szCs w:val="13"/>
                <w:color w:val="auto"/>
              </w:rPr>
            </w:pPr>
          </w:p>
        </w:tc>
        <w:tc>
          <w:tcPr>
            <w:tcW w:w="1120" w:type="dxa"/>
            <w:vAlign w:val="bottom"/>
          </w:tcPr>
          <w:p>
            <w:pPr>
              <w:jc w:val="center"/>
              <w:ind w:left="33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35"/>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00" w:type="dxa"/>
            <w:vAlign w:val="bottom"/>
          </w:tcPr>
          <w:p>
            <w:pPr>
              <w:spacing w:after="0"/>
              <w:rPr>
                <w:sz w:val="13"/>
                <w:szCs w:val="13"/>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8"/>
                <w:szCs w:val="18"/>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14.7</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January 2026, our board of directors approved a $1.0 billion increase in the authorized stock repurchase amount under the Repurchase Program, bringing the aggregate amount authorized for repurchases to $10.25 billion of our outstanding common stock through February 28, 2027.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10.6 million shares of our common stock under the Repurchase Program in open-market transactions, at a weighted-average price of $77.69 per share, for an aggregate purchase price of $826.9 million, which excludes a $7.0 million accrual related to the 1% excise tax imposed by the Inflation Reduction Act of 2022. As of March 31, 2026, approximately $911.7 million remained available for future share repurchases under the Repurchase Program.</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Our effective tax rate was 19% for the three months ended March 31, 2026, compared to an effective tax rate of 19% for the same period last year. The tax rates for the three months ended March 31, 2026 and 2025 were comprised of U.S. federal and state taxes, withholding taxes and foreign taxes that amounted to $166.6 million and $128.5 million, respectively. The tax rate for the three months ended March 31, 2026 included a tax benefit of</w:t>
      </w:r>
    </w:p>
    <w:p>
      <w:pPr>
        <w:spacing w:after="0" w:line="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$35.2 million from the Foreign-Derived Deduction Eligible Income (“FDDEI”) deduction, and excess tax benefits from stock-based compensation expense of $9.4 million. The tax rate for the three months ended March 31, 2025 included a tax provision of $30.6 million related to the derecognition of deferred tax assets from the business combination with Linksys, a tax benefit of $25.8 million from the FDDEI deduction, and excess tax benefits from stock-based compensation expense of $36.8 million.</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H.R. 1, an Act to Provide for Reconciliation Pursuant to Title II of House Concurrent Resolution 14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The income tax effects of the Act have been recognized in our provision for income taxes as of March 31, 2026.</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and December 31, 2025, unrecognized tax benefits were $91.7 million and $90.4 million, respectively. If recognized,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$74.9 million of the unrecognized tax benefits as of March 31, 2026 would favorably affect our effective tax rate. It is our policy to include accrued interest</w:t>
      </w:r>
    </w:p>
    <w:p>
      <w:pPr>
        <w:spacing w:after="0" w:line="234" w:lineRule="auto"/>
        <w:rPr>
          <w:sz w:val="20"/>
          <w:szCs w:val="20"/>
          <w:color w:val="auto"/>
        </w:rPr>
      </w:pPr>
      <w:r>
        <w:rPr>
          <w:rFonts w:ascii="Times New Roman" w:cs="Times New Roman" w:eastAsia="Times New Roman" w:hAnsi="Times New Roman"/>
          <w:sz w:val="18"/>
          <w:szCs w:val="18"/>
          <w:color w:val="auto"/>
        </w:rPr>
        <w:t>and penalties related to unrecognized tax benefits in income tax expense. As of March 31, 2026 and December 31, 2025, accrued interest and penalties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$13.3 million and $12.5 million, respectively.</w:t>
      </w:r>
    </w:p>
    <w:p>
      <w:pPr>
        <w:spacing w:after="0" w:line="23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2020 and by U.S. state and foreign tax authorities in our significant jurisdictions for tax years prior to 2016. We currently have ongoing tax audits in the United Kingdom, Canada, Germany and several other foreign jurisdictions. The focus of these audits is the inter-company profit allocation.</w:t>
      </w:r>
    </w:p>
    <w:p>
      <w:pPr>
        <w:spacing w:after="0" w:line="20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Internal Revenue Service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195"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In January 2026, the OECD released additional guidance related to the global minimum tax framework, including new safe harbors and potential exemptions for certain U.S.-based multinational companies, and continues to release additional guidance on these rules. Based on the enacted laws, BEPS Pillar Two has no impact to our effective tax rate or cash flows for the three months ended March 31, 2026. We will continue to evaluate the impact of these tax law changes on future reporting periods.</w:t>
      </w:r>
    </w:p>
    <w:p>
      <w:pPr>
        <w:spacing w:after="0" w:line="22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determined based on the financial information that is regularly reviewed by the Chief Operating Decision Maker (“CODM”) to allocate resources and assess performance. The Company’s CODM is our Chief Executive Officer, who reviews financial information presented on a consolidated basis, accompanied by information about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region for purposes of allocating resources and evaluating financial performance. We have one operating and reportable segment.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our reportable segment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98"/>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24"/>
                <w:szCs w:val="24"/>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6"/>
        </w:trPr>
        <w:tc>
          <w:tcPr>
            <w:tcW w:w="8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r>
      <w:tr>
        <w:trPr>
          <w:trHeight w:val="209"/>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30"/>
        </w:trPr>
        <w:tc>
          <w:tcPr>
            <w:tcW w:w="810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Adjusted sales and marketing expenses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2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Commission expense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9"/>
        </w:trPr>
        <w:tc>
          <w:tcPr>
            <w:tcW w:w="8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Other segment items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commission expense.</w:t>
      </w:r>
    </w:p>
    <w:p>
      <w:pPr>
        <w:spacing w:after="0" w:line="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 on intellectual property matters, interest income, interest expense, other income—net and gain (loss) from equity method investments.</w:t>
      </w:r>
    </w:p>
    <w:p>
      <w:pPr>
        <w:spacing w:after="0" w:line="21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493"/>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9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shd w:val="clear" w:color="auto" w:fill="CCEEFF"/>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2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EMEA</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The following distributor customers accounted for 10% or more of our revenue:</w:t>
      </w:r>
    </w:p>
    <w:p>
      <w:pPr>
        <w:spacing w:after="0" w:line="5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auto"/>
            </w:tcBorders>
          </w:tcPr>
          <w:p>
            <w:pPr>
              <w:jc w:val="center"/>
              <w:ind w:left="359"/>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904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1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9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distributor customers accounted for 10% or more of net accounts receivable: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904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220" w:type="dxa"/>
            <w:vAlign w:val="bottom"/>
            <w:tcBorders>
              <w:top w:val="single" w:sz="8" w:color="auto"/>
            </w:tcBorders>
            <w:gridSpan w:val="2"/>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less than 10%</w:t>
      </w:r>
    </w:p>
    <w:p>
      <w:pPr>
        <w:spacing w:after="0" w:line="253" w:lineRule="exact"/>
        <w:rPr>
          <w:sz w:val="20"/>
          <w:szCs w:val="20"/>
          <w:color w:val="auto"/>
        </w:rPr>
      </w:pPr>
    </w:p>
    <w:p>
      <w:pPr>
        <w:ind w:left="660" w:right="8520" w:hanging="652"/>
        <w:spacing w:after="0" w:line="549" w:lineRule="auto"/>
        <w:tabs>
          <w:tab w:leader="none" w:pos="462"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 </w:t>
      </w:r>
      <w:r>
        <w:rPr>
          <w:rFonts w:ascii="Times New Roman" w:cs="Times New Roman" w:eastAsia="Times New Roman" w:hAnsi="Times New Roman"/>
          <w:sz w:val="17"/>
          <w:szCs w:val="17"/>
          <w:b w:val="1"/>
          <w:bCs w:val="1"/>
          <w:i w:val="1"/>
          <w:iCs w:val="1"/>
          <w:color w:val="auto"/>
        </w:rPr>
        <w:t>Share Repurchase Program</w:t>
      </w:r>
    </w:p>
    <w:p>
      <w:pPr>
        <w:spacing w:after="0" w:line="1"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auto"/>
        </w:rPr>
        <w:t>Subsequent to March 31, 2026 and through the filing of this Quarterly Report on Form 10-Q, we repurchased 1.9 million shares of our common stock at an average price of $77.95 per share, for an aggregate purchase price of $145.9 million, under the Repurchase Program. As of the filing of this Quarterly Report on Form 10-Q, approximately $765.8 million remained available for future share repurchases through February 28, 2027 under the Repurchase Program.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320"/>
        <w:spacing w:after="0" w:line="284" w:lineRule="auto"/>
        <w:tabs>
          <w:tab w:leader="none" w:pos="129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280" w:hanging="320"/>
        <w:spacing w:after="0" w:line="284" w:lineRule="auto"/>
        <w:tabs>
          <w:tab w:leader="none" w:pos="129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tariffs or other trade disruptions, public health issues, wars, natural disasters and economic growth;</w:t>
      </w:r>
    </w:p>
    <w:p>
      <w:pPr>
        <w:spacing w:after="0" w:line="185"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government regulation and other policies;</w:t>
      </w:r>
    </w:p>
    <w:p>
      <w:pPr>
        <w:spacing w:after="0" w:line="252" w:lineRule="exact"/>
        <w:rPr>
          <w:rFonts w:ascii="Times New Roman" w:cs="Times New Roman" w:eastAsia="Times New Roman" w:hAnsi="Times New Roman"/>
          <w:sz w:val="18"/>
          <w:szCs w:val="18"/>
          <w:i w:val="1"/>
          <w:iCs w:val="1"/>
          <w:color w:val="auto"/>
        </w:rPr>
      </w:pPr>
    </w:p>
    <w:p>
      <w:pPr>
        <w:ind w:left="1300" w:right="560" w:hanging="320"/>
        <w:spacing w:after="0" w:line="268"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product and service offerings;</w:t>
      </w:r>
    </w:p>
    <w:p>
      <w:pPr>
        <w:spacing w:after="0" w:line="199"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100" w:hanging="320"/>
        <w:spacing w:after="0" w:line="284" w:lineRule="auto"/>
        <w:tabs>
          <w:tab w:leader="none" w:pos="129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including those related to cloud-based and Artificial Intelligence (“AI”)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140" w:hanging="320"/>
        <w:spacing w:after="0" w:line="284" w:lineRule="auto"/>
        <w:tabs>
          <w:tab w:leader="none" w:pos="129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(including constraints on the availability of memory chips),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current or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320"/>
        <w:spacing w:after="0" w:line="267" w:lineRule="auto"/>
        <w:tabs>
          <w:tab w:leader="none" w:pos="129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product revenue, service revenue and inventory related charges;</w:t>
      </w:r>
    </w:p>
    <w:p>
      <w:pPr>
        <w:spacing w:after="0" w:line="225" w:lineRule="exact"/>
        <w:rPr>
          <w:rFonts w:ascii="Times New Roman" w:cs="Times New Roman" w:eastAsia="Times New Roman" w:hAnsi="Times New Roman"/>
          <w:sz w:val="18"/>
          <w:szCs w:val="18"/>
          <w:color w:val="auto"/>
        </w:rPr>
      </w:pPr>
    </w:p>
    <w:p>
      <w:pPr>
        <w:ind w:left="1300" w:right="960" w:hanging="320"/>
        <w:spacing w:after="0" w:line="284"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sales and marketing expenses, research and development expenses, general and administrative expenses;</w:t>
      </w:r>
    </w:p>
    <w:p>
      <w:pPr>
        <w:sectPr>
          <w:pgSz w:w="11900" w:h="16838" w:orient="portrait"/>
          <w:cols w:equalWidth="0" w:num="1">
            <w:col w:w="11180"/>
          </w:cols>
          <w:pgMar w:left="320" w:top="279" w:right="39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data center footprint and our PoP deployment;</w:t>
      </w:r>
    </w:p>
    <w:p>
      <w:pPr>
        <w:spacing w:after="0" w:line="25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gross margins and operating margins for 2026;</w:t>
      </w:r>
    </w:p>
    <w:p>
      <w:pPr>
        <w:spacing w:after="0" w:line="252" w:lineRule="exact"/>
        <w:rPr>
          <w:rFonts w:ascii="Times New Roman" w:cs="Times New Roman" w:eastAsia="Times New Roman" w:hAnsi="Times New Roman"/>
          <w:sz w:val="18"/>
          <w:szCs w:val="18"/>
          <w:i w:val="1"/>
          <w:iCs w:val="1"/>
          <w:color w:val="auto"/>
        </w:rPr>
      </w:pPr>
    </w:p>
    <w:p>
      <w:pPr>
        <w:ind w:left="1300" w:right="80" w:hanging="320"/>
        <w:spacing w:after="0" w:line="284" w:lineRule="auto"/>
        <w:tabs>
          <w:tab w:leader="none" w:pos="129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00" w:hanging="320"/>
        <w:spacing w:after="0" w:line="284" w:lineRule="auto"/>
        <w:tabs>
          <w:tab w:leader="none" w:pos="129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240" w:hanging="320"/>
        <w:spacing w:after="0" w:line="268"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spending related to real estate assets, acquisitions and development, including data centers and points of presence, office building and warehouse investments, as well as other capital expenditures and to the impact on free cash flow and expenses;</w:t>
      </w:r>
    </w:p>
    <w:p>
      <w:pPr>
        <w:spacing w:after="0" w:line="19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2026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expansions, development, improvements, operating, subleasing and other real property holdings activities;</w:t>
      </w:r>
    </w:p>
    <w:p>
      <w:pPr>
        <w:spacing w:after="0" w:line="238"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40" w:hanging="320"/>
        <w:spacing w:after="0" w:line="268"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9" w:lineRule="exact"/>
        <w:rPr>
          <w:rFonts w:ascii="Times New Roman" w:cs="Times New Roman" w:eastAsia="Times New Roman" w:hAnsi="Times New Roman"/>
          <w:sz w:val="18"/>
          <w:szCs w:val="18"/>
          <w:color w:val="auto"/>
        </w:rPr>
      </w:pPr>
    </w:p>
    <w:p>
      <w:pPr>
        <w:ind w:left="1300" w:right="480" w:hanging="320"/>
        <w:spacing w:after="0" w:line="284"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 to have sufficient liquidity to meet our operating requirements for at least the next 12 months and thereafter for the foreseeable future;</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Fortinet is a leader in cybersecurity, driving the convergence of networking and security. Our mission is to secure people, devices and data everywhere. Our integrated platform, the Fortinet Security Fabric, spans secure networking, unified Secure Access Service Edge (“SASE”) and AI-driven security operations (“SecOps”). As of March 31, 2026, our end-customers were located in over 100 countries and included enterprises across a wide variety of market verticals, including financial services, retail, healthcare and operational technology (“OT”)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March 31, 2026, we held 1,093 U.S. patents and a total of 1,430 global patents.</w:t>
      </w:r>
    </w:p>
    <w:p>
      <w:pPr>
        <w:spacing w:after="0" w:line="21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competitive differentiation lies in our core technologies, which together provide performance, security, flexibility and integration across diverse environments.</w:t>
      </w:r>
    </w:p>
    <w:p>
      <w:pPr>
        <w:spacing w:after="0" w:line="185" w:lineRule="exact"/>
        <w:rPr>
          <w:sz w:val="20"/>
          <w:szCs w:val="20"/>
          <w:color w:val="auto"/>
        </w:rPr>
      </w:pPr>
    </w:p>
    <w:p>
      <w:pPr>
        <w:ind w:left="1300" w:right="180" w:hanging="320"/>
        <w:spacing w:after="0" w:line="286"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FortiOS</w:t>
      </w:r>
      <w:r>
        <w:rPr>
          <w:rFonts w:ascii="Times New Roman" w:cs="Times New Roman" w:eastAsia="Times New Roman" w:hAnsi="Times New Roman"/>
          <w:sz w:val="18"/>
          <w:szCs w:val="18"/>
          <w:color w:val="auto"/>
        </w:rPr>
        <w:t>—Our unified operating system enables the convergence of networking and AI-powered security to enforce consistent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all form factors and edges. As the foundational engine of the Fortinet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00"/>
        <w:spacing w:after="0" w:line="266" w:lineRule="auto"/>
        <w:rPr>
          <w:sz w:val="20"/>
          <w:szCs w:val="20"/>
          <w:color w:val="auto"/>
        </w:rPr>
      </w:pPr>
      <w:r>
        <w:rPr>
          <w:rFonts w:ascii="Times New Roman" w:cs="Times New Roman" w:eastAsia="Times New Roman" w:hAnsi="Times New Roman"/>
          <w:sz w:val="18"/>
          <w:szCs w:val="18"/>
          <w:color w:val="auto"/>
        </w:rPr>
        <w:t>Security Fabric, FortiOS empowers organizations to unify management and analytics, providing network visibility and control at scale. FortiOS includes advanced encryption and other security technologies designed to address evolving cybersecurity threats, including emerging quantum-resistant cryptographic capabilities.</w:t>
      </w:r>
    </w:p>
    <w:p>
      <w:pPr>
        <w:spacing w:after="0" w:line="199" w:lineRule="exact"/>
        <w:rPr>
          <w:sz w:val="20"/>
          <w:szCs w:val="20"/>
          <w:color w:val="auto"/>
        </w:rPr>
      </w:pPr>
    </w:p>
    <w:p>
      <w:pPr>
        <w:jc w:val="both"/>
        <w:ind w:left="1300" w:right="40" w:hanging="320"/>
        <w:spacing w:after="0" w:line="268"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FortiASIC</w:t>
      </w:r>
      <w:r>
        <w:rPr>
          <w:rFonts w:ascii="Times New Roman" w:cs="Times New Roman" w:eastAsia="Times New Roman" w:hAnsi="Times New Roman"/>
          <w:sz w:val="18"/>
          <w:szCs w:val="18"/>
          <w:color w:val="auto"/>
        </w:rPr>
        <w:t>—Our Application-Specific Integrated Circuit (“ASIC”)-based Security Processing Units (“SPUs”) increase the speed, 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efficiency and value of our solutions while reducing footprint and power requirements. From branch and campus to data center solutions, SPU-powered Fortinet appliances deliver superior Security Compute Ratings versus industry alternatives.</w:t>
      </w:r>
    </w:p>
    <w:p>
      <w:pPr>
        <w:spacing w:after="0" w:line="197" w:lineRule="exact"/>
        <w:rPr>
          <w:rFonts w:ascii="Times New Roman" w:cs="Times New Roman" w:eastAsia="Times New Roman" w:hAnsi="Times New Roman"/>
          <w:sz w:val="18"/>
          <w:szCs w:val="18"/>
          <w:color w:val="auto"/>
        </w:rPr>
      </w:pPr>
    </w:p>
    <w:p>
      <w:pPr>
        <w:ind w:left="1300" w:right="480" w:hanging="320"/>
        <w:spacing w:after="0" w:line="291" w:lineRule="auto"/>
        <w:tabs>
          <w:tab w:leader="none" w:pos="12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FortiCloud</w:t>
      </w:r>
      <w:r>
        <w:rPr>
          <w:rFonts w:ascii="Times New Roman" w:cs="Times New Roman" w:eastAsia="Times New Roman" w:hAnsi="Times New Roman"/>
          <w:sz w:val="17"/>
          <w:szCs w:val="17"/>
          <w:color w:val="auto"/>
        </w:rPr>
        <w:t>—Our organically built global cloud infrastructure provides customers with global reach, flexible connectivity and cost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savings. FortiCloud is our private cloud software as a service (“SaaS”) platform, powered by FortiStack, which is our secure SaaS platform operating as a private cloud service provider, and leveraging software and hardware to optimize and secure all layers.</w:t>
      </w:r>
    </w:p>
    <w:p>
      <w:pPr>
        <w:spacing w:after="0" w:line="179" w:lineRule="exact"/>
        <w:rPr>
          <w:rFonts w:ascii="Times New Roman" w:cs="Times New Roman" w:eastAsia="Times New Roman" w:hAnsi="Times New Roman"/>
          <w:sz w:val="17"/>
          <w:szCs w:val="17"/>
          <w:color w:val="auto"/>
        </w:rPr>
      </w:pPr>
    </w:p>
    <w:p>
      <w:pPr>
        <w:ind w:left="1300" w:hanging="320"/>
        <w:spacing w:after="0" w:line="255"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FortiAI</w:t>
      </w:r>
      <w:r>
        <w:rPr>
          <w:rFonts w:ascii="Times New Roman" w:cs="Times New Roman" w:eastAsia="Times New Roman" w:hAnsi="Times New Roman"/>
          <w:sz w:val="18"/>
          <w:szCs w:val="18"/>
          <w:color w:val="auto"/>
        </w:rPr>
        <w:t>—FortiAI provides a dual-layered defense across the Fortinet Security Fabric through the AI for Security and Security for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Within AI for Security, FortiAI-Assist uses generative and agentic AI to support Network Operations Center (“NOC”) and Security Operations Center (“SOC”) teams in monitoring, analysis and response activities across enterprise environments. Security for AI comprises of FortiAI-Protect and FortiAI-SecureAI. FortiAI-Protect utilizes AI/Machine Learnings (“ML”) to address AI-driven threats and zero-day attacks, and support governance over generative AI (“GenAI”) applications, FortiAI-SecureAI focus on protecting an organization’s AI infrastructure, including large language models (“LLMs”) and Application Programming Interface, and preventing data leakage into and out of LLMs. FortiAI protects the AI ecosystem, infrastructure, models, workloads, data and supply chains, while leveraging unified AI intelligence across the Fortinet Security Fabric to defend against threats.</w:t>
      </w:r>
    </w:p>
    <w:p>
      <w:pPr>
        <w:spacing w:after="0" w:line="211" w:lineRule="exact"/>
        <w:rPr>
          <w:rFonts w:ascii="Times New Roman" w:cs="Times New Roman" w:eastAsia="Times New Roman" w:hAnsi="Times New Roman"/>
          <w:sz w:val="18"/>
          <w:szCs w:val="18"/>
          <w:color w:val="auto"/>
        </w:rPr>
      </w:pPr>
    </w:p>
    <w:p>
      <w:pPr>
        <w:ind w:left="1300" w:hanging="320"/>
        <w:spacing w:after="0" w:line="259"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FortiEndpoint</w:t>
      </w:r>
      <w:r>
        <w:rPr>
          <w:rFonts w:ascii="Times New Roman" w:cs="Times New Roman" w:eastAsia="Times New Roman" w:hAnsi="Times New Roman"/>
          <w:sz w:val="18"/>
          <w:szCs w:val="18"/>
          <w:color w:val="auto"/>
        </w:rPr>
        <w:t>—FortiEndpoint converges secure connectivity, endpoint protection and advanced capabilities like endpoint detection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and universal Zero Trust Network Access (“ZTNA”), into a unified agent and management console.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environments.</w:t>
      </w:r>
    </w:p>
    <w:p>
      <w:pPr>
        <w:spacing w:after="0" w:line="206" w:lineRule="exact"/>
        <w:rPr>
          <w:rFonts w:ascii="Times New Roman" w:cs="Times New Roman" w:eastAsia="Times New Roman" w:hAnsi="Times New Roman"/>
          <w:sz w:val="18"/>
          <w:szCs w:val="18"/>
          <w:color w:val="auto"/>
        </w:rPr>
      </w:pPr>
    </w:p>
    <w:p>
      <w:pPr>
        <w:ind w:left="1300" w:right="40" w:hanging="320"/>
        <w:spacing w:after="0" w:line="259"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 Security</w:t>
      </w:r>
      <w:r>
        <w:rPr>
          <w:rFonts w:ascii="Times New Roman" w:cs="Times New Roman" w:eastAsia="Times New Roman" w:hAnsi="Times New Roman"/>
          <w:sz w:val="18"/>
          <w:szCs w:val="18"/>
          <w:color w:val="auto"/>
        </w:rPr>
        <w:t>—The Fortinet Security Fabric enables security for OT systems and Cyber-Physical Systems (“CPS”), including converged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IT/OT architectures. Our OT Security Platform is purpose-built to protect the engineered systems that underpin critical infrastructure and supply chains around the world. This includes securing energy and utilities systems, manufacturing environments, and transportation, utilizing FortiGuard OT Security Services. These offerings include security capabilities for CPS assets and tools that support centralized NOC and SOC functions.</w:t>
      </w:r>
    </w:p>
    <w:p>
      <w:pPr>
        <w:spacing w:after="0" w:line="19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competitive differentiators provide networking and security professionals with a cyber security platform comprised of over 50 products across three solution pillars:</w:t>
      </w:r>
    </w:p>
    <w:p>
      <w:pPr>
        <w:spacing w:after="0" w:line="199" w:lineRule="exact"/>
        <w:rPr>
          <w:sz w:val="20"/>
          <w:szCs w:val="20"/>
          <w:color w:val="auto"/>
        </w:rPr>
      </w:pPr>
    </w:p>
    <w:p>
      <w:pPr>
        <w:ind w:left="1300" w:right="20" w:hanging="320"/>
        <w:spacing w:after="0" w:line="253" w:lineRule="auto"/>
        <w:tabs>
          <w:tab w:leader="none" w:pos="1295"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networking and security operating system that is the foundation of our Fortinet Security Fabric platform and supports a broad range of functions that can be delivered via a physical, virtual, cloud or SaaS solutions.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which can be deployed at branch, campus, data center, internal segmentation, private and public cloud to enable hybrid mesh firewall solutions, as well as encrypted applications (secure sockets layer inspection, virtual private network and Internet Protocol Security connectivity). Our ability to converge networking and security also enables the ethernet to become an extension of our customers’ security infrastructure through FortiSwitch and FortiLink. FortiExtender secures 5G/LTE and remote ethernet extenders to connect and secure any branch environment. Our Secure Connectivity solution includes FortiSwitch secure ethernet switches, FortiAP wireless local area network access points and FortiExtender 5G connectivity gateways and Network Access Control for securing Internet of Things (“IoT”) devices.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00" w:hanging="320"/>
        <w:spacing w:after="0" w:line="25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hybrid workforce is now the norm, enabling secure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for users with zero trust framework becomes important. The Fortinet Unified SASE solution includes a single-vendor SASE solution that includes firewall, SD-WAN, secure web gateway, cloud access services broker, Data Loss Prevention (“DLP”), Digital Experience Monitoring and ZTNA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over 200 PoPs to deliver a seamless secure access experience. Leveraging this global infrastructure, we believe we are well positioned to support customers expanding from SD-WAN to a single-vendor SASE platform. We also allow our customers to deploy our FortiSASE as Sovereign SASE, which provides control over the technology elements needed for a SASE solution. FortiSASE Sovereign delivers full SASE capabilities within infrastructure environments that organizations control, including on-premises, in private data centers or trusted colocation environments. Additionally, we offer a full suite of integrated cloud security solutions that enable customers to secure their applications from code to cloud. Our solutions include application security that includes web application firewalls, cloud network security with virtualized firewalls and cloud-native firewalls, cloud-native application protection and code security. We deliver a holistic approach to cloud security, offering a single unified platform, consolidating protection across multiple disparate tools, including coding, deploying, and running applications across hybrid and multi-clouds. Additionally, we also offer flexible consumption licensing programs that enable organizations to dynamically optimize their cloud security needs and investments as well as readily meet their cloud minimum spend commitment obligations with Cloud Service Providers. We continue to develop all the core SASE capabilities in a single operating system, FortiOS, including Next-Gen Firewall, SD-WAN, ZTNA, secure web gateway, cloud access security broker and DLP. This native integration of our Next-Gen Firewall, SD-WAN and SASE has become the New-Generation SASE Firewall.</w:t>
      </w:r>
    </w:p>
    <w:p>
      <w:pPr>
        <w:spacing w:after="0" w:line="217" w:lineRule="exact"/>
        <w:rPr>
          <w:rFonts w:ascii="Times New Roman" w:cs="Times New Roman" w:eastAsia="Times New Roman" w:hAnsi="Times New Roman"/>
          <w:sz w:val="18"/>
          <w:szCs w:val="18"/>
          <w:color w:val="auto"/>
        </w:rPr>
      </w:pPr>
    </w:p>
    <w:p>
      <w:pPr>
        <w:ind w:left="1300" w:hanging="320"/>
        <w:spacing w:after="0" w:line="254"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AI-Driven Security Operations (SecOps)</w:t>
      </w:r>
      <w:r>
        <w:rPr>
          <w:rFonts w:ascii="Times New Roman" w:cs="Times New Roman" w:eastAsia="Times New Roman" w:hAnsi="Times New Roman"/>
          <w:sz w:val="18"/>
          <w:szCs w:val="18"/>
          <w:color w:val="auto"/>
        </w:rPr>
        <w:t>—Our AI-Driven SecOps portfolio provides a suite of cybersecurity solutions that identify,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protect, detect, respond and recover from threats, all integrated within the Fortinet Security Fabric. At the core is </w:t>
      </w:r>
      <w:r>
        <w:rPr>
          <w:rFonts w:ascii="Times New Roman" w:cs="Times New Roman" w:eastAsia="Times New Roman" w:hAnsi="Times New Roman"/>
          <w:sz w:val="18"/>
          <w:szCs w:val="18"/>
          <w:color w:val="333333"/>
        </w:rPr>
        <w:t>FortiAnalyzer,</w:t>
      </w:r>
      <w:r>
        <w:rPr>
          <w:rFonts w:ascii="Times New Roman" w:cs="Times New Roman" w:eastAsia="Times New Roman" w:hAnsi="Times New Roman"/>
          <w:sz w:val="18"/>
          <w:szCs w:val="18"/>
          <w:color w:val="auto"/>
        </w:rPr>
        <w:t xml:space="preserve"> which serves as the central SOC platform with its unified data lake that provides built-in Security information and event management (“SIEM”), Security, orchestration, automation, and response (“SOAR”), Extended Detection and Response and threat intelligence, enabling centralized visibility, analytics and automation with complete control. FortiSIEM delivers security information and event management for more advanced SOC requirements, while FortiSOAR enables automated orchestration and playbook-driven response. This solution set also includes FortiEndpoint,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SOC-as-a-Service, Managed detection and response, Security Posture Assessment and Incident Response. Finally, FortiAI GenAI assistance streamlines operations, helping security teams stay ahead of an ever-evolving threat landscape.</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ML and AI technologies to provide timely protection updates and actionable threat intelligence for the benefit of our customers. Using millions of global network sensors, FortiGuard Labs monitors the worldwide attack surface and employs AI to mine that data for new threats.</w:t>
      </w:r>
    </w:p>
    <w:p>
      <w:pPr>
        <w:spacing w:after="0" w:line="204"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FortiGuard and Other Security Services </w:t>
      </w:r>
      <w:r>
        <w:rPr>
          <w:rFonts w:ascii="Times New Roman" w:cs="Times New Roman" w:eastAsia="Times New Roman" w:hAnsi="Times New Roman"/>
          <w:sz w:val="18"/>
          <w:szCs w:val="18"/>
          <w:color w:val="auto"/>
        </w:rPr>
        <w:t>are a suite of AI-powered security capabilities that are natively integrated as part of the Fortinet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18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FortiCare Technical Support Service </w:t>
      </w:r>
      <w:r>
        <w:rPr>
          <w:rFonts w:ascii="Times New Roman" w:cs="Times New Roman" w:eastAsia="Times New Roman" w:hAnsi="Times New Roman"/>
          <w:sz w:val="17"/>
          <w:szCs w:val="17"/>
          <w:color w:val="auto"/>
        </w:rPr>
        <w:t>is a technical support service, which provides customers access to experts to ensure efficient and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and maintenance of their Fortinet solution. Global technical support is offered 24x7 with flexible add-ons, including enhanced service-level agreements and priority hardware replacement through in-country and local depots. Organizations have the flexibility to procure different levels of service for different solutions based on their availability needs. We offer three support options tailored to the needs of our enterprise customers: FortiCare Elite, FortiCare Premium and FortiCare Essential. The FortiCare Elite service aims to provide a 15-minute response time for key product families.</w:t>
      </w:r>
    </w:p>
    <w:p>
      <w:pPr>
        <w:spacing w:after="0" w:line="189"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In addition to FortiCare solution based services, Advanced Support service options are available per account. These services are available for regional account support in three options: Core, Pro and Pro Plus, and can be available or provided 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 global basis at the Pro and Pro Plus levels. Advanced Support brings support directly to each account, helping account holders to make their operations more effective and to plan and manage their solution lifecycle.</w:t>
      </w:r>
    </w:p>
    <w:p>
      <w:pPr>
        <w:spacing w:after="0" w:line="21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approximately two million certifications to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12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$1.85 billion during the three months ended March 31, 2026, an increase of 20%, compared to $1.54 billion in the same period last year. Product revenue was $645.1 million during the three months ended March 31, 2026, an increase of 41%, compared to $459.1 million in the same period last year. Service revenue was $1.20 billion during the three months ended March 31, 2026, an increase of 11%, compared to $1.08 billion in the same period last year.</w:t>
      </w:r>
    </w:p>
    <w:p>
      <w:pPr>
        <w:spacing w:after="0" w:line="20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$1.49 billion during the three months ended March 31, 2026, an increase of 19%, compared to $1.25 billion in the same period last year.</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was 80.3% during the three months ended March 31, 2026, a decrease of 0.7 percentage points, compared to 81.0% in the same period last year.</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$580.0 million during the three months ended March 31, 2026, an increase of 28%, compared to $453.8 million in the same period last year.</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31.4% during the three months ended March 31, 2026, an increase of 1.9 percentage points, compared to 29.5% in the same period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were $3.63 billion as of March 31, 2026.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$7.35 billion, including short-term deferred revenue of $3.73 billion, as of March 31, 2026.</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$1.08 billion during the three months ended March 31, 2026, an increase of $213.8 million, or 25%, compared to the same period last year.</w:t>
      </w:r>
    </w:p>
    <w:p>
      <w:pPr>
        <w:spacing w:after="0" w:line="189"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Revenue continues to be diversified globally, which remains a key strength of our business. During the three months ended March 31, 2026, the EMEA region, the Americas region and the APAC region contributed 42%, 40% and 18% of our total revenue, respectively, and revenue grew 25%, 17% and 15% in these regions compared to the same period last year, respectively.</w:t>
      </w:r>
    </w:p>
    <w:p>
      <w:pPr>
        <w:spacing w:after="0" w:line="183"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Product revenue increased 41% during the three months ended March 31, 2026 compared to the same period last year. We experienced product revenue growth across our hardware products and software licensing, which mainly benefited from growth in secure networking hardware products and term licenses, including increased demand for higher performance products, deployments related to AI infrastructure, technology upgrades, upsell activity, and expansion into new use cases. Recent pricing changes also contributed a low single digit impact to product revenue growth. We expect our product revenue to continue to grow for the remainder of 2026.</w:t>
      </w:r>
    </w:p>
    <w:p>
      <w:pPr>
        <w:spacing w:after="0" w:line="19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Service revenue growth during the three months ended March 31, 2026 was 11%, as compared to the same period last year, primarily driven by the strength of our security subscription revenue and technical support and other services revenue, which grew 11% and 12%, respectively. The increase was primarily due to the recognition of service revenue from our growing deferred revenue balance related to FortiGuard and other security subscriptions delivered to on-premise and cloud-based environments and strength in unified SASE and SecOps, as well as the recognition of revenue from our growing deferred revenue balance related to FortiCare technical support service. We expect our service revenue to continue to grow for the remainder of 2026.</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March 31, 2026, six countries represented approximately 50% of our billings and the remaining approximately 50% in the aggregate were from over 100 countries that each individually contributed less than 3% of our billings.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color w:val="auto"/>
        </w:rPr>
        <w:t>Total gross margin decreased 0.7 percentage points during the three months ended March 31, 2026 compared to the same period last year, primarily driven by a shift in the revenue mix to lower margin product revenue. Revenue mix shifted by 5.1 percentage points from service revenue to product revenue, as a percentage of total revenue. Our overall gross margin for the full year of 2026 will be impacted by service and product revenue mix and their respective gross margins. While we are implementing price increases to mitigate higher hardware component costs, the impact on our margins will depend on the timing and market acceptance of these adjustments. Our product gross margin may decline if these pricing actions do not fully offset rising input costs. Our service gross margin is expected to remain relatively consistent, for the full year 2026 as compared to 2025, despite continued expansion of our data center footprint and colocation and cloud hosting capacity to support the growth in our unified SASE and SecOps offerings. We currently do not expect the U.S. tariffs to have a meaningful impact on our gross margin. However, changes in trade policy, including increases in tariff rates, changes in customs or tariffs classifications, or modifications to tariff exemptions, could adversely affect our gross margin in the future, and we expect any resulting impact would primarily relate to our hardware sales to the U.S. customers.</w:t>
      </w:r>
    </w:p>
    <w:p>
      <w:pPr>
        <w:spacing w:after="0" w:line="21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Operating expenses as a percentage of revenue decreased 2.6 percentage points during the three months ended March 31, 2026, compared to the same period last year, mainly because our revenue growth outpaced our personnel costs growth. Headcount increased to 15,311 employees as of March 31, 2026, a 5% increase compared to 14,556 as of March 31, 2025.</w:t>
      </w:r>
    </w:p>
    <w:p>
      <w:pPr>
        <w:spacing w:after="0" w:line="204"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Operating margin increased 1.9 percentage points during the three months ended March 31, 2026, driven by revenue growth exceeding expense growth, resulting in improved operating leverage. For the full year 2026, we expect our operating margin to decrease compared to 2025 as we continue to make strategic investments. Total revenue is expected to increase in 2026 compared to the prior year; however, our expenses are expected to outpace revenue growth, primarily reflecting investments in sales and marketing headcount, product development and the continued capital expenditures in data centers and real estate. While these strategic investments are intended to drive long-term revenue growth and market expansion, we anticipate they may result in near-term compression of our operating margins. In addition, we may experience higher operating expenses driven in part by the weakening of the U.S. dollar relative to foreign currencies, as a portion of our expenses are incurred and paid in currencies other than the U.S. dollar.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and Geopolitical and Supply Chain Developments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12529"/>
        </w:rPr>
        <w:t xml:space="preserve">Our overall performance depends in part on worldwide economic and geopolitical conditions, such as trade policies and tariffs, GDP growth or contraction (both domestically and internationally), geopolitical instability and uncertainty, the war in Ukraine, tensions between China and Taiwan or conflicts in the Middle East, and their impact on customer behavior. Worsening economic conditions, including tariffs, inflation, changing interest rates and other trade disruptions, slower growth, any recession, fluctuations in foreign exchange rates and other changes in economic conditions, may result in decreased sales productivity, lower growth and adversely affect our results of operations and financial performance. We have seen, and could continue to see,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 Tariffs imposed by the United States, as well as any new or additional retaliatory tariffs that could be imposed by other countries in response, could have a material adverse impact on global trade, supply chains and other worldwide economic and geopolitical conditions, which could increase our product costs and also affect customer sentiment in deciding whether to purchase our products. We continue to monitor the impact of tariffs on our business. </w:t>
      </w:r>
      <w:r>
        <w:rPr>
          <w:rFonts w:ascii="Times New Roman" w:cs="Times New Roman" w:eastAsia="Times New Roman" w:hAnsi="Times New Roman"/>
          <w:sz w:val="18"/>
          <w:szCs w:val="18"/>
          <w:color w:val="000000"/>
        </w:rPr>
        <w:t>In addition, as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result of the rapid global build-out of AI infrastructure, there is currently a global shortage of memory chips, which are a component in certain of our products. As a result, we are currently experiencing, and may continue to experience, constraints on the availability of memory chips, which may lead to delays in the production and delivery of our products and increased costs to source available memory chips, any of which could harm our business, financial condition and results of operations. To mitigate increased hardware costs resulting from these shortages, we are implementing price increases, which may negatively impact demand for our products and may not be sufficient or timely to offset rising input costs, potentially resulting in margin compression and adversely affecting our business, financial condition and results of operations.</w:t>
      </w:r>
    </w:p>
    <w:p>
      <w:pPr>
        <w:spacing w:after="0" w:line="208"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212529"/>
        </w:rPr>
        <w:t>Worsening economic, geopolitical and supply chain developments may have a material negative impact on our results in future periods and may negatively impact our billings, revenue and costs, and may decrease growth and profitability. The extent of the impact of such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geopolitical and supply chain developments on our business and operations, results of operations, financial condition, cash flows, liquidity and capital and financial resources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enterprise customers, service providers, systems integrators and large enterprises. We also sell our software licenses and cloud delivered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or users, depending on the end-customer’s size and security requirements.</w:t>
      </w:r>
    </w:p>
    <w:p>
      <w:pPr>
        <w:spacing w:after="0" w:line="21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Our customers purchase our hardware products, software licenses, SaaS subscriptions and cloud-delivered solutions, including our FortiGuard security subscriptions and FortiCare technical support services. Depending on the solution, these may be sold in a bundle or standalone as part of a solution sale. We generally invoice at the time of our sale for the total price of the products and services. Standard payment terms are generally no more than 60 days, though we may offer extended payment terms to certain distributors or large enterprises.</w:t>
      </w:r>
    </w:p>
    <w:p>
      <w:pPr>
        <w:spacing w:after="0" w:line="20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offer our products hosted in our own data centers, PoPs, and through colocations and major cloud service providers, including Amazon Web Services, Microsoft Azure and Google Cloud.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1,849.6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7,351.5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6,418.4</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1,077.1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r>
    </w:tbl>
    <w:p>
      <w:pPr>
        <w:spacing w:after="0" w:line="304"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$7.35 billion as of March 31, 2026, an increase of $235.7 million, or 3%, from December 31, 2025. Short-term deferred revenue was $3.73 billion as of March 31, 2026, an increase of $90.3 million, or 2%, from December 31, 2025.</w:t>
      </w:r>
    </w:p>
    <w:p>
      <w:pPr>
        <w:spacing w:after="0" w:line="210"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We consider billings to be a useful metric for management and investors because billings drive current and future revenue as well as cash flows. There are a number of limitations related to the use of billings instead of GAAP revenue. First, billings are impacted by the term of security subscription and support agreements and do not provide an indication as to the timing of revenue being recognized from these service contracts.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$2.09 billion for the three months ended March 31, 2026, an increase of 31% compared to $1.60 billion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w:t>
            </w: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1,597.2</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such as proceeds from IP matters. We believe free cash flow to be a liquidity measure that provides useful information to management and investors about the amount of cash generated by the business that, after capital expenditures and net of proceeds from IP matters,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significant non-recurring items, such as proceeds from IP matters, investing activities other than capital expenditures and cash flows from financing activities. Management accounts for this limitation by providing information about our proceeds from IP matters, our capital expenditures and other investing and financing activities on the condensed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Less: Proceeds from IP matter</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three months ended March 31, 2026, as compared to the critical accounting policies and estimates described in our Annual Report on Form 10-K filed with the SEC on February 25, 2026 (the “Form 10-K”).</w:t>
      </w:r>
    </w:p>
    <w:p>
      <w:pPr>
        <w:spacing w:after="0" w:line="20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Total revenue increased $309.9 million, or 20%, during the three months ended March 31, 2026 compared to the same period last year. We continued to experience geographically diversified revenue, as well as diversification across customer and industry verticals. Revenue from all regions grew, with EMEA contributing the largest portion of the increase on an absolute dollar basis and on a percentage basis.</w:t>
      </w:r>
    </w:p>
    <w:p>
      <w:pPr>
        <w:spacing w:after="0" w:line="204"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Product revenue increased $186.0 million, or 41%, during the three months ended March 31, 2026 compared to the same period last year. We experienced product revenue growth across our hardware products and software licensing, mainly driven by growth in secure networking hardware products and term licenses, including increased demand for higher performance products, deployments related to AI infrastructure, technology upgrades, upsell activity, and expansion into new use cases. Recent pricing changes also contributed a low single digit impact to product revenue growth.</w:t>
      </w:r>
    </w:p>
    <w:p>
      <w:pPr>
        <w:spacing w:after="0" w:line="21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Service revenue increased $123.9 million, or 11%, during the three months ended March 31, 2026 compared to the same period last year. Security subscription revenue increased $70.9 million, or 11%, and technical support and other services revenue increased $53.0 million, or 12%, during the three months ended March 31, 2026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 as well as the recognition of revenue from our growing deferred revenue balance related to FortiCare technical support service.</w:t>
      </w:r>
    </w:p>
    <w:p>
      <w:pPr>
        <w:spacing w:after="0" w:line="22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Of the service revenue recognized during the three months ended March 31, 2026 and 2025, 90% was included in the deferred revenue balance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9"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4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Total gross margin decreased 0.7 percentage points during the three months ended March 31, 2026 compared to the same period last year, primarily driven by a shift in the revenue mix to lower margin product revenue. Revenue mix shifted by 5.1 percentage points from service revenue to product revenue, as a percentage of total revenue.</w:t>
      </w:r>
    </w:p>
    <w:p>
      <w:pPr>
        <w:spacing w:after="0" w:line="190"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Product gross margin increased 0.4 percentage points during the three months ended March 31, 2026 compared to the same period last year, primarily driven by a favorable shift in the product mix to higher margin products, partially offset by reduced benefit from net release of inventory related reserves and increased memory chips costs. Cost of product revenue was comprised primarily of third-party contract manufacturers’ costs, and costs of materials used in production.</w:t>
      </w:r>
    </w:p>
    <w:p>
      <w:pPr>
        <w:spacing w:after="0" w:line="20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Service gross margin increased 0.3 percentage points during the three months ended March 31, 2026 compared to the same period last year, primarily driven by service revenue growth outpacing labor costs increase, partially offset by increased costs related to the continued expansion of our data center and cloud services. Cost of service revenue was comprised primarily of personnel-related costs, replacement and repair costs, cloud services costs from owned data centers, colocation providers and cloud service providers, infrastructure depreciation and related operating costs, software and delivery costs, and facility-related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6"/>
                <w:szCs w:val="16"/>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increased $15.4 million, or 8%, during the three months ended March 31, 2026 compared to the same period last year, primarily due to an increase of $16.2 million in personnel-related costs as a result of increased headcount and compensation rates to support the development of new products and continued enhancements to our existing products and the impact of the recent acquisitions. We expect research and development expenses to increase in absolute dollars during the remainder of 2026 as we continue to invest in our technology and talent to continue to innovate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Sales and marketing expenses increased $93.6 million, or 17%, during the three months ended March 31, 2026 compared to the same period last year, primarily due to an increase of $73.1 million in personnel-related costs, an increase of $14.7 million in marketing program and related expenses and unfavorable impact of foreign currency fluctuations. We expect our sales and marketing expenses to increase in absolute dollars during the remainder of 2026 as we continue to invest in our global sales and marketing organization to capture additional market share, and we anticipate that these growth investments may drive sales and marketing expenses to increase at a rate faster than revenue.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jc w:val="both"/>
        <w:ind w:right="140" w:firstLine="648"/>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expenses decreased $1.6 million, or 3%, during the three months ended March 31, 2026 compared to the same period last year, primarily due to a decrease of $2.7 million in personnel-related costs. We expect our general and administrative expenses to increase in absolute dollars during the remainder of 2026, as we need to support our growing operations while continuing to leverage scale and efficiencies.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We generated operating income of $580.0 million during the three months ended March 31, 2026, an increase of $126.2 million, or 28%, compared to $453.8 million in the same period last year. Operating margin was 31.4% during the three months ended March 31, 2026, compared to 29.5% in the same period last year. The 1.9 percentage points increase in operating margin was primarily due to 1.3, 0.8 and 0.8 percentage points decreases in research and development expense, sales and marketing expense and general and administrative expense, as a percentage of revenue, respectively, partially offset by 0.7 percentage points decrease in gross margin and 0.3 percentage points decrease in gain on intellectual property matters as a percentage of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80" w:type="dxa"/>
            <w:vAlign w:val="bottom"/>
          </w:tcPr>
          <w:p>
            <w:pPr>
              <w:spacing w:after="0"/>
              <w:rPr>
                <w:sz w:val="16"/>
                <w:szCs w:val="16"/>
                <w:color w:val="auto"/>
              </w:rPr>
            </w:pPr>
          </w:p>
        </w:tc>
        <w:tc>
          <w:tcPr>
            <w:tcW w:w="1460" w:type="dxa"/>
            <w:vAlign w:val="bottom"/>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60" w:type="dxa"/>
            <w:vAlign w:val="bottom"/>
          </w:tcPr>
          <w:p>
            <w:pPr>
              <w:spacing w:after="0"/>
              <w:rPr>
                <w:sz w:val="16"/>
                <w:szCs w:val="16"/>
                <w:color w:val="auto"/>
              </w:rPr>
            </w:pPr>
          </w:p>
        </w:tc>
        <w:tc>
          <w:tcPr>
            <w:tcW w:w="1780" w:type="dxa"/>
            <w:vAlign w:val="bottom"/>
            <w:vMerge w:val="restart"/>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3"/>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32.9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44.3</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(11.4)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0.7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47.9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21.8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Interest income decreased $11.4 million during the three months ended March 31, 2026 compared to the same period last year, primarily due to lower average interest rates and lower average cash and cash equivalents balances as a result of share repurchases and debt repayment. Interest income varies depending on our average cash, cash equivalents and short-term and long-term investments balances during the period, types and mix of deposits and investments, and interest rates. Interest expense decreased $0.7 million during the three months ended March 31, 2026 compared to the same period last year. Other income—net increased $21.8 million during the three months ended March 31, 2026 compared to the same period last year, primarily due to a net change of $61.9 million from net losses to net gains on marketable equity securities, partially offset by a change of $39.9 million in gain on bargain purchase related to our acquisition of Linksys recognized only in the three months ended March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10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6"/>
                <w:szCs w:val="16"/>
                <w:color w:val="auto"/>
              </w:rPr>
            </w:pPr>
          </w:p>
        </w:tc>
        <w:tc>
          <w:tcPr>
            <w:tcW w:w="15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60" w:type="dxa"/>
            <w:vAlign w:val="bottom"/>
          </w:tcPr>
          <w:p>
            <w:pPr>
              <w:spacing w:after="0"/>
              <w:rPr>
                <w:sz w:val="16"/>
                <w:szCs w:val="16"/>
                <w:color w:val="auto"/>
              </w:rPr>
            </w:pPr>
          </w:p>
        </w:tc>
        <w:tc>
          <w:tcPr>
            <w:tcW w:w="1680" w:type="dxa"/>
            <w:vAlign w:val="bottom"/>
            <w:vMerge w:val="restart"/>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gridSpan w:val="3"/>
          </w:tcPr>
          <w:p>
            <w:pPr>
              <w:jc w:val="right"/>
              <w:ind w:right="935"/>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122.0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96.5</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25.5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Our effective tax rate was 19% for the three months ended March 31, 2026 and 2025. The provision for income taxes for the three months ended March 31, 2026 was primarily comprised of U.S. federal and state taxes, withholding taxes and foreign taxes totaling $166.6 million, which was favorably affected by a tax benefit of $35.2 million from the FDDEI deduction and excess tax benefits from stock-based compensation expense of $9.4 million.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2025 was comprised of U.S. federal and state taxes, withholding taxes, and foreign taxes totaling $128.5 million, which includes a tax provision of $30.6 million related to the derecognition of deferred tax assets from the business combination with Linksys, a tax benefit of $25.8 million from the FDDEI deduction and excess tax benefits from stock-based compensation expense of $36.8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99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6"/>
                <w:szCs w:val="16"/>
                <w:color w:val="auto"/>
              </w:rPr>
            </w:pPr>
          </w:p>
        </w:tc>
        <w:tc>
          <w:tcPr>
            <w:tcW w:w="1440" w:type="dxa"/>
            <w:vAlign w:val="bottom"/>
          </w:tcPr>
          <w:p>
            <w:pPr>
              <w:jc w:val="center"/>
              <w:ind w:right="257"/>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$10.7 million change in gain (loss) from equity method investments during the three months ended March 31, 2026 compared to the same period last year was primarily driven by a change of $10.8 million in gain related to our acquisition of Linksys recognized only in the three months ended March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97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0"/>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r>
      <w:tr>
        <w:trPr>
          <w:trHeight w:val="470"/>
        </w:trPr>
        <w:tc>
          <w:tcPr>
            <w:tcW w:w="8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30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09"/>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repurchases of our common stock, repayment of senior notes, real estate purchases and other capital expenditures, investment grade debt balance, payments of taxes in connection with the net settlement of equity awards, proceeds from the issuance of common stock and business combinations.</w:t>
      </w:r>
    </w:p>
    <w:p>
      <w:pPr>
        <w:spacing w:after="0" w:line="19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tariffs and other trade restrictions, international conflicts, including the war in Ukraine, tensions between China and Taiwan or conflicts in the Middle East, an increase in installment billings, and our ability to execute. We expect proceeds from the exercise of stock options in future years to continue to be impacted by the increased mix of restricted stock units and performance stock units versus stock options granted to our employees and to vary based on our stock price.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 January 2026, our board of directors approved a $1.0 billion increase in the authorized stock repurchase amount under the Repurchase Program, bringing the aggregate amount authorized for repurchases to $10.25 billion of our outstanding common stock through February 28, 2027. During the three months ended March 31, 2026, we repurchased 10.6 million shares of common stock under the Repurchase Program for an aggregate purchase price of $826.9 million. As of March 31, 2026, approximately $911.7 million remained available for future share repurchases. Refer to Note 11. Equity Plans and Share Repurchase Program.</w:t>
      </w:r>
    </w:p>
    <w:p>
      <w:pPr>
        <w:spacing w:after="0" w:line="212"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We expect to continue to increase our data center, PoP,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$350 million and $550 million in 2026.</w:t>
      </w:r>
    </w:p>
    <w:p>
      <w:pPr>
        <w:spacing w:after="0" w:line="21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9. Debt in Part I, Item 1 of this Quarterly Report on Form 10-Q for information on the Senior Notes. During the three months ended March 31, 2026, we repaid the full $500.0 million aggregate principal amount of the 2026 Senior Notes upon their maturity on March 15, 2026. As of March 31, 2026, the long-term debt totaled $496.8 million and consisted of the 2031 Senior Notes, net of unamortized discount and debt issuance costs.</w:t>
      </w:r>
    </w:p>
    <w:p>
      <w:pPr>
        <w:spacing w:after="0" w:line="212"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that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19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These inventory purchase commitments as of March 31, 2026 totaled $1.37 billion, an increase of $555.0 million compared to $810.6 million as of December 31, 2025, as we continued to work with contract manufacturers and suppliers to optimize our inventory and purchase commitments position based on growth trends in customer demand, product lead times and increasing components cost. We record a liability for inventory purchase commitments in excess of our future demand forecasts consistent with the valuation of our excess and obsolete inventory. As of March 31, 2026 and December 31, 2025, the liability for these inventory purchase commitments was $27.2 million and $26.7 million, respectively, and was recorded in accrued liabilities on our condensed consolidated balance sheets.</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w:t>
      </w:r>
    </w:p>
    <w:p>
      <w:pPr>
        <w:spacing w:after="0" w:line="1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199" w:lineRule="exact"/>
        <w:rPr>
          <w:sz w:val="20"/>
          <w:szCs w:val="20"/>
          <w:color w:val="auto"/>
        </w:rPr>
      </w:pPr>
    </w:p>
    <w:p>
      <w:pPr>
        <w:ind w:right="480" w:firstLine="648"/>
        <w:spacing w:after="0" w:line="242"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March 31, 2026, we had $127.8 million in other contractual commitments having a remaining term in excess of one year that are non-cancelable.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2025.</w:t>
      </w:r>
    </w:p>
    <w:p>
      <w:pPr>
        <w:spacing w:after="0" w:line="225"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As of March 31, 2026, our cash, cash equivalents and short-term and long-term investments of $3.63 billion were invested primarily in deposit accounts, commercial paper, corporate debt securities, U.S. government and agency securities, certificates of deposit and term deposits, money market funds and marketable equity securities. It is our investment policy to invest excess cash in a manner that preserves capital, provides liquidity, and generates return without significantly increasing risk. Based on current projections, we expect to have sufficient liquidity to meet our operating requirements for at least the next 12 months and thereafter for the foreseeable future, including our foreseeable future supply obligations, capital expenditures and share repurchases.</w:t>
      </w:r>
    </w:p>
    <w:p>
      <w:pPr>
        <w:spacing w:after="0" w:line="22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$255.3 million as of March 31, 2026 and $266.9 million as of December 31, 2025.</w:t>
      </w:r>
    </w:p>
    <w:p>
      <w:pPr>
        <w:spacing w:after="0" w:line="175"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capital and capital expenditure requirements will depend on many factors, including our growth rate, the timing and amount of our share repurchases and debt retirement,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changes in tariffs and other trade restrictions, impacts of international conflicts, including the war in Ukraine, tensions between China and Taiwan or conflicts in the Middle East.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1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various working capital components, as well as deferred contract costs, other assets, non-current portion of deferred revenue and other liabilities.</w:t>
      </w:r>
    </w:p>
    <w:p>
      <w:pPr>
        <w:spacing w:after="0" w:line="218"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Our operating activities during the three months ended March 31, 2026 provided cash flows of $1.08 billion as a result of the continued growth of our business, improved profitability and our ability to successfully manage our working capital. Changes in operating assets and liabilities were primarily driven by a net decrease in various working capital components of $346.4 million, an increase of $145.4 million in the non-current portion of deferred revenue, and an increase of $112.4 million in deferred contract costs which primarily consisted of sales commissions during three months ended March 31,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equity securities and business combinations. Historically,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cash used in investing activities was $5.7 million, primarily driven by $70.6 million used for the purchases of property and equipment, partially offset by $64.9 million of maturities and sales of investments, net of purchases of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repayment of senior notes, and taxes paid related to net share settlement of equity awards, net of proceeds from the issuance of common stock under the Amended Plan.</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cash used in financing activities was $1.34 billion, driven by $823.0 million used to repurchase shares of our common stock, $500.0 million used to repay our 2026 Senior Notes and $18.7 million used to pay tax withholding related to net share settlement of equity awards, net of proceeds from the issuance of common stock.</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three months ended March 31, 2026 compared to the disclosures in Part II, Item 7A of the Form 10-K filed with the SEC on February 25,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March 31, 2026.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March 31, 2026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the quarter ended March 31, 2026,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10. Commitments and Contingencies in Part I, Item 1 of this Quarterly Report on Form 10-Q for additional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62" w:lineRule="exact"/>
        <w:rPr>
          <w:sz w:val="20"/>
          <w:szCs w:val="20"/>
          <w:color w:val="auto"/>
        </w:rPr>
      </w:pPr>
    </w:p>
    <w:p>
      <w:pPr>
        <w:ind w:left="1300" w:right="80" w:hanging="320"/>
        <w:spacing w:after="0" w:line="289" w:lineRule="auto"/>
        <w:tabs>
          <w:tab w:leader="none" w:pos="12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including macroeconomic and regional economic challenges resulting, for example, from a recession, tariffs, disruptions of global supply chains or other economic downturn, increased inflation or possible stagflation in certain geographies, changing interest rates, the war in Ukraine, tensions between China and Taiwan, conflicts in the Middle East or other factors;</w:t>
      </w:r>
    </w:p>
    <w:p>
      <w:pPr>
        <w:spacing w:after="0" w:line="184" w:lineRule="exact"/>
        <w:rPr>
          <w:rFonts w:ascii="Times New Roman" w:cs="Times New Roman" w:eastAsia="Times New Roman" w:hAnsi="Times New Roman"/>
          <w:sz w:val="17"/>
          <w:szCs w:val="17"/>
          <w:color w:val="auto"/>
        </w:rPr>
      </w:pPr>
    </w:p>
    <w:p>
      <w:pPr>
        <w:ind w:left="1300" w:right="64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8" w:lineRule="exact"/>
        <w:rPr>
          <w:rFonts w:ascii="Times New Roman" w:cs="Times New Roman" w:eastAsia="Times New Roman" w:hAnsi="Times New Roman"/>
          <w:sz w:val="18"/>
          <w:szCs w:val="18"/>
          <w:color w:val="auto"/>
        </w:rPr>
      </w:pPr>
    </w:p>
    <w:p>
      <w:pPr>
        <w:jc w:val="both"/>
        <w:ind w:left="1300" w:right="160" w:hanging="320"/>
        <w:spacing w:after="0" w:line="312" w:lineRule="auto"/>
        <w:tabs>
          <w:tab w:leader="none" w:pos="12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strategy, productivity, hiring and retention, and execution, and our ability to attract and retain new end-customers or sell additional products and services to our existing end-customers, including customer demand for platform solutions like ours versus point solutions;</w:t>
      </w:r>
    </w:p>
    <w:p>
      <w:pPr>
        <w:spacing w:after="0" w:line="166" w:lineRule="exact"/>
        <w:rPr>
          <w:rFonts w:ascii="Times New Roman" w:cs="Times New Roman" w:eastAsia="Times New Roman" w:hAnsi="Times New Roman"/>
          <w:sz w:val="17"/>
          <w:szCs w:val="17"/>
          <w:color w:val="auto"/>
        </w:rPr>
      </w:pPr>
    </w:p>
    <w:p>
      <w:pPr>
        <w:ind w:left="1300" w:right="78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52"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8"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or regulatory cost increases and any lack of market acceptance of our price increases designed to help offset any supplier or regulatory cost increases;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2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 or changes in shipping terms;</w:t>
      </w:r>
    </w:p>
    <w:p>
      <w:pPr>
        <w:spacing w:after="0" w:line="188" w:lineRule="exact"/>
        <w:rPr>
          <w:rFonts w:ascii="Times New Roman" w:cs="Times New Roman" w:eastAsia="Times New Roman" w:hAnsi="Times New Roman"/>
          <w:sz w:val="18"/>
          <w:szCs w:val="18"/>
          <w:color w:val="auto"/>
        </w:rPr>
      </w:pPr>
    </w:p>
    <w:p>
      <w:pPr>
        <w:jc w:val="both"/>
        <w:ind w:left="1300" w:right="120" w:hanging="320"/>
        <w:spacing w:after="0" w:line="289" w:lineRule="auto"/>
        <w:tabs>
          <w:tab w:leader="none" w:pos="12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to our business, the global economy, disruption of global supply chains and creation of significant volatility and disruption of the financial markets due to factors such as tariffs and policy disputes, increased inflation or possible stagflation in certain geographies, changing interest rates, the war in Ukraine, tensions between China and Taiwan, conflicts in the Middle East and other factors;</w:t>
      </w:r>
    </w:p>
    <w:p>
      <w:pPr>
        <w:spacing w:after="0" w:line="184" w:lineRule="exact"/>
        <w:rPr>
          <w:rFonts w:ascii="Times New Roman" w:cs="Times New Roman" w:eastAsia="Times New Roman" w:hAnsi="Times New Roman"/>
          <w:sz w:val="17"/>
          <w:szCs w:val="17"/>
          <w:color w:val="auto"/>
        </w:rPr>
      </w:pPr>
    </w:p>
    <w:p>
      <w:pPr>
        <w:ind w:left="1300" w:right="20" w:hanging="320"/>
        <w:spacing w:after="0" w:line="281" w:lineRule="auto"/>
        <w:tabs>
          <w:tab w:leader="none" w:pos="12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w:t>
      </w:r>
    </w:p>
    <w:p>
      <w:pPr>
        <w:spacing w:after="0" w:line="191" w:lineRule="exact"/>
        <w:rPr>
          <w:rFonts w:ascii="Times New Roman" w:cs="Times New Roman" w:eastAsia="Times New Roman" w:hAnsi="Times New Roman"/>
          <w:sz w:val="17"/>
          <w:szCs w:val="17"/>
          <w:color w:val="auto"/>
        </w:rPr>
      </w:pPr>
    </w:p>
    <w:p>
      <w:pPr>
        <w:ind w:left="1300" w:right="280" w:hanging="320"/>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of our internal enterprise IT networks, our operational networks, our research and development networks, our back-end labs and cloud stacks hosted in our data centers or PoPs, colocation vendors or public cloud providers, and resulting harm to public perception of our products and services;</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2" w:lineRule="exact"/>
        <w:rPr>
          <w:rFonts w:ascii="Times New Roman" w:cs="Times New Roman" w:eastAsia="Times New Roman" w:hAnsi="Times New Roman"/>
          <w:sz w:val="18"/>
          <w:szCs w:val="18"/>
          <w:color w:val="auto"/>
        </w:rPr>
      </w:pPr>
    </w:p>
    <w:p>
      <w:pPr>
        <w:jc w:val="both"/>
        <w:ind w:left="1300" w:right="60" w:hanging="320"/>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integration risks related to product plans and products and risks of negative impact by such acquisitions and equity investments on our financial results;</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operational performance relating to our sustainability commitments;</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and evolving data and other security requirements and enforcement across certain jurisdictions;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52"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8"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88"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right="160" w:hanging="320"/>
        <w:spacing w:after="0" w:line="261"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productivity with market demand and any negative impact to our sales and the effectiveness of our sales team based on changes to sales compensation or to our sales compensation plan;</w:t>
      </w:r>
    </w:p>
    <w:p>
      <w:pPr>
        <w:spacing w:after="0" w:line="206"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and unpredictability of timing to close larger enterprise and large organization deals, and the risk that our sales representatives do not effectively sell products and services;</w:t>
      </w:r>
    </w:p>
    <w:p>
      <w:pPr>
        <w:spacing w:after="0" w:line="189" w:lineRule="exact"/>
        <w:rPr>
          <w:sz w:val="20"/>
          <w:szCs w:val="20"/>
          <w:color w:val="auto"/>
        </w:rPr>
      </w:pPr>
    </w:p>
    <w:p>
      <w:pPr>
        <w:ind w:left="1300" w:hanging="320"/>
        <w:spacing w:after="0" w:line="261"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IoT and OT security opportunities and product refresh cycles;</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9" w:lineRule="auto"/>
        <w:tabs>
          <w:tab w:leader="none" w:pos="129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84" w:lineRule="exact"/>
        <w:rPr>
          <w:rFonts w:ascii="Times New Roman" w:cs="Times New Roman" w:eastAsia="Times New Roman" w:hAnsi="Times New Roman"/>
          <w:sz w:val="17"/>
          <w:szCs w:val="17"/>
          <w:color w:val="auto"/>
        </w:rPr>
      </w:pPr>
    </w:p>
    <w:p>
      <w:pPr>
        <w:ind w:left="1300" w:right="10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61"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61"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 including those related to tariffs;</w:t>
      </w:r>
    </w:p>
    <w:p>
      <w:pPr>
        <w:spacing w:after="0" w:line="175" w:lineRule="exact"/>
        <w:rPr>
          <w:rFonts w:ascii="Times New Roman" w:cs="Times New Roman" w:eastAsia="Times New Roman" w:hAnsi="Times New Roman"/>
          <w:sz w:val="18"/>
          <w:szCs w:val="18"/>
          <w:color w:val="auto"/>
        </w:rPr>
      </w:pPr>
    </w:p>
    <w:p>
      <w:pPr>
        <w:jc w:val="both"/>
        <w:ind w:left="1300" w:right="300" w:hanging="320"/>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caused by 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52"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including increased demand for such services and uncertainty associated with transition to providing such services, on our billings, revenue, operating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66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52"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188"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61"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8" w:lineRule="exact"/>
        <w:rPr>
          <w:rFonts w:ascii="Times New Roman" w:cs="Times New Roman" w:eastAsia="Times New Roman" w:hAnsi="Times New Roman"/>
          <w:sz w:val="18"/>
          <w:szCs w:val="18"/>
          <w:color w:val="auto"/>
        </w:rPr>
      </w:pPr>
    </w:p>
    <w:p>
      <w:pPr>
        <w:ind w:left="1300" w:right="280" w:hanging="320"/>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 such as that caused by the war in Ukraine, tensions between China and Taiwan, conflicts in the Middle East, and any disruption or negative impact on our ability to sell to, ship product to and support customers in certain regions based on trade restrictions, embargoes and export control law restrictions;</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52"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88"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manufacturing.</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tariffs or other trade disruptions, geopolitical instability and conflicts, changing interest rates, reduced information technology spending, including firewall and other security spending, or any economic downturn or recession, may adversely impact our business.</w:t>
      </w:r>
    </w:p>
    <w:p>
      <w:pPr>
        <w:spacing w:after="0" w:line="17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tariffs or other trade disruptions, changing interest rates, geopolitical instability and uncertainty, a reduction in information technology spending regardless of macroeconomic conditions, the effects of epidemics and pandemics and the impact of the war in Ukraine, tensions between China and Taiwan or conflicts in the Middle East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1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changing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withdraw from or materially modify international trade agreements, change tax provisions related to global manufacturing and sales or impose new tariffs, economic sanctions or related legislation, could adversely affect our financial condition and results of operations.</w:t>
      </w:r>
    </w:p>
    <w:p>
      <w:pPr>
        <w:spacing w:after="0" w:line="18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Given the international nature of our operations,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or increases in border taxes or tariff rates, changes in customs or tariffs classifications or modifications to tariff exemptions on foreign imports), trade barriers, economic sanctions and other related policies could harm our results of operations. While we do not currently expect tariffs to have a significant effect on our raw material and product import costs, if the United States expands increased tariffs, changes in customs or tariffs classifications or modifications to tariff exemptions or if retaliatory trade measures are taken by other countries in response to the U.S. tariffs, the cost of our products could increase, our operations could be disrupted or we could be required to raise our prices, which may result in the loss of customers and harm to our reputation and operating performance. U.S. tariffs, and any new or additional retaliatory tariffs that may be imposed by foreign countries, may also adversely affect our customers and, consequently, demand for our products. We are monitoring this evolving situation and there can be no assurance that we will be able to mitigate the impacts of any trade measures on our business, which could adversely impact our business, operating results, financial condition, and our stock price.</w:t>
      </w:r>
    </w:p>
    <w:p>
      <w:pPr>
        <w:spacing w:after="0" w:line="215"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administrations,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including our product and service billings and revenue, may slow, and our operating margins may decline, particularly if our billings and revenue do not improve or grow as anticipated, or if customer demand, renewal rates, pricing, competitive dynamics, implementation timing, cost structure, or macroeconomic conditions adversely affect our business, which could negatively impact our financial condition and results of operations.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 demand from products to services, decrease in services revenue growth, increased competition, execution challenges including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sales execution challenges and lack of optimal sales productivity, worldwide or regional economic challenges based on inflation or possible stagflation, a regional recession or a recession in the global economy, changing interest rates, as a result of regional conflicts,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acquisition, development or leasing of new data centers, data center expansions or office buildings, could involve significant risks to our business.</w:t>
      </w:r>
    </w:p>
    <w:p>
      <w:pPr>
        <w:spacing w:after="0" w:line="18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acquire or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07"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or regulatory issues and geological problems;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 or unexpected increases in power needs or connectivity;</w:t>
      </w:r>
    </w:p>
    <w:p>
      <w:pPr>
        <w:spacing w:after="0" w:line="252"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sustainability;</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52"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0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28% of our total net accounts receivable as of March 31, 2026.</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Six distributor customers who purchase directly from us accounted for 66% of our total net accounts receivable in the aggregate as of March 31, 2026. See Note 13. Segment Information in Part I, Item 1 of this Quarterly Report on Form 10-Q for distributor customers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provide channel partners with specific programs to assist them with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Additionally, if our channel partners experience issues such as cyberattacks or other operational disruptions, it could negatively impact our ability to receive orders from them and, among other things, may adversely affect our billings and revenue.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or changes in shipping terms could cause our billings and revenue to fall below expected levels</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23" w:lineRule="exact"/>
        <w:rPr>
          <w:sz w:val="20"/>
          <w:szCs w:val="20"/>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52"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0" w:hanging="320"/>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geopolitical matters or widespread public health problems including pandemics and epidemics;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52"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subscriptions and FortiCare technical support services, and revenue from these services may decline or fluctuate. Because we recognize revenue from these services over the term of the relevant service period, downturns or upturns in sales of FortiGuard and other security subscriptions and FortiCare technical support services are not immediately reflected in full in our operating results.</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subscriptions and FortiCare technical support services revenue has historically accounted for a significant percentage of our total revenue. Revenue from the sale of new, or from the renewal of existing, FortiGuard and other security subscriptions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subscriptions and FortiCare technical support service contracts decline, our revenue and revenue growth may decrease and our business could suffer. In addition, in the event significant customers require payment terms for FortiGuard and other security subscriptions and FortiCare technical support services in arrears or for shorter periods of time than annually, such as monthly or quarterly, this may negatively impact our billings and revenue. Furthermore, we recognize FortiGuard and other security subscriptions and FortiCare technical support services revenue ratably over the term of the service period, which is typically from one to five years. As a result, much of the FortiGuard and other security subscriptions and FortiCare technical support services revenue we report each quarter is the recognition of deferred revenue from FortiGuard and other security subscriptions and FortiCare technical support service contracts entered into during previous quarters or years. Consequently, a decline in new or renewed FortiGuard and other security subscriptions and FortiCare technical support service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subscriptions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Check Point Software Technologies Ltd., Cisco Systems, Inc. (“Cisco”), CrowdStrike Holdings, Inc. (“CrowdStrike”), F5 Networks, Inc., Hewlett-Packard Enterprise, Huawei Technologies Co., Ltd., Microsoft Corporation, Netskope Inc., Palo Alto Networks, Inc., SonicWALL, Inc., Sophos Group Plc, and Zscaler, Inc. (“Zscaler”).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competitive advantages include:</w:t>
      </w:r>
    </w:p>
    <w:p>
      <w:pPr>
        <w:spacing w:after="0" w:line="225"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expertise in certain single point solutions;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certain of our larger competitors may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have an employment agreement for a specific term, and any of our employees may terminate their employment at any time. Our ability to continue to attract and retain highly skilled personnel will be critical to our future success.</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indebtedness and may incur other debt in the future, which may adversely affect our financial condition and future financial results.</w:t>
      </w:r>
    </w:p>
    <w:p>
      <w:pPr>
        <w:spacing w:after="0" w:line="26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an aggregate of $496.8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3"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52"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3" w:lineRule="exact"/>
        <w:rPr>
          <w:sz w:val="20"/>
          <w:szCs w:val="20"/>
          <w:color w:val="auto"/>
        </w:rPr>
      </w:pPr>
    </w:p>
    <w:p>
      <w:pPr>
        <w:ind w:left="1300" w:right="60" w:hanging="320"/>
        <w:spacing w:after="0" w:line="258"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spacing w:after="0" w:line="210" w:lineRule="exact"/>
        <w:rPr>
          <w:rFonts w:ascii="Times New Roman" w:cs="Times New Roman" w:eastAsia="Times New Roman" w:hAnsi="Times New Roman"/>
          <w:sz w:val="18"/>
          <w:szCs w:val="18"/>
          <w:color w:val="auto"/>
        </w:rPr>
      </w:pPr>
    </w:p>
    <w:p>
      <w:pPr>
        <w:jc w:val="both"/>
        <w:ind w:left="1300" w:hanging="320"/>
        <w:spacing w:after="0" w:line="312" w:lineRule="auto"/>
        <w:tabs>
          <w:tab w:leader="none" w:pos="129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30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changes in trade agreements, tariffs and conflicts such as the war in Ukraine, tensions between China and Taiwan, conflicts in the Middle East and any expansions thereof, could adversely affect our business and financial performance;</w:t>
      </w:r>
    </w:p>
    <w:p>
      <w:pPr>
        <w:spacing w:after="0" w:line="188"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foreign markets, such as any economic instability caused by economic downturns or recessions, could adversely affect our business and financial performance;</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IP rights in some countries;</w:t>
      </w:r>
    </w:p>
    <w:p>
      <w:pPr>
        <w:spacing w:after="0" w:line="252"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8" w:lineRule="exact"/>
        <w:rPr>
          <w:rFonts w:ascii="Times New Roman" w:cs="Times New Roman" w:eastAsia="Times New Roman" w:hAnsi="Times New Roman"/>
          <w:sz w:val="18"/>
          <w:szCs w:val="18"/>
          <w:color w:val="auto"/>
        </w:rPr>
      </w:pPr>
    </w:p>
    <w:p>
      <w:pPr>
        <w:ind w:left="1300" w:right="98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48" w:lineRule="exact"/>
        <w:rPr>
          <w:rFonts w:ascii="Times New Roman" w:cs="Times New Roman" w:eastAsia="Times New Roman" w:hAnsi="Times New Roman"/>
          <w:sz w:val="18"/>
          <w:szCs w:val="18"/>
          <w:color w:val="auto"/>
        </w:rPr>
      </w:pPr>
    </w:p>
    <w:p>
      <w:pPr>
        <w:ind w:left="1300" w:hanging="320"/>
        <w:spacing w:after="0" w:line="245"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the Digital Operational Resilience Act (“DORA”), the EU Data Act, import and export control laws, trade laws and regulations, tariffs and retaliatory measures, trade barriers and economic sanctions;</w:t>
      </w:r>
    </w:p>
    <w:p>
      <w:pPr>
        <w:spacing w:after="0" w:line="22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8" w:lineRule="exact"/>
        <w:rPr>
          <w:rFonts w:ascii="Times New Roman" w:cs="Times New Roman" w:eastAsia="Times New Roman" w:hAnsi="Times New Roman"/>
          <w:sz w:val="18"/>
          <w:szCs w:val="18"/>
          <w:color w:val="auto"/>
        </w:rPr>
      </w:pPr>
    </w:p>
    <w:p>
      <w:pPr>
        <w:jc w:val="both"/>
        <w:ind w:left="1300" w:right="240" w:hanging="320"/>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160" w:hanging="320"/>
        <w:spacing w:after="0" w:line="282"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5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75" w:lineRule="exact"/>
        <w:rPr>
          <w:rFonts w:ascii="Times New Roman" w:cs="Times New Roman" w:eastAsia="Times New Roman" w:hAnsi="Times New Roman"/>
          <w:sz w:val="18"/>
          <w:szCs w:val="18"/>
          <w:color w:val="auto"/>
        </w:rPr>
      </w:pPr>
    </w:p>
    <w:p>
      <w:pPr>
        <w:ind w:left="1300" w:right="860" w:hanging="320"/>
        <w:spacing w:after="0" w:line="282"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8"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88"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and expect greater payment flexibility from vendors. In addition, large- and medium-</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We have been growing our salesforce.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0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199"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their own supply chain constraints and contractual requirements, challenges and risks.</w:t>
      </w:r>
    </w:p>
    <w:p>
      <w:pPr>
        <w:spacing w:after="0" w:line="18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right="140" w:hanging="320"/>
        <w:spacing w:after="0" w:line="26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2"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Our business operations, contract awards, and revenue streams are subject to governmental actions, which may introduce risks to our financial performance and strategic growth. In addition, these actions could eliminate or reduce the operations of an agency that we work with, terminate employees with whom we have business relations with or cancel or modify a contract with us. Any failure to comply with these actions, shifts in federal procurement strategies, or budgetary reductions imposed by the agency could adversely impact our financial results, competitive positioning, and overall business operations; and</w:t>
      </w:r>
    </w:p>
    <w:p>
      <w:pPr>
        <w:spacing w:after="0" w:line="215"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tensions between China and Taiwan, conflicts in the Middle East, trade protectionism and other geopolitical dynamics that may adversely affect our ability to sell in certain locations or obtain the requisite permits and clearances required for certain purchases by government organizations of our products and services.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the required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0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1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Services, Industry and 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including critical vulnerabilities, in our products or services, the failure of our products or services to detect or prevent a security incident or the misuse of our products could harm our and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operational results and reputation.</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Additionally, any perception that our products have vulnerabilities, whether or not accurate, and any actual vulnerabilities may harm our operational results and reputation, more significantly as compared to other companies in other industries.</w:t>
      </w:r>
    </w:p>
    <w:p>
      <w:pPr>
        <w:spacing w:after="0" w:line="21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For example, we recently discovered, and subsequently released to customers an advisory update and patch for, a critical vulnerability in our FortiManager product. We are subject to various risks due to the FortiManager vulnerability, including reputational harm, adverse impacts to customer relationships, potential litigation, and additional regulatory scrutiny, which could negatively impact our business, operating results and financial condition. There can be no assurance that posts on our FortiGuard Labs website, including with respect to the recently announced FortiManager vulnerability, will be sufficiently timely, accurate or complete or that those customers will see such posts or take steps to mitigate the risk of vulnerabilities, and certain customers may be negatively impacted.</w:t>
      </w:r>
    </w:p>
    <w:p>
      <w:pPr>
        <w:spacing w:after="0" w:line="2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Further, customers may choose not to apply patches in a timely manner for business or operational reasons, or may neglect to upgrade at all and may run unpatched or unsupported devices against our guidance and industry best practice. Such lack of action to remediate known product vulnerabilities in the customer environment could negatively impact their own security posture, increasing the likelihood of exploitation and negatively impacting our reputation. Our networks and products, including cloud-based technology, could be targeted by attacks specifically designed to disrupt our business and harm our operational results and reputation.</w:t>
      </w:r>
    </w:p>
    <w:p>
      <w:pPr>
        <w:spacing w:after="0" w:line="20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subscriptions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including critical vulnerabilities, in our products, or misuse of our products, could result in:</w:t>
      </w:r>
    </w:p>
    <w:p>
      <w:pPr>
        <w:spacing w:after="0" w:line="183" w:lineRule="exact"/>
        <w:rPr>
          <w:sz w:val="20"/>
          <w:szCs w:val="20"/>
          <w:color w:val="auto"/>
        </w:rPr>
      </w:pPr>
    </w:p>
    <w:p>
      <w:pPr>
        <w:ind w:left="1300" w:right="120" w:hanging="320"/>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25"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1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AI, and malicious parties may use AI to help attack our solutions, systems, and our customers.</w:t>
      </w:r>
    </w:p>
    <w:p>
      <w:pPr>
        <w:spacing w:after="0" w:line="2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including critical vulnerabilities, in our product software and infrastructure in an effort to gain entry into our customers’ networks. In addition, in general threat actors use dark web forums to sell organizations’ stolen credentials. If threat actors sell valid credentials used by our customers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subscriptions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1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product shortages, which may result in lost sales, higher expenses and excess inventory, which may require us to sell our products at discounts and lead to inventory charges or write-offs.</w:t>
      </w:r>
    </w:p>
    <w:p>
      <w:pPr>
        <w:spacing w:after="0" w:line="20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strikes or other labor disruptions, tariffs, cyber events, international trade disputes, international conflicts, terrorism, wars or other foreign conflicts, such as the war in Ukraine, tensions between China and Taiwan or conflicts in the Middle East, and critical infrastructure attacks, our business and financial results could be materially and adversely impacted.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 For example, as a result of the rapid global build-out of AI infrastructure, there is currently a global shortage of memory chips, which are a component in certain of our products. As a result, we are currently experiencing, and may continue to experience, constraints on the availability of memory chips. If we are unable to obtain sufficient quantities of memory chips on commercially reasonable terms, we have experienced, and may continue to experience, delays in the production and delivery of our products and increased costs to source available memory chips, any of which could harm our business, financial condition and results of operations. To mitigate increased hardware costs resulting from these shortages, we are implementing price increases, which may negatively impact demand for our products and may not be sufficient or timely to offset rising input costs, potentially resulting in margin compression and adversely affecting our business, financial condition and results of operations.</w:t>
      </w:r>
    </w:p>
    <w:p>
      <w:pPr>
        <w:spacing w:after="0" w:line="20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response to ongoing supply chain constraints and elevated lead times for certain components, including memory chips, we have increased our inventory purchase commitments. As during prior periods of supply chain disruption, including the COVID-19 pandemic, these expanded commitments may require us to accept or pay for components and finished goods regardless of our level of sales in a particular period, and may not align with actual end-customer demand at the time of delivery. If demand for our products softens, customer requirements shift, technology transitions occur more rapidly than anticipated, our product roadmap changes, or our forecasts otherwise prove inaccurate, we could be left with excess or obsolete inventory or non-cancelable purchase obligations in excess of our needs. Any of the foregoing could result in inventory write-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downs or write-offs, charges for excess inventory, losses on purchase commitments, increased storage and logistics costs, the need to sell products at discounted prices, and compression of our gross margins, any of which could negatively or unpredictably impact our operating results, financial condition, and cash flows. For additional information and a further discussion of impacts and risks related to our purchase commitments with our suppliers, refer to Note 10. Commitments and Contingencies in Part I, Item 1 of this Quarterly Report on Form 10-Q.</w:t>
      </w:r>
    </w:p>
    <w:p>
      <w:pPr>
        <w:spacing w:after="0" w:line="2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1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225"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because of the significant research, development, marketing, sales and other expenses we incurred in connection with the new product, service or enhancement.</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2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2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 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2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1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additionally third-party manufacturing cost increases and changes in the geopolitical environment could result in lower gross margins and free cash flow.</w:t>
      </w:r>
    </w:p>
    <w:p>
      <w:pPr>
        <w:spacing w:after="0" w:line="20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Accton,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strikes or other labor disruptions, cyber events, international trade disputes, tariffs, international conflicts, terrorism, wars or other foreign conflicts, such as the war in Ukraine, tensions between China and Taiwan or conflicts in the Middle East,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76% of our hardware was manufactured in Taiwan during the three months ended March 31, 2026, a decrease from prior periods as a result of our ongoing supply chain diversification efforts. Any increase in tensions between China and Taiwan, including threats of military actions or escalation of military activities, could adversely affect our manufacturing operations in Taiwan, which, given the large percentage of our hardware that is manufactured in Taiwan, could have significant impacts on our business and operations. Any new restrictions that negatively impact our ability to receive supply of hardware components from Taiwan would negatively impact our business and financial results.</w:t>
      </w:r>
    </w:p>
    <w:p>
      <w:pPr>
        <w:spacing w:after="0" w:line="19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strikes or other labor disruptions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2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Central Processing Units from Intel Corporation (“Intel”) and Advanced Micro Devices, Inc., network and wireless chips from Broadcom Inc., Marvell Technology Group Ltd., Qualcomm Incorporated and Intel, and memory devices from Intel, Micron Technology, ADATA Technology Co., Ltd., Toshiba Corporation, Samsung Electronics Co., Ltd. and Western Digital Technologies, Inc.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8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False positive detection of legitimate non-malicious files as viruses or malware or false identification of legitimate emails as spam, could adversely affect our business.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heuristics, ML or AI features in our products, which attempt to identify viruses and other threats not based on any known signatures but based on characteristics or anomalies that may indicate that a particular item is a threat. 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 Changes to our warranty reserve estimates could materially impact our gross margins and operating results.</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5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Due to the use of manual processes and the fact that we may receive a large volume of our orders in the last few weeks of any given quarter, an interruption in our email service or other systems could result in delayed order fulfillment and decreased billings and revenue for that quarter.</w:t>
      </w:r>
    </w:p>
    <w:p>
      <w:pPr>
        <w:spacing w:after="0" w:line="21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existing systems, processes, and controls may not prevent or detect all errors, omissions, or fraud.</w:t>
      </w:r>
    </w:p>
    <w:p>
      <w:pPr>
        <w:spacing w:after="0" w:line="21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1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and market perceptions regarding AI-related disruption could adversely affect our business, reputation, financial results, or stock price.</w:t>
      </w:r>
    </w:p>
    <w:p>
      <w:pPr>
        <w:spacing w:after="0" w:line="19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ML technology into our solutions. AI presents risks, challenges, and potentially unintended consequences that could impact our ability to effectively use AI successfully in our business. Given the nature of AI technology, we face an evolving regulatory landscape and significant competition from other companies. Our AI efforts may not be successful and our competitors may incorporate AI into their solutions more quickly or more successfully than we do, which could impair our ability to compete effectively, reduce demand for our products and services and adversely affect our financial results. Increased competition from other companies implementing AI more effectively or rapidly could impact customer preferences and reduce demand for our products or services. Data practices by us or others, AI governance, AI development and validation practices that result in controversy could also impair the acceptance of AI solutions. This in turn could undermine confidence in the decisions, predictions, analysis, and effectiveness of our AI-related initiatives. In addition, vulnerabilities within our AI systems or solutions may be identified by competitors, researchers, or malicious actors before we detect or remediate them, which could result in security incidents, reputational damage, or loss of customer confidence. Advances in AI may also increase the speed, scale, and sophistication of vulnerability discovery and related cyber threat activity more broadly. Although the identification of a vulnerability does not by itself enable successful exploitation, AI-native capabilities may reduce the time between vulnerability discovery and attempted exploitation, increase the number of potential attack paths that malicious actors can evaluate, and potentially make certain attack techniques more accessible, scalable, and difficult to detect. To the extent customers, investors, or other market participants perceive that AI-native tools can automate or commoditize aspects of vulnerability identification, automated patching and other cybersecurity functions, the perceived value of certain traditional cybersecurity solutions could diminish, and customer buying patterns, competitive dynamics, pricing expectations, and demand for our offerings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GenAI, may create content that appears correct but is factually inaccurate (hallucinations) or flawed, or contains copyrighted or other protected material, and if our customers or others use this flawed content to their detriment, or use our AI solutions outside of their intended use cases with an adverse impact to their operations,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spacing w:after="0" w:line="21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Separately from the actual operational, competitive, and regulatory risks described above, investor and market perceptions regarding AI-related disruption to the cybersecurity industry, including speculation, or doubt about whether AI will displace, commoditize, or diminish demand for traditional cybersecurity solutions, or about the relative positioning of incumbents versus AI-native entrants, could adversely affect the trading price and volatility of our common stock, even if such perceptions do not reflect actual changes in our business, customer demand, competitive position, or financial performance. Perceived disruptive impact of AI on our markets could result in stock price declines, increased volatility, or heightened scrutiny, regardless of our actual operating results. Any of the foregoing could adversely affect our business, reputation, or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technology in our IT infrastructure could improve internal process but poses security and privacy risks.</w:t>
      </w:r>
    </w:p>
    <w:p>
      <w:pPr>
        <w:spacing w:after="0" w:line="25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 adoption of AI in internal processes presents an opportunity to bolster decision making, productivity and customer satisfaction, but the new technology poses risks. AI can be exploited by hackers and malicious actors to develop advanced cyberattacks, bypass security measures, and exploit system vulnerabilities including potentially identifying weaknesses in our systems before we become aware of or can remediate them. The use of AI involves handling large amounts of data. If the security measures around the usage of AI are insufficient, there’s risk of data breaches, leading to unauthorized access to sensitive information. Failure to comply with data protection regulations (such as GDPR or the California Consumer Privacy Act (the “CCPA”) and DORA) can result in legal consequences. 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AI models by us or our vendors could result in legal risk, especially if it involves customer data. Other risks that have been observed in AI models and documentation, include risks related to bias, discrimination, job displacements and violating human rights.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94"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1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 or result in loss of IP.</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5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development practices, procedures and policies. For example, we may experience difficulties integrating an acquired company’s ERP or CRM systems, SaaS delivery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spacing w:after="0" w:line="2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results of certain businesses that we invest in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1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8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0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the UK Extension to the EU-U.S. Data Privacy Framework and the Swiss-U.S. Data Privacy Framework (collectively, the “Framework”) following certain changes to U.S. law intended to address the concerns underlying that court decision with respect to transfers of personal data to the United States.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Framework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GDPR, the EU has also enacted legislation that would regulate non-personal data and establish new cybersecurity standards, and other countries, including the U.K., may similarly do so in the future. In particular, the EU Data Act went into effect in 2024 and imposes certain data and cloud service interoperability and switching obligations to enable users to switch between cloud service providers (as well as certain requirements concerning cross-border international transfers of non-personal data outside the EEA).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DORA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w:t>
      </w:r>
    </w:p>
    <w:p>
      <w:pPr>
        <w:spacing w:after="0" w:line="21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CCPA, which provides new data privacy rights for consumers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1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1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involved in litigation that may adversely affect us.</w:t>
      </w:r>
    </w:p>
    <w:p>
      <w:pPr>
        <w:spacing w:after="0" w:line="24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and other proceedings including patent, product liability, class action, personal injury, property damage, labor and employment, commercial disputes, securities litigation, compliance with laws and regulatory requirements and other matters, and we may become subject to additional types of claims, suits, investigations and proceedings as our business expands.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be sure that the results of any of these actions will not have a material adverse effect on our business, financial condition, results of operations, and prospects. Any of these consequences could adversely affect our business and results of operations. For additional information regarding our litigation, claims and related contingencies, see Note 10. Commitments and Contingencies,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and packaging of Electrical and Electronic Equipment. The laws and regulations to which we are subject include the EU RoHS Directive, the EU Packaging and Packaging Waste Regulation 2025/40 (the “REACH” Regulation), the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required to re-engineer our products to use components compatible with these regulations. This re-engineering and component substitution could result in additional costs to us and/or disrupt our operations or logistics.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in articles and in complex objects. The SCIP database is established under the WFD and managed by the European Chemicals Agency. We have incurred costs in order to comply with this new requirement. Similar laws and regulations have been passed or are pending in the European Economic Area and the UK.</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Additional regulations involving single-use plastics in packaging resulting in import taxes in certain countries in the EU have resulted in additional costs to source appropriate packaging for hardware. Alternatively, for our cloud based systems, new EU energy efficiency laws relating to the power usage effectiveness and emerging water usage regulations of data centers will require us to source specific data centers or retrofit existing ones to meet the stringent energy efficiency requirements.</w:t>
      </w:r>
    </w:p>
    <w:p>
      <w:pPr>
        <w:spacing w:after="0" w:line="2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corporate responsibility and sustainability factors may impose additional costs and expose us to new risks.</w:t>
      </w:r>
    </w:p>
    <w:p>
      <w:pPr>
        <w:spacing w:after="0" w:line="18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Certain investors, employees, customers and other stakeholders have a focus on corporate responsibility. Some investors may use these non-financial performance factors to guide their investment strategies and, in some cases, may choose not to invest in us if they believe our policies and actions relating to corporate responsibility are inadequate. Investor demand for measurement of non-financial performance is addressed by third-party providers of sustainability assessment and ratings on companies. The criteria by which our corporate responsibility practices are assessed may change due to the constant evolution of the global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standards set by various constituencies.</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corporate responsibility and sustainability matters,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condensed consolidated financial statements and accompanying notes. We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We are not currently engaged in material hedging activities, and as a result,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1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86"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7" w:lineRule="exact"/>
        <w:rPr>
          <w:sz w:val="20"/>
          <w:szCs w:val="20"/>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52"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8" w:lineRule="exact"/>
        <w:rPr>
          <w:rFonts w:ascii="Times New Roman" w:cs="Times New Roman" w:eastAsia="Times New Roman" w:hAnsi="Times New Roman"/>
          <w:sz w:val="18"/>
          <w:szCs w:val="18"/>
          <w:color w:val="auto"/>
        </w:rPr>
      </w:pPr>
    </w:p>
    <w:p>
      <w:pPr>
        <w:ind w:left="1300" w:right="820" w:hanging="320"/>
        <w:spacing w:after="0" w:line="282"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ectPr>
          <w:pgSz w:w="11900" w:h="16838" w:orient="portrait"/>
          <w:cols w:equalWidth="0" w:num="1">
            <w:col w:w="11200"/>
          </w:cols>
          <w:pgMar w:left="320" w:top="27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2025, our internal controls over financial reporting were effective, we cannot predict the outcome of our testing in</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2026 or future periods and there can be no assurance that, in the future, our internal controls over financial reporting will be effective or deemed effective. We may incur additional expenses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and commitment of management’s time in connection with further evaluations, both of which could materially increase our operating expenses and accordingly reduce our operating results.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stock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three months ended March 31, 2026, the closing price of our common stock ranged from $75.23 to $87.82 per share.</w:t>
      </w:r>
    </w:p>
    <w:p>
      <w:pPr>
        <w:spacing w:after="0" w:line="20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geopolitical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currently are, and may be in the future, the target of this type of litigation in the future. Securities litigation against us could result in substantial costs and divert our management’s attention from other business concerns, which could seriously harm our business.</w:t>
      </w:r>
    </w:p>
    <w:p>
      <w:pPr>
        <w:spacing w:after="0" w:line="19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our board of directors approved a $1.0 billion increase in the authorized stock repurchase amount under the Repurchase Program, bringing the aggregate amount authorized to be repurchased to $10.25 billion of our outstanding common stock through February 28, 2027. As of</w:t>
      </w:r>
    </w:p>
    <w:p>
      <w:pPr>
        <w:ind w:right="100"/>
        <w:spacing w:after="0" w:line="251" w:lineRule="auto"/>
        <w:rPr>
          <w:sz w:val="20"/>
          <w:szCs w:val="20"/>
          <w:color w:val="auto"/>
        </w:rPr>
      </w:pPr>
      <w:r>
        <w:rPr>
          <w:rFonts w:ascii="Times New Roman" w:cs="Times New Roman" w:eastAsia="Times New Roman" w:hAnsi="Times New Roman"/>
          <w:sz w:val="18"/>
          <w:szCs w:val="18"/>
          <w:color w:val="auto"/>
        </w:rPr>
        <w:t>March 31, 2026, approximately $911.7 million remained available for future share repurchases.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320"/>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480" w:hanging="320"/>
        <w:spacing w:after="0" w:line="282"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changing interest rates, changes to government spending and regulations, and weakening product demand could adversely affect our business and financial performance.</w:t>
      </w:r>
    </w:p>
    <w:p>
      <w:pPr>
        <w:spacing w:after="0" w:line="18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Economic challenges caused by economic downturn, any resulting recession, inflation, GDP impact (both domestically and internationally) or change in interest rates can weaken and harm our financial position. The U.S. capital markets have experienced and continue to experience extreme volatility and disruption. Further deterioration of the macroeconomic environment and regulatory action may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 changes in trade policies and agreements and conflicts could adversely affect our business and financial performance.</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tensions between China and Taiwan or conflicts in the Middle East has resulted, and may continue to result in weakened demand for our products and services and difficulty in forecasting our financial results and managing inventory levels. Geopolitical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the transition in administrations, changing in the U.S. government’s trade policy and the United States’ ongoing trade disputes with Russia, China and other countries, including the United States’ tariffs, and any new or additional retaliatory tariffs from foreign countries. For example, global press reports have indicated that the Chinese government may have instructed domestic companies in certain industries not to use cybersecurity products manufactured by the companies based in the United States or Israel, including us and certain of our competitors. The continuing effect of any or all of these events could adversely impact demand for our products, harm our operations and weaken our financial results.</w:t>
      </w:r>
    </w:p>
    <w:p>
      <w:pPr>
        <w:spacing w:after="0" w:line="217"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strikes or other labor disruptions, critical infrastructure attack and terrorism.</w:t>
      </w:r>
    </w:p>
    <w:p>
      <w:pPr>
        <w:spacing w:after="0" w:line="20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typhoon,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tensions between China and Taiwan or conflicts in the Middle East and any expansion thereof, and other acts of aggression, civil and political unrest, strikes or other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channel partners or end-customers that impacts sales at the end of our quarter could have a significant adverse impact on our quarterly results. For example, if one of our channel partners experiences issues such as cyberattacks or other operational disruptions at the end of a quarter, it could negatively impact our ability to receive orders from them and, among other things, may adversely affect our billings and revenue.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under the Repurchase Program during the three months ended March 31, 2026 (in millions, except average price paid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9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94"/>
        </w:trPr>
        <w:tc>
          <w:tcPr>
            <w:tcW w:w="40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 or Program</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96"/>
        </w:trPr>
        <w:tc>
          <w:tcPr>
            <w:tcW w:w="4040" w:type="dxa"/>
            <w:vAlign w:val="bottom"/>
            <w:gridSpan w:val="2"/>
            <w:vMerge w:val="continue"/>
          </w:tcPr>
          <w:p>
            <w:pPr>
              <w:spacing w:after="0"/>
              <w:rPr>
                <w:sz w:val="8"/>
                <w:szCs w:val="8"/>
                <w:color w:val="auto"/>
              </w:rPr>
            </w:pPr>
          </w:p>
        </w:tc>
        <w:tc>
          <w:tcPr>
            <w:tcW w:w="194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8"/>
                <w:szCs w:val="8"/>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40" w:type="dxa"/>
            <w:vAlign w:val="bottom"/>
            <w:gridSpan w:val="2"/>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January 2026, our board of directors approved a $1.0 billion increase in the authorized stock repurchase amount under the Repurchase Program, bringing the aggregate amount authorized to be repurchased to $10.25 billion of our outstanding common stock through February 28, 2027. As of March 31, 2026, approximately $911.7 million remained available for future share repurchases under the Repurchase Program.</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On March 3, 2026, Ken Xie, our Chief Executive Officer and one of our directors, entered into a pre-arranged written stock sale plan in</w:t>
      </w:r>
    </w:p>
    <w:p>
      <w:pPr>
        <w:spacing w:after="0" w:line="16"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accordance with Rule 10b5-1 under the Exchange Act for the sale of shares of our common stock (the “Ken Xie Plan”) during an open trading window in accordance with our insider trading policy. The Ken Xie Plan is intended to satisfy the affirmative defense of Rule 10b5-1(c) under the Exchange Act. The Ken Xie Plan provides for the potential sale by Mr. Ken Xie of up to (a) 1,164,981 shares of our common stock, issued upon the vesting and settlement of RSUs for shares of our common stock and the exercise of vested options to purchase shares of our common stock and (b) the net shares (which are not yet determinable) after shares are withheld to satisfy tax obligations upon such vesting and settlement of RSUs and PSUs, in each case, at the market price, all between June 2, 2026 and November 30, 2027.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On March 4, 2026, Michael Xie, our Chief Technology Officer and one of our directors, entered into a pre-arranged written stock sale plan in accordance with Rule 10b5-1 under the Exchange Act for the sale of shares of our common stock (the “Michael Xie Plan”) during an open trading window in accordance with our insider trading policy. The Michael Xie Plan is intended to satisfy the affirmative defense of Rule 10b5-1(c) under the Exchange Act. The Michael Xie Plan provides for the potential sale by Mr. Michael Xie of up to (a) 466,239 shares of our common stock, issued upon the vesting and settlement of RSUs for shares of our common stock and the exercise of vested options to purchase shares of our common stock and (b) the net shares (which are not yet determinable) after shares are withheld to satisfy tax obligations upon such vesting and settlement of RSUs and PSUs, in each case, at the market price, all between June 3, 2026 and November 30, 2027.</w:t>
      </w:r>
    </w:p>
    <w:p>
      <w:pPr>
        <w:spacing w:after="0" w:line="19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On February 19, 2026, John Whittle, our Chief Operating Officer, modified an existing trading plan, which was originally adopted on March 3, 2025 in accordance with Rule 10b5-1 under the Exchange Act for the sale of shares of our common stock (the “Whittle Plan”) during an open trading window in accordance with our insider trading policy. The modified Whittle Plan is intended to satisfy the affirmative defense of Rule 10b5-1(c) under the Exchange Act. The modified Whittle Plan provides for the potential sale by Mr. Whittle of up to 146,015 shares of our common stock, issued upon the exercise of vested stock options for shares of our common stock, at the market price, between May 21, 2026 and May 28, 2027.</w:t>
      </w:r>
    </w:p>
    <w:p>
      <w:pPr>
        <w:spacing w:after="0" w:line="21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Each of the Ken Xie Plan, Michael Xie Plan and the Whittle Plan (each, a “10b5-1 Plan,” and together, the “10b5-1 Plans”) includes a representation from each of Mr. Ken Xie, Mr. Michael Xie and Mr. Whittle, respectively, to the broker administering the plan that they were not in possession of any material nonpublic information regarding us or the securities subject to their respective 10b5-1 Plan at the time their respective 10b5-1 Plan was entered into. A similar representation was made to us in connection with the adoption of each 10b5-1 Plan under our insider trading policy. Those representations for each 10b5-1 Plan were made as of the respective date of adoption of the applicable 10b5-1 Plan, and speak only as of that date. In making those representations, there is no assurance with respect to any material nonpublic information of which Mr. Ken Xie, Mr. Michael Xie and Mr. Whittle, as applicable, were unaware, or with respect to any material nonpublic information acquired by Mr. Ken Xie, Mr. Michael Xie and Mr. Whittle or us, as applicable, after the date of each such representation.</w:t>
      </w:r>
    </w:p>
    <w:p>
      <w:pPr>
        <w:spacing w:after="0" w:line="20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Once executed, transactions under the 10b5-1 Plans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Mr. Ken Xie, Mr. Michael Xie and Mr. Whittle or our other officers or directors, or their affiliated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0" w:type="dxa"/>
            <w:vAlign w:val="bottom"/>
          </w:tcPr>
          <w:p>
            <w:pPr>
              <w:spacing w:after="0"/>
              <w:rPr>
                <w:sz w:val="1"/>
                <w:szCs w:val="1"/>
                <w:color w:val="auto"/>
              </w:rPr>
            </w:pPr>
          </w:p>
        </w:tc>
      </w:tr>
      <w:tr>
        <w:trPr>
          <w:trHeight w:val="18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7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720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vMerge w:val="continue"/>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0" w:type="dxa"/>
            <w:vAlign w:val="bottom"/>
            <w:tcBorders>
              <w:top w:val="single" w:sz="8" w:color="0000FF"/>
            </w:tcBorders>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Form 10-Q for the quarter ended March 31, 2026 is formatted in inline XBRL.</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ind w:left="80" w:hanging="72"/>
        <w:spacing w:after="0" w:line="216" w:lineRule="auto"/>
        <w:tabs>
          <w:tab w:leader="none" w:pos="8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Furnished herewith.</w:t>
      </w:r>
    </w:p>
    <w:p>
      <w:pPr>
        <w:ind w:left="80" w:hanging="72"/>
        <w:spacing w:after="0" w:line="199" w:lineRule="auto"/>
        <w:tabs>
          <w:tab w:leader="none" w:pos="8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79"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7140" w:val="left"/>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Ken Xie, Chief Executive Officer and Chairman</w:t>
      </w:r>
    </w:p>
    <w:p>
      <w:pPr>
        <w:spacing w:after="0" w:line="104"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80" w:lineRule="exact"/>
        <w:rPr>
          <w:sz w:val="20"/>
          <w:szCs w:val="20"/>
          <w:color w:val="auto"/>
        </w:rPr>
      </w:pPr>
    </w:p>
    <w:p>
      <w:pPr>
        <w:ind w:left="3540"/>
        <w:spacing w:after="0"/>
        <w:tabs>
          <w:tab w:leader="none" w:pos="6600" w:val="left"/>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Christiane Ohlgart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4534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Christiane Ohlgart, Chief Financial Officer</w:t>
      </w:r>
    </w:p>
    <w:p>
      <w:pPr>
        <w:spacing w:after="0" w:line="31"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80"/>
          </w:cols>
          <w:pgMar w:left="320" w:top="279" w:right="3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Christiane Ohlgart,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Christiane Ohlgart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Christiane Ohlgart</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March 31, 2026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720" w:type="dxa"/>
            <w:vAlign w:val="bottom"/>
          </w:tcPr>
          <w:p>
            <w:pPr>
              <w:spacing w:after="0"/>
              <w:rPr>
                <w:sz w:val="15"/>
                <w:szCs w:val="15"/>
                <w:color w:val="auto"/>
              </w:rPr>
            </w:pPr>
          </w:p>
        </w:tc>
        <w:tc>
          <w:tcPr>
            <w:tcW w:w="2900" w:type="dxa"/>
            <w:vAlign w:val="bottom"/>
          </w:tcPr>
          <w:p>
            <w:pPr>
              <w:ind w:left="22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9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 Christiane Ohlgart, certify, pursuant to 18 U.S.C. Section 1350, as adopted pursuant to Section 906 of the Sarbanes-Oxley Act of 2002, that the Quarterly Report on Form 10-Q of Fortinet, Inc. for the quarter ended March 31, 2026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Christiane Ohlgart</w:t>
            </w: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Christiane Ohlgart</w:t>
            </w:r>
          </w:p>
        </w:tc>
      </w:tr>
      <w:tr>
        <w:trPr>
          <w:trHeight w:val="180"/>
        </w:trPr>
        <w:tc>
          <w:tcPr>
            <w:tcW w:w="3720" w:type="dxa"/>
            <w:vAlign w:val="bottom"/>
          </w:tcPr>
          <w:p>
            <w:pPr>
              <w:spacing w:after="0"/>
              <w:rPr>
                <w:sz w:val="15"/>
                <w:szCs w:val="15"/>
                <w:color w:val="auto"/>
              </w:rPr>
            </w:pPr>
          </w:p>
        </w:tc>
        <w:tc>
          <w:tcPr>
            <w:tcW w:w="2900" w:type="dxa"/>
            <w:vAlign w:val="bottom"/>
          </w:tcPr>
          <w:p>
            <w:pPr>
              <w:ind w:left="22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1."/>
      <w:numFmt w:val="decimal"/>
      <w:start w:val="11"/>
    </w:lvl>
  </w:abstractNum>
  <w:abstractNum w:abstractNumId="14">
    <w:nsid w:val="7C3DBD3D"/>
    <w:multiLevelType w:val="hybridMultilevel"/>
    <w:lvl w:ilvl="0">
      <w:lvlJc w:val="left"/>
      <w:lvlText w:val="%1."/>
      <w:numFmt w:val="decimal"/>
      <w:start w:val="13"/>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4"/>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2026-05-08T05:24:45Z</dcterms:created>
  <dcterms:modified xsi:type="dcterms:W3CDTF">2026-05-08T05:24:45Z</dcterms:modified>
</cp:coreProperties>
</file>