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483870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449580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190"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348" w:lineRule="exact"/>
        <w:rPr>
          <w:sz w:val="24"/>
          <w:szCs w:val="24"/>
          <w:color w:val="auto"/>
        </w:rPr>
      </w:pPr>
    </w:p>
    <w:p>
      <w:pPr>
        <w:ind w:left="3880" w:right="1660" w:hanging="3854"/>
        <w:spacing w:after="0" w:line="394" w:lineRule="auto"/>
        <w:tabs>
          <w:tab w:leader="none" w:pos="399" w:val="left"/>
        </w:tabs>
        <w:numPr>
          <w:ilvl w:val="0"/>
          <w:numId w:val="1"/>
        </w:numPr>
        <w:rPr>
          <w:rFonts w:ascii="MS PGothic" w:cs="MS PGothic" w:eastAsia="MS PGothic" w:hAnsi="MS PGothic"/>
          <w:sz w:val="25"/>
          <w:szCs w:val="25"/>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55" w:lineRule="exact"/>
        <w:rPr>
          <w:sz w:val="24"/>
          <w:szCs w:val="24"/>
          <w:color w:val="auto"/>
        </w:rPr>
      </w:pPr>
    </w:p>
    <w:p>
      <w:pPr>
        <w:ind w:left="420" w:hanging="381"/>
        <w:spacing w:after="0"/>
        <w:tabs>
          <w:tab w:leader="none" w:pos="420" w:val="left"/>
        </w:tabs>
        <w:numPr>
          <w:ilvl w:val="0"/>
          <w:numId w:val="2"/>
        </w:numPr>
        <w:rPr>
          <w:rFonts w:ascii="MS PGothic" w:cs="MS PGothic" w:eastAsia="MS PGothic" w:hAnsi="MS PGothic"/>
          <w:sz w:val="25"/>
          <w:szCs w:val="25"/>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38" w:lineRule="exact"/>
        <w:rPr>
          <w:sz w:val="24"/>
          <w:szCs w:val="24"/>
          <w:color w:val="auto"/>
        </w:rPr>
      </w:pPr>
    </w:p>
    <w:p>
      <w:pPr>
        <w:ind w:left="380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3917950</wp:posOffset>
            </wp:positionH>
            <wp:positionV relativeFrom="paragraph">
              <wp:posOffset>-7620</wp:posOffset>
            </wp:positionV>
            <wp:extent cx="837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51"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2340" w:type="dxa"/>
            <w:vAlign w:val="bottom"/>
          </w:tcPr>
          <w:p>
            <w:pPr>
              <w:spacing w:after="0"/>
              <w:rPr>
                <w:sz w:val="19"/>
                <w:szCs w:val="19"/>
                <w:color w:val="auto"/>
              </w:rPr>
            </w:pPr>
          </w:p>
        </w:tc>
        <w:tc>
          <w:tcPr>
            <w:tcW w:w="6360" w:type="dxa"/>
            <w:vAlign w:val="bottom"/>
          </w:tcPr>
          <w:p>
            <w:pPr>
              <w:jc w:val="center"/>
              <w:ind w:right="1831"/>
              <w:spacing w:after="0"/>
              <w:rPr>
                <w:sz w:val="20"/>
                <w:szCs w:val="20"/>
                <w:color w:val="auto"/>
              </w:rPr>
            </w:pPr>
            <w:r>
              <w:rPr>
                <w:rFonts w:ascii="Arial" w:cs="Arial" w:eastAsia="Arial" w:hAnsi="Arial"/>
                <w:sz w:val="18"/>
                <w:szCs w:val="18"/>
                <w:b w:val="1"/>
                <w:bCs w:val="1"/>
                <w:color w:val="auto"/>
                <w:w w:val="89"/>
              </w:rPr>
              <w:t>Commission file number: 001-34511</w:t>
            </w:r>
          </w:p>
        </w:tc>
      </w:tr>
      <w:tr>
        <w:trPr>
          <w:trHeight w:val="207"/>
        </w:trPr>
        <w:tc>
          <w:tcPr>
            <w:tcW w:w="2340" w:type="dxa"/>
            <w:vAlign w:val="bottom"/>
          </w:tcPr>
          <w:p>
            <w:pPr>
              <w:spacing w:after="0"/>
              <w:rPr>
                <w:sz w:val="18"/>
                <w:szCs w:val="18"/>
                <w:color w:val="auto"/>
              </w:rPr>
            </w:pPr>
          </w:p>
        </w:tc>
        <w:tc>
          <w:tcPr>
            <w:tcW w:w="6360" w:type="dxa"/>
            <w:vAlign w:val="bottom"/>
          </w:tcPr>
          <w:p>
            <w:pPr>
              <w:jc w:val="right"/>
              <w:ind w:right="2331"/>
              <w:spacing w:after="0"/>
              <w:rPr>
                <w:sz w:val="20"/>
                <w:szCs w:val="20"/>
                <w:color w:val="auto"/>
              </w:rPr>
            </w:pPr>
            <w:r>
              <w:rPr>
                <w:rFonts w:ascii="Arial" w:cs="Arial" w:eastAsia="Arial" w:hAnsi="Arial"/>
                <w:sz w:val="18"/>
                <w:szCs w:val="18"/>
                <w:color w:val="auto"/>
              </w:rPr>
              <w:t>______________________________________</w:t>
            </w:r>
          </w:p>
        </w:tc>
      </w:tr>
      <w:tr>
        <w:trPr>
          <w:trHeight w:val="306"/>
        </w:trPr>
        <w:tc>
          <w:tcPr>
            <w:tcW w:w="2340" w:type="dxa"/>
            <w:vAlign w:val="bottom"/>
          </w:tcPr>
          <w:p>
            <w:pPr>
              <w:spacing w:after="0"/>
              <w:rPr>
                <w:sz w:val="24"/>
                <w:szCs w:val="24"/>
                <w:color w:val="auto"/>
              </w:rPr>
            </w:pPr>
          </w:p>
        </w:tc>
        <w:tc>
          <w:tcPr>
            <w:tcW w:w="6360" w:type="dxa"/>
            <w:vAlign w:val="bottom"/>
          </w:tcPr>
          <w:p>
            <w:pPr>
              <w:jc w:val="center"/>
              <w:ind w:right="1811"/>
              <w:spacing w:after="0"/>
              <w:rPr>
                <w:sz w:val="20"/>
                <w:szCs w:val="20"/>
                <w:color w:val="auto"/>
              </w:rPr>
            </w:pPr>
            <w:r>
              <w:rPr>
                <w:rFonts w:ascii="Arial" w:cs="Arial" w:eastAsia="Arial" w:hAnsi="Arial"/>
                <w:sz w:val="25"/>
                <w:szCs w:val="25"/>
                <w:b w:val="1"/>
                <w:bCs w:val="1"/>
                <w:color w:val="auto"/>
              </w:rPr>
              <w:t>FORTINET, INC.</w:t>
            </w:r>
          </w:p>
        </w:tc>
      </w:tr>
      <w:tr>
        <w:trPr>
          <w:trHeight w:val="193"/>
        </w:trPr>
        <w:tc>
          <w:tcPr>
            <w:tcW w:w="2340" w:type="dxa"/>
            <w:vAlign w:val="bottom"/>
          </w:tcPr>
          <w:p>
            <w:pPr>
              <w:spacing w:after="0"/>
              <w:rPr>
                <w:sz w:val="16"/>
                <w:szCs w:val="16"/>
                <w:color w:val="auto"/>
              </w:rPr>
            </w:pPr>
          </w:p>
        </w:tc>
        <w:tc>
          <w:tcPr>
            <w:tcW w:w="6360" w:type="dxa"/>
            <w:vAlign w:val="bottom"/>
          </w:tcPr>
          <w:p>
            <w:pPr>
              <w:jc w:val="center"/>
              <w:ind w:right="181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206"/>
        </w:trPr>
        <w:tc>
          <w:tcPr>
            <w:tcW w:w="2340" w:type="dxa"/>
            <w:vAlign w:val="bottom"/>
          </w:tcPr>
          <w:p>
            <w:pPr>
              <w:spacing w:after="0"/>
              <w:rPr>
                <w:sz w:val="17"/>
                <w:szCs w:val="17"/>
                <w:color w:val="auto"/>
              </w:rPr>
            </w:pPr>
          </w:p>
        </w:tc>
        <w:tc>
          <w:tcPr>
            <w:tcW w:w="6360" w:type="dxa"/>
            <w:vAlign w:val="bottom"/>
          </w:tcPr>
          <w:p>
            <w:pPr>
              <w:jc w:val="right"/>
              <w:ind w:right="2511"/>
              <w:spacing w:after="0"/>
              <w:rPr>
                <w:sz w:val="20"/>
                <w:szCs w:val="20"/>
                <w:color w:val="auto"/>
              </w:rPr>
            </w:pPr>
            <w:r>
              <w:rPr>
                <w:rFonts w:ascii="Arial" w:cs="Arial" w:eastAsia="Arial" w:hAnsi="Arial"/>
                <w:sz w:val="16"/>
                <w:szCs w:val="16"/>
                <w:color w:val="auto"/>
              </w:rPr>
              <w:t>______________________________________</w:t>
            </w:r>
          </w:p>
        </w:tc>
      </w:tr>
      <w:tr>
        <w:trPr>
          <w:trHeight w:val="681"/>
        </w:trPr>
        <w:tc>
          <w:tcPr>
            <w:tcW w:w="2340" w:type="dxa"/>
            <w:vAlign w:val="bottom"/>
          </w:tcPr>
          <w:p>
            <w:pPr>
              <w:jc w:val="center"/>
              <w:ind w:right="136"/>
              <w:spacing w:after="0"/>
              <w:rPr>
                <w:sz w:val="20"/>
                <w:szCs w:val="20"/>
                <w:color w:val="auto"/>
              </w:rPr>
            </w:pPr>
            <w:r>
              <w:rPr>
                <w:rFonts w:ascii="Arial" w:cs="Arial" w:eastAsia="Arial" w:hAnsi="Arial"/>
                <w:sz w:val="18"/>
                <w:szCs w:val="18"/>
                <w:b w:val="1"/>
                <w:bCs w:val="1"/>
                <w:color w:val="auto"/>
                <w:w w:val="91"/>
              </w:rPr>
              <w:t>Delaware</w:t>
            </w:r>
          </w:p>
        </w:tc>
        <w:tc>
          <w:tcPr>
            <w:tcW w:w="6360" w:type="dxa"/>
            <w:vAlign w:val="bottom"/>
          </w:tcPr>
          <w:p>
            <w:pPr>
              <w:jc w:val="center"/>
              <w:ind w:left="4991"/>
              <w:spacing w:after="0"/>
              <w:rPr>
                <w:sz w:val="20"/>
                <w:szCs w:val="20"/>
                <w:color w:val="auto"/>
              </w:rPr>
            </w:pPr>
            <w:r>
              <w:rPr>
                <w:rFonts w:ascii="Arial" w:cs="Arial" w:eastAsia="Arial" w:hAnsi="Arial"/>
                <w:sz w:val="18"/>
                <w:szCs w:val="18"/>
                <w:b w:val="1"/>
                <w:bCs w:val="1"/>
                <w:color w:val="auto"/>
                <w:w w:val="91"/>
              </w:rPr>
              <w:t>77-0560389</w:t>
            </w:r>
          </w:p>
        </w:tc>
      </w:tr>
      <w:tr>
        <w:trPr>
          <w:trHeight w:val="203"/>
        </w:trPr>
        <w:tc>
          <w:tcPr>
            <w:tcW w:w="2340" w:type="dxa"/>
            <w:vAlign w:val="bottom"/>
          </w:tcPr>
          <w:p>
            <w:pPr>
              <w:jc w:val="center"/>
              <w:ind w:right="156"/>
              <w:spacing w:after="0"/>
              <w:rPr>
                <w:sz w:val="20"/>
                <w:szCs w:val="20"/>
                <w:color w:val="auto"/>
              </w:rPr>
            </w:pPr>
            <w:r>
              <w:rPr>
                <w:rFonts w:ascii="Arial" w:cs="Arial" w:eastAsia="Arial" w:hAnsi="Arial"/>
                <w:sz w:val="16"/>
                <w:szCs w:val="16"/>
                <w:b w:val="1"/>
                <w:bCs w:val="1"/>
                <w:color w:val="auto"/>
                <w:w w:val="91"/>
              </w:rPr>
              <w:t>(State or other jurisdiction of</w:t>
            </w:r>
          </w:p>
        </w:tc>
        <w:tc>
          <w:tcPr>
            <w:tcW w:w="6360" w:type="dxa"/>
            <w:vAlign w:val="bottom"/>
          </w:tcPr>
          <w:p>
            <w:pPr>
              <w:jc w:val="center"/>
              <w:ind w:left="4991"/>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2340" w:type="dxa"/>
            <w:vAlign w:val="bottom"/>
          </w:tcPr>
          <w:p>
            <w:pPr>
              <w:jc w:val="center"/>
              <w:ind w:right="136"/>
              <w:spacing w:after="0"/>
              <w:rPr>
                <w:sz w:val="20"/>
                <w:szCs w:val="20"/>
                <w:color w:val="auto"/>
              </w:rPr>
            </w:pPr>
            <w:r>
              <w:rPr>
                <w:rFonts w:ascii="Arial" w:cs="Arial" w:eastAsia="Arial" w:hAnsi="Arial"/>
                <w:sz w:val="16"/>
                <w:szCs w:val="16"/>
                <w:b w:val="1"/>
                <w:bCs w:val="1"/>
                <w:color w:val="auto"/>
                <w:w w:val="92"/>
              </w:rPr>
              <w:t>incorporation or organization)</w:t>
            </w:r>
          </w:p>
        </w:tc>
        <w:tc>
          <w:tcPr>
            <w:tcW w:w="6360" w:type="dxa"/>
            <w:vAlign w:val="bottom"/>
          </w:tcPr>
          <w:p>
            <w:pPr>
              <w:jc w:val="center"/>
              <w:ind w:left="4991"/>
              <w:spacing w:after="0"/>
              <w:rPr>
                <w:sz w:val="20"/>
                <w:szCs w:val="20"/>
                <w:color w:val="auto"/>
              </w:rPr>
            </w:pPr>
            <w:r>
              <w:rPr>
                <w:rFonts w:ascii="Arial" w:cs="Arial" w:eastAsia="Arial" w:hAnsi="Arial"/>
                <w:sz w:val="16"/>
                <w:szCs w:val="16"/>
                <w:b w:val="1"/>
                <w:bCs w:val="1"/>
                <w:color w:val="auto"/>
                <w:w w:val="94"/>
              </w:rPr>
              <w:t>Identification No.)</w:t>
            </w:r>
          </w:p>
        </w:tc>
      </w:tr>
      <w:tr>
        <w:trPr>
          <w:trHeight w:val="608"/>
        </w:trPr>
        <w:tc>
          <w:tcPr>
            <w:tcW w:w="2340" w:type="dxa"/>
            <w:vAlign w:val="bottom"/>
          </w:tcPr>
          <w:p>
            <w:pPr>
              <w:spacing w:after="0"/>
              <w:rPr>
                <w:sz w:val="24"/>
                <w:szCs w:val="24"/>
                <w:color w:val="auto"/>
              </w:rPr>
            </w:pPr>
          </w:p>
        </w:tc>
        <w:tc>
          <w:tcPr>
            <w:tcW w:w="6360" w:type="dxa"/>
            <w:vAlign w:val="bottom"/>
          </w:tcPr>
          <w:p>
            <w:pPr>
              <w:jc w:val="center"/>
              <w:ind w:right="1811"/>
              <w:spacing w:after="0"/>
              <w:rPr>
                <w:sz w:val="20"/>
                <w:szCs w:val="20"/>
                <w:color w:val="auto"/>
              </w:rPr>
            </w:pPr>
            <w:r>
              <w:rPr>
                <w:rFonts w:ascii="Arial" w:cs="Arial" w:eastAsia="Arial" w:hAnsi="Arial"/>
                <w:sz w:val="18"/>
                <w:szCs w:val="18"/>
                <w:b w:val="1"/>
                <w:bCs w:val="1"/>
                <w:color w:val="auto"/>
                <w:w w:val="93"/>
              </w:rPr>
              <w:t>899 Kifer Road</w:t>
            </w:r>
          </w:p>
        </w:tc>
      </w:tr>
      <w:tr>
        <w:trPr>
          <w:trHeight w:val="180"/>
        </w:trPr>
        <w:tc>
          <w:tcPr>
            <w:tcW w:w="2340" w:type="dxa"/>
            <w:vAlign w:val="bottom"/>
          </w:tcPr>
          <w:p>
            <w:pPr>
              <w:spacing w:after="0"/>
              <w:rPr>
                <w:sz w:val="15"/>
                <w:szCs w:val="15"/>
                <w:color w:val="auto"/>
              </w:rPr>
            </w:pPr>
          </w:p>
        </w:tc>
        <w:tc>
          <w:tcPr>
            <w:tcW w:w="6360" w:type="dxa"/>
            <w:vAlign w:val="bottom"/>
          </w:tcPr>
          <w:p>
            <w:pPr>
              <w:jc w:val="center"/>
              <w:ind w:right="1811"/>
              <w:spacing w:after="0" w:line="181" w:lineRule="exact"/>
              <w:rPr>
                <w:sz w:val="20"/>
                <w:szCs w:val="20"/>
                <w:color w:val="auto"/>
              </w:rPr>
            </w:pPr>
            <w:r>
              <w:rPr>
                <w:rFonts w:ascii="Arial" w:cs="Arial" w:eastAsia="Arial" w:hAnsi="Arial"/>
                <w:sz w:val="18"/>
                <w:szCs w:val="18"/>
                <w:b w:val="1"/>
                <w:bCs w:val="1"/>
                <w:color w:val="auto"/>
                <w:w w:val="91"/>
              </w:rPr>
              <w:t>Sunnyvale, California 94086</w:t>
            </w:r>
          </w:p>
        </w:tc>
      </w:tr>
      <w:tr>
        <w:trPr>
          <w:trHeight w:val="210"/>
        </w:trPr>
        <w:tc>
          <w:tcPr>
            <w:tcW w:w="2340" w:type="dxa"/>
            <w:vAlign w:val="bottom"/>
          </w:tcPr>
          <w:p>
            <w:pPr>
              <w:spacing w:after="0"/>
              <w:rPr>
                <w:sz w:val="18"/>
                <w:szCs w:val="18"/>
                <w:color w:val="auto"/>
              </w:rPr>
            </w:pPr>
          </w:p>
        </w:tc>
        <w:tc>
          <w:tcPr>
            <w:tcW w:w="6360" w:type="dxa"/>
            <w:vAlign w:val="bottom"/>
          </w:tcPr>
          <w:p>
            <w:pPr>
              <w:jc w:val="center"/>
              <w:ind w:right="1831"/>
              <w:spacing w:after="0"/>
              <w:rPr>
                <w:sz w:val="20"/>
                <w:szCs w:val="20"/>
                <w:color w:val="auto"/>
              </w:rPr>
            </w:pPr>
            <w:r>
              <w:rPr>
                <w:rFonts w:ascii="Arial" w:cs="Arial" w:eastAsia="Arial" w:hAnsi="Arial"/>
                <w:sz w:val="16"/>
                <w:szCs w:val="16"/>
                <w:b w:val="1"/>
                <w:bCs w:val="1"/>
                <w:color w:val="auto"/>
                <w:w w:val="89"/>
              </w:rPr>
              <w:t>(Address of principal executive offices, including zip code)</w:t>
            </w:r>
          </w:p>
        </w:tc>
      </w:tr>
    </w:tbl>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(408) 235-7700</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ectPr>
          <w:pgSz w:w="11900" w:h="16838" w:orient="portrait"/>
          <w:cols w:equalWidth="0" w:num="1">
            <w:col w:w="11200"/>
          </w:cols>
          <w:pgMar w:left="320" w:top="229" w:right="379" w:bottom="1440" w:gutter="0" w:footer="0" w:header="0"/>
        </w:sectPr>
      </w:pPr>
    </w:p>
    <w:p>
      <w:pPr>
        <w:spacing w:after="0" w:line="154"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Common Stock, $0.001 Par Value</w:t>
      </w:r>
    </w:p>
    <w:p>
      <w:pPr>
        <w:spacing w:after="0" w:line="50"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FTNT</w:t>
      </w:r>
    </w:p>
    <w:p>
      <w:pPr>
        <w:spacing w:after="0" w:line="32" w:lineRule="exact"/>
        <w:rPr>
          <w:sz w:val="24"/>
          <w:szCs w:val="24"/>
          <w:color w:val="auto"/>
        </w:rPr>
      </w:pPr>
    </w:p>
    <w:p>
      <w:pPr>
        <w:jc w:val="center"/>
        <w:ind w:right="1060"/>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The Nasdaq Stock Market LLC</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4"/>
          <w:szCs w:val="14"/>
          <w:b w:val="1"/>
          <w:bCs w:val="1"/>
          <w:color w:val="auto"/>
        </w:rPr>
        <w:t>(Name of exchange on which registered)</w:t>
      </w:r>
    </w:p>
    <w:p>
      <w:pPr>
        <w:spacing w:after="0" w:line="222" w:lineRule="exact"/>
        <w:rPr>
          <w:sz w:val="24"/>
          <w:szCs w:val="24"/>
          <w:color w:val="auto"/>
        </w:rPr>
      </w:pPr>
    </w:p>
    <w:p>
      <w:pPr>
        <w:sectPr>
          <w:pgSz w:w="11900" w:h="16838" w:orient="portrait"/>
          <w:cols w:equalWidth="0" w:num="3">
            <w:col w:w="4260" w:space="720"/>
            <w:col w:w="2280" w:space="720"/>
            <w:col w:w="3220"/>
          </w:cols>
          <w:pgMar w:left="320" w:top="229" w:right="379" w:bottom="1440" w:gutter="0" w:footer="0" w:header="0"/>
          <w:type w:val="continuous"/>
        </w:sectPr>
      </w:pPr>
    </w:p>
    <w:p>
      <w:pPr>
        <w:spacing w:after="0" w:line="155" w:lineRule="exact"/>
        <w:rPr>
          <w:sz w:val="24"/>
          <w:szCs w:val="24"/>
          <w:color w:val="auto"/>
        </w:rPr>
      </w:pPr>
    </w:p>
    <w:p>
      <w:pPr>
        <w:ind w:right="220"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ind w:right="40" w:firstLine="283"/>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ind w:firstLine="283"/>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3280" w:type="dxa"/>
            <w:vAlign w:val="bottom"/>
            <w:vMerge w:val="restart"/>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338"/>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vMerge w:val="continue"/>
          </w:tcPr>
          <w:p>
            <w:pPr>
              <w:spacing w:after="0"/>
              <w:rPr>
                <w:sz w:val="24"/>
                <w:szCs w:val="24"/>
                <w:color w:val="auto"/>
              </w:rPr>
            </w:pPr>
          </w:p>
        </w:tc>
        <w:tc>
          <w:tcPr>
            <w:tcW w:w="490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firstLine="283"/>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81" w:lineRule="exact"/>
        <w:rPr>
          <w:sz w:val="20"/>
          <w:szCs w:val="20"/>
          <w:color w:val="auto"/>
        </w:rPr>
      </w:pPr>
    </w:p>
    <w:p>
      <w:pPr>
        <w:ind w:left="300" w:right="1860"/>
        <w:spacing w:after="0" w:line="3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highlight w:val="black"/>
        </w:rPr>
        <w:t>☒</w:t>
      </w:r>
      <w:r>
        <w:rPr>
          <w:rFonts w:ascii="Arial" w:cs="Arial" w:eastAsia="Arial" w:hAnsi="Arial"/>
          <w:sz w:val="18"/>
          <w:szCs w:val="18"/>
          <w:color w:val="auto"/>
        </w:rPr>
        <w:t xml:space="preserve"> As of July 30, 2021, there were 163,320,200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rPr>
              <w:t>Page</w:t>
            </w:r>
          </w:p>
        </w:tc>
      </w:tr>
      <w:tr>
        <w:trPr>
          <w:trHeight w:val="486"/>
        </w:trPr>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80" w:type="dxa"/>
            <w:vAlign w:val="bottom"/>
            <w:gridSpan w:val="10"/>
          </w:tcPr>
          <w:p>
            <w:pPr>
              <w:jc w:val="center"/>
              <w:ind w:right="2400"/>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r>
              <w:rPr>
                <w:rFonts w:ascii="Arial" w:cs="Arial" w:eastAsia="Arial" w:hAnsi="Arial"/>
                <w:sz w:val="18"/>
                <w:szCs w:val="18"/>
                <w:b w:val="1"/>
                <w:bCs w:val="1"/>
                <w:color w:val="auto"/>
              </w:rPr>
              <w:t>FINANCIAL INFORMATION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Arial" w:cs="Arial" w:eastAsia="Arial" w:hAnsi="Arial"/>
                <w:sz w:val="18"/>
                <w:szCs w:val="18"/>
                <w:color w:val="auto"/>
              </w:rPr>
              <w:t>Item 1.</w:t>
            </w:r>
          </w:p>
        </w:tc>
        <w:tc>
          <w:tcPr>
            <w:tcW w:w="964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6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964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as of June 30, 2021 and December 31, 2020</w:t>
              </w:r>
            </w:hyperlink>
          </w:p>
        </w:tc>
        <w:tc>
          <w:tcPr>
            <w:tcW w:w="6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7840" w:type="dxa"/>
            <w:vAlign w:val="bottom"/>
            <w:gridSpan w:val="14"/>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Income for the Three and Six Months Ended June 30, 2021 and 2020</w:t>
              </w:r>
            </w:hyperlink>
          </w:p>
        </w:tc>
        <w:tc>
          <w:tcPr>
            <w:tcW w:w="1800" w:type="dxa"/>
            <w:vAlign w:val="bottom"/>
            <w:gridSpan w:val="3"/>
          </w:tcPr>
          <w:p>
            <w:pPr>
              <w:spacing w:after="0"/>
              <w:rPr>
                <w:sz w:val="18"/>
                <w:szCs w:val="18"/>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640" w:type="dxa"/>
            <w:vAlign w:val="bottom"/>
            <w:gridSpan w:val="17"/>
          </w:tcPr>
          <w:p>
            <w:pPr>
              <w:spacing w:after="0"/>
              <w:rPr>
                <w:rFonts w:ascii="Arial" w:cs="Arial" w:eastAsia="Arial" w:hAnsi="Arial"/>
                <w:sz w:val="18"/>
                <w:szCs w:val="18"/>
                <w:color w:val="0000FF"/>
                <w:w w:val="95"/>
              </w:rPr>
            </w:pPr>
            <w:hyperlink w:anchor="page5">
              <w:r>
                <w:rPr>
                  <w:rFonts w:ascii="Arial" w:cs="Arial" w:eastAsia="Arial" w:hAnsi="Arial"/>
                  <w:sz w:val="18"/>
                  <w:szCs w:val="18"/>
                  <w:color w:val="0000FF"/>
                  <w:w w:val="95"/>
                </w:rPr>
                <w:t>Condensed Consolidated Statements of Comprehensive Income for the Three and Six Months Ended June 30, 2021 and 2020</w:t>
              </w:r>
            </w:hyperlink>
          </w:p>
        </w:tc>
        <w:tc>
          <w:tcPr>
            <w:tcW w:w="6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8820" w:type="dxa"/>
            <w:vAlign w:val="bottom"/>
            <w:gridSpan w:val="15"/>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 xml:space="preserve">Condensed Consolidated Statements of Stockholders’ Equity for the Three and </w:t>
              </w:r>
            </w:hyperlink>
            <w:r>
              <w:rPr>
                <w:rFonts w:ascii="Arial" w:cs="Arial" w:eastAsia="Arial" w:hAnsi="Arial"/>
                <w:sz w:val="18"/>
                <w:szCs w:val="18"/>
                <w:color w:val="0000FF"/>
                <w:w w:val="89"/>
              </w:rPr>
              <w:t xml:space="preserve">Six </w:t>
            </w:r>
            <w:hyperlink w:anchor="page6">
              <w:r>
                <w:rPr>
                  <w:rFonts w:ascii="Arial" w:cs="Arial" w:eastAsia="Arial" w:hAnsi="Arial"/>
                  <w:sz w:val="18"/>
                  <w:szCs w:val="18"/>
                  <w:color w:val="0000FF"/>
                  <w:w w:val="89"/>
                </w:rPr>
                <w:t>Months Ended June 30, 2021 and 2020</w:t>
              </w:r>
            </w:hyperlink>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8820" w:type="dxa"/>
            <w:vAlign w:val="bottom"/>
            <w:gridSpan w:val="15"/>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 for the Six Months Ended June 30, 2021 and 2020</w:t>
              </w:r>
            </w:hyperlink>
          </w:p>
        </w:tc>
        <w:tc>
          <w:tcPr>
            <w:tcW w:w="820" w:type="dxa"/>
            <w:vAlign w:val="bottom"/>
            <w:gridSpan w:val="2"/>
          </w:tcPr>
          <w:p>
            <w:pPr>
              <w:spacing w:after="0"/>
              <w:rPr>
                <w:sz w:val="18"/>
                <w:szCs w:val="18"/>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7360" w:type="dxa"/>
            <w:vAlign w:val="bottom"/>
            <w:gridSpan w:val="13"/>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2280" w:type="dxa"/>
            <w:vAlign w:val="bottom"/>
            <w:gridSpan w:val="4"/>
          </w:tcPr>
          <w:p>
            <w:pPr>
              <w:spacing w:after="0"/>
              <w:rPr>
                <w:sz w:val="18"/>
                <w:szCs w:val="18"/>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2.</w:t>
            </w:r>
          </w:p>
        </w:tc>
        <w:tc>
          <w:tcPr>
            <w:tcW w:w="9640" w:type="dxa"/>
            <w:vAlign w:val="bottom"/>
            <w:gridSpan w:val="17"/>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64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3.</w:t>
            </w:r>
          </w:p>
        </w:tc>
        <w:tc>
          <w:tcPr>
            <w:tcW w:w="430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Quantitative and Qualitative Disclosures about Market Risk</w:t>
              </w:r>
            </w:hyperlink>
          </w:p>
        </w:tc>
        <w:tc>
          <w:tcPr>
            <w:tcW w:w="2140" w:type="dxa"/>
            <w:vAlign w:val="bottom"/>
            <w:tcBorders>
              <w:top w:val="single" w:sz="8" w:color="0000FF"/>
            </w:tcBorders>
            <w:gridSpan w:val="3"/>
          </w:tcPr>
          <w:p>
            <w:pPr>
              <w:spacing w:after="0"/>
              <w:rPr>
                <w:sz w:val="18"/>
                <w:szCs w:val="18"/>
                <w:color w:val="auto"/>
              </w:rPr>
            </w:pPr>
          </w:p>
        </w:tc>
        <w:tc>
          <w:tcPr>
            <w:tcW w:w="3200" w:type="dxa"/>
            <w:vAlign w:val="bottom"/>
            <w:gridSpan w:val="5"/>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41</w:t>
              </w:r>
            </w:hyperlink>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4.</w:t>
            </w:r>
          </w:p>
        </w:tc>
        <w:tc>
          <w:tcPr>
            <w:tcW w:w="9640" w:type="dxa"/>
            <w:vAlign w:val="bottom"/>
            <w:gridSpan w:val="17"/>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Controls and Procedures</w:t>
              </w:r>
            </w:hyperlink>
          </w:p>
        </w:tc>
        <w:tc>
          <w:tcPr>
            <w:tcW w:w="64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41</w:t>
              </w:r>
            </w:hyperlink>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7280" w:type="dxa"/>
            <w:vAlign w:val="bottom"/>
            <w:gridSpan w:val="10"/>
          </w:tcPr>
          <w:p>
            <w:pPr>
              <w:jc w:val="center"/>
              <w:ind w:right="2380"/>
              <w:spacing w:after="0"/>
              <w:rPr>
                <w:sz w:val="20"/>
                <w:szCs w:val="20"/>
                <w:color w:val="auto"/>
              </w:rPr>
            </w:pPr>
            <w:r>
              <w:rPr>
                <w:rFonts w:ascii="Arial" w:cs="Arial" w:eastAsia="Arial" w:hAnsi="Arial"/>
                <w:sz w:val="18"/>
                <w:szCs w:val="18"/>
                <w:b w:val="1"/>
                <w:bCs w:val="1"/>
                <w:color w:val="auto"/>
              </w:rPr>
              <w:t>PART II—OTHER INFORMATION</w:t>
            </w: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Arial" w:cs="Arial" w:eastAsia="Arial" w:hAnsi="Arial"/>
                <w:sz w:val="18"/>
                <w:szCs w:val="18"/>
                <w:color w:val="auto"/>
              </w:rPr>
              <w:t>Item 1.</w:t>
            </w:r>
          </w:p>
        </w:tc>
        <w:tc>
          <w:tcPr>
            <w:tcW w:w="9640" w:type="dxa"/>
            <w:vAlign w:val="bottom"/>
            <w:gridSpan w:val="17"/>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Legal Proceedings</w:t>
              </w:r>
            </w:hyperlink>
          </w:p>
        </w:tc>
        <w:tc>
          <w:tcPr>
            <w:tcW w:w="640" w:type="dxa"/>
            <w:vAlign w:val="bottom"/>
            <w:gridSpan w:val="3"/>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c>
          <w:tcPr>
            <w:tcW w:w="20" w:type="dxa"/>
            <w:vAlign w:val="bottom"/>
          </w:tcPr>
          <w:p>
            <w:pPr>
              <w:spacing w:after="0"/>
              <w:rPr>
                <w:sz w:val="24"/>
                <w:szCs w:val="24"/>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46">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18"/>
                <w:szCs w:val="18"/>
                <w:color w:val="auto"/>
              </w:rPr>
            </w:pPr>
          </w:p>
        </w:tc>
        <w:tc>
          <w:tcPr>
            <w:tcW w:w="8320" w:type="dxa"/>
            <w:vAlign w:val="bottom"/>
            <w:gridSpan w:val="1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43</w:t>
              </w:r>
            </w:hyperlink>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Unregistered Sales of Equity Securities and Use of Proceeds</w:t>
              </w:r>
            </w:hyperlink>
          </w:p>
        </w:tc>
        <w:tc>
          <w:tcPr>
            <w:tcW w:w="5300" w:type="dxa"/>
            <w:vAlign w:val="bottom"/>
            <w:gridSpan w:val="7"/>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9">
              <w:r>
                <w:rPr>
                  <w:rFonts w:ascii="Arial" w:cs="Arial" w:eastAsia="Arial" w:hAnsi="Arial"/>
                  <w:sz w:val="18"/>
                  <w:szCs w:val="18"/>
                  <w:color w:val="0000FF"/>
                  <w:w w:val="79"/>
                </w:rPr>
                <w:t>77</w:t>
              </w:r>
            </w:hyperlink>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tcPr>
          <w:p>
            <w:pPr>
              <w:spacing w:after="0"/>
              <w:rPr>
                <w:rFonts w:ascii="Arial" w:cs="Arial" w:eastAsia="Arial" w:hAnsi="Arial"/>
                <w:sz w:val="18"/>
                <w:szCs w:val="18"/>
                <w:color w:val="0000FF"/>
                <w:w w:val="91"/>
              </w:rPr>
            </w:pPr>
            <w:hyperlink w:anchor="page80">
              <w:r>
                <w:rPr>
                  <w:rFonts w:ascii="Arial" w:cs="Arial" w:eastAsia="Arial" w:hAnsi="Arial"/>
                  <w:sz w:val="18"/>
                  <w:szCs w:val="18"/>
                  <w:color w:val="0000FF"/>
                  <w:w w:val="91"/>
                </w:rPr>
                <w:t>Exhibits</w:t>
              </w:r>
            </w:hyperlink>
          </w:p>
        </w:tc>
        <w:tc>
          <w:tcPr>
            <w:tcW w:w="9040" w:type="dxa"/>
            <w:vAlign w:val="bottom"/>
            <w:gridSpan w:val="16"/>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0">
              <w:r>
                <w:rPr>
                  <w:rFonts w:ascii="Arial" w:cs="Arial" w:eastAsia="Arial" w:hAnsi="Arial"/>
                  <w:sz w:val="18"/>
                  <w:szCs w:val="18"/>
                  <w:color w:val="0000FF"/>
                  <w:w w:val="79"/>
                </w:rPr>
                <w:t>78</w:t>
              </w:r>
            </w:hyperlink>
          </w:p>
        </w:tc>
        <w:tc>
          <w:tcPr>
            <w:tcW w:w="2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98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81">
              <w:r>
                <w:rPr>
                  <w:rFonts w:ascii="Arial" w:cs="Arial" w:eastAsia="Arial" w:hAnsi="Arial"/>
                  <w:sz w:val="18"/>
                  <w:szCs w:val="18"/>
                  <w:color w:val="0000FF"/>
                  <w:w w:val="93"/>
                </w:rPr>
                <w:t>Exhibit Index</w:t>
              </w:r>
            </w:hyperlink>
          </w:p>
        </w:tc>
        <w:tc>
          <w:tcPr>
            <w:tcW w:w="8660" w:type="dxa"/>
            <w:vAlign w:val="bottom"/>
            <w:gridSpan w:val="13"/>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1">
              <w:r>
                <w:rPr>
                  <w:rFonts w:ascii="Arial" w:cs="Arial" w:eastAsia="Arial" w:hAnsi="Arial"/>
                  <w:sz w:val="18"/>
                  <w:szCs w:val="18"/>
                  <w:color w:val="0000FF"/>
                  <w:w w:val="79"/>
                </w:rPr>
                <w:t>78</w:t>
              </w:r>
            </w:hyperlink>
          </w:p>
        </w:tc>
        <w:tc>
          <w:tcPr>
            <w:tcW w:w="2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9640" w:type="dxa"/>
            <w:vAlign w:val="bottom"/>
            <w:gridSpan w:val="17"/>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Signatures</w:t>
              </w:r>
            </w:hyperlink>
          </w:p>
        </w:tc>
        <w:tc>
          <w:tcPr>
            <w:tcW w:w="640" w:type="dxa"/>
            <w:vAlign w:val="bottom"/>
            <w:gridSpan w:val="3"/>
          </w:tcPr>
          <w:p>
            <w:pPr>
              <w:jc w:val="right"/>
              <w:spacing w:after="0"/>
              <w:rPr>
                <w:rFonts w:ascii="Arial" w:cs="Arial" w:eastAsia="Arial" w:hAnsi="Arial"/>
                <w:sz w:val="18"/>
                <w:szCs w:val="18"/>
                <w:color w:val="0000FF"/>
              </w:rPr>
            </w:pPr>
            <w:hyperlink w:anchor="page81">
              <w:r>
                <w:rPr>
                  <w:rFonts w:ascii="Arial" w:cs="Arial" w:eastAsia="Arial" w:hAnsi="Arial"/>
                  <w:sz w:val="18"/>
                  <w:szCs w:val="18"/>
                  <w:color w:val="0000FF"/>
                </w:rPr>
                <w:t>79</w:t>
              </w:r>
            </w:hyperlink>
          </w:p>
        </w:tc>
        <w:tc>
          <w:tcPr>
            <w:tcW w:w="20" w:type="dxa"/>
            <w:vAlign w:val="bottom"/>
          </w:tcPr>
          <w:p>
            <w:pPr>
              <w:spacing w:after="0"/>
              <w:rPr>
                <w:sz w:val="18"/>
                <w:szCs w:val="18"/>
                <w:color w:val="auto"/>
              </w:rPr>
            </w:pPr>
          </w:p>
        </w:tc>
      </w:tr>
      <w:tr>
        <w:trPr>
          <w:trHeight w:val="1715"/>
        </w:trPr>
        <w:tc>
          <w:tcPr>
            <w:tcW w:w="9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8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6"/>
                <w:szCs w:val="16"/>
                <w:color w:val="auto"/>
              </w:rPr>
            </w:pPr>
          </w:p>
        </w:tc>
        <w:tc>
          <w:tcPr>
            <w:tcW w:w="1320" w:type="dxa"/>
            <w:vAlign w:val="bottom"/>
          </w:tcPr>
          <w:p>
            <w:pPr>
              <w:jc w:val="right"/>
              <w:ind w:right="191"/>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1,061.8</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775.5</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receivable—net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806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3,908.2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2,740.4</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PROPERTY AND EQUIPMENT—NET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CONTRACT COSTS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OTHER INTANGIBLE ASSETS—NET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4,044.5</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payroll and compensation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1,392.8</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1,829.5</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1,212.5</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LIABILITIES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3,188.5</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6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8"/>
              </w:rPr>
              <w:t>Common stock, $0.001 par value—300.0 shares authorized; 163.3 and 162.5 shares issued and</w:t>
            </w:r>
          </w:p>
        </w:tc>
        <w:tc>
          <w:tcPr>
            <w:tcW w:w="3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outstanding at June 30, 2021 and December 31, 2020, respectively</w:t>
            </w:r>
          </w:p>
        </w:tc>
        <w:tc>
          <w:tcPr>
            <w:tcW w:w="3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1,207.2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4,044.5</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820" w:type="dxa"/>
            <w:vAlign w:val="bottom"/>
            <w:gridSpan w:val="4"/>
          </w:tcPr>
          <w:p>
            <w:pPr>
              <w:jc w:val="right"/>
              <w:ind w:right="83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9"/>
        </w:trPr>
        <w:tc>
          <w:tcPr>
            <w:tcW w:w="49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80"/>
              <w:spacing w:after="0" w:line="158" w:lineRule="exact"/>
              <w:rPr>
                <w:sz w:val="20"/>
                <w:szCs w:val="20"/>
                <w:color w:val="auto"/>
              </w:rPr>
            </w:pPr>
            <w:r>
              <w:rPr>
                <w:rFonts w:ascii="Arial" w:cs="Arial" w:eastAsia="Arial" w:hAnsi="Arial"/>
                <w:sz w:val="16"/>
                <w:szCs w:val="16"/>
                <w:b w:val="1"/>
                <w:bCs w:val="1"/>
                <w:color w:val="auto"/>
              </w:rPr>
              <w:t>June 30,</w:t>
            </w:r>
          </w:p>
        </w:tc>
        <w:tc>
          <w:tcPr>
            <w:tcW w:w="3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71"/>
              <w:spacing w:after="0" w:line="15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80"/>
              <w:spacing w:after="0" w:line="158" w:lineRule="exact"/>
              <w:rPr>
                <w:sz w:val="20"/>
                <w:szCs w:val="20"/>
                <w:color w:val="auto"/>
              </w:rPr>
            </w:pPr>
            <w:r>
              <w:rPr>
                <w:rFonts w:ascii="Arial" w:cs="Arial" w:eastAsia="Arial" w:hAnsi="Arial"/>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71"/>
              <w:spacing w:after="0" w:line="158" w:lineRule="exact"/>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480"/>
              <w:spacing w:after="0"/>
              <w:rPr>
                <w:sz w:val="20"/>
                <w:szCs w:val="20"/>
                <w:color w:val="auto"/>
              </w:rPr>
            </w:pPr>
            <w:r>
              <w:rPr>
                <w:rFonts w:ascii="Arial" w:cs="Arial" w:eastAsia="Arial" w:hAnsi="Arial"/>
                <w:sz w:val="18"/>
                <w:szCs w:val="18"/>
                <w:color w:val="auto"/>
              </w:rPr>
              <w:t>Product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298.3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539.0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791.1</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1,195.3</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48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48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gross profit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931.5</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30"/>
        </w:trPr>
        <w:tc>
          <w:tcPr>
            <w:tcW w:w="492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intellectual property matter</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696.0</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(EXPENSE)—NET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 (Note 10):</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tcPr>
          <w:p>
            <w:pPr>
              <w:ind w:left="48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shares outstanding:</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4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720" w:type="dxa"/>
            <w:vAlign w:val="bottom"/>
            <w:gridSpan w:val="4"/>
          </w:tcPr>
          <w:p>
            <w:pPr>
              <w:jc w:val="right"/>
              <w:ind w:right="773"/>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80"/>
              <w:spacing w:after="0" w:line="158" w:lineRule="exact"/>
              <w:rPr>
                <w:sz w:val="20"/>
                <w:szCs w:val="20"/>
                <w:color w:val="auto"/>
              </w:rPr>
            </w:pPr>
            <w:r>
              <w:rPr>
                <w:rFonts w:ascii="Arial" w:cs="Arial" w:eastAsia="Arial" w:hAnsi="Arial"/>
                <w:sz w:val="16"/>
                <w:szCs w:val="16"/>
                <w:b w:val="1"/>
                <w:bCs w:val="1"/>
                <w:color w:val="auto"/>
              </w:rPr>
              <w:t>June 30,</w:t>
            </w:r>
          </w:p>
        </w:tc>
        <w:tc>
          <w:tcPr>
            <w:tcW w:w="3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93"/>
              <w:spacing w:after="0" w:line="158"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June 30,</w:t>
            </w: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353"/>
              <w:spacing w:after="0" w:line="158" w:lineRule="exact"/>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unrealized gains (losses) on investments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75"/>
        </w:trPr>
        <w:tc>
          <w:tcPr>
            <w:tcW w:w="5020" w:type="dxa"/>
            <w:vAlign w:val="bottom"/>
          </w:tcPr>
          <w:p>
            <w:pPr>
              <w:ind w:left="360"/>
              <w:spacing w:after="0" w:line="176" w:lineRule="exact"/>
              <w:rPr>
                <w:sz w:val="20"/>
                <w:szCs w:val="20"/>
                <w:color w:val="auto"/>
              </w:rPr>
            </w:pPr>
            <w:r>
              <w:rPr>
                <w:rFonts w:ascii="Arial" w:cs="Arial" w:eastAsia="Arial" w:hAnsi="Arial"/>
                <w:sz w:val="18"/>
                <w:szCs w:val="18"/>
                <w:color w:val="auto"/>
                <w:w w:val="93"/>
              </w:rPr>
              <w:t>Less: tax benefit related to change in unrealized gains (losses)</w:t>
            </w:r>
          </w:p>
        </w:tc>
        <w:tc>
          <w:tcPr>
            <w:tcW w:w="28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on investments</w:t>
            </w:r>
          </w:p>
        </w:tc>
        <w:tc>
          <w:tcPr>
            <w:tcW w:w="28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in millions)</w:t>
      </w:r>
    </w:p>
    <w:p>
      <w:pPr>
        <w:spacing w:after="0" w:line="36"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9"/>
          </w:tcPr>
          <w:p>
            <w:pPr>
              <w:jc w:val="center"/>
              <w:spacing w:after="0"/>
              <w:rPr>
                <w:sz w:val="20"/>
                <w:szCs w:val="20"/>
                <w:color w:val="auto"/>
              </w:rPr>
            </w:pPr>
            <w:r>
              <w:rPr>
                <w:rFonts w:ascii="Arial" w:cs="Arial" w:eastAsia="Arial" w:hAnsi="Arial"/>
                <w:sz w:val="16"/>
                <w:szCs w:val="16"/>
                <w:b w:val="1"/>
                <w:bCs w:val="1"/>
                <w:color w:val="auto"/>
                <w:w w:val="92"/>
              </w:rPr>
              <w:t>Three Months Ended June 30, 2021</w:t>
            </w: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20" w:type="dxa"/>
            <w:vAlign w:val="bottom"/>
          </w:tcPr>
          <w:p>
            <w:pPr>
              <w:spacing w:after="0"/>
              <w:rPr>
                <w:sz w:val="17"/>
                <w:szCs w:val="17"/>
                <w:color w:val="auto"/>
              </w:rPr>
            </w:pPr>
          </w:p>
        </w:tc>
        <w:tc>
          <w:tcPr>
            <w:tcW w:w="19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6"/>
                <w:szCs w:val="16"/>
                <w:b w:val="1"/>
                <w:bCs w:val="1"/>
                <w:color w:val="auto"/>
              </w:rPr>
              <w:t>Common Stock</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162"/>
        </w:trPr>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8"/>
              </w:rPr>
              <w:t>Other</w:t>
            </w: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4"/>
                <w:szCs w:val="14"/>
                <w:color w:val="auto"/>
              </w:rPr>
            </w:pPr>
          </w:p>
        </w:tc>
        <w:tc>
          <w:tcPr>
            <w:tcW w:w="780" w:type="dxa"/>
            <w:vAlign w:val="bottom"/>
            <w:vMerge w:val="restart"/>
          </w:tcPr>
          <w:p>
            <w:pPr>
              <w:jc w:val="right"/>
              <w:ind w:right="91"/>
              <w:spacing w:after="0"/>
              <w:rPr>
                <w:sz w:val="20"/>
                <w:szCs w:val="20"/>
                <w:color w:val="auto"/>
              </w:rPr>
            </w:pPr>
            <w:r>
              <w:rPr>
                <w:rFonts w:ascii="Arial" w:cs="Arial" w:eastAsia="Arial" w:hAnsi="Arial"/>
                <w:sz w:val="16"/>
                <w:szCs w:val="16"/>
                <w:b w:val="1"/>
                <w:bCs w:val="1"/>
                <w:color w:val="auto"/>
                <w:w w:val="95"/>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100" w:type="dxa"/>
            <w:vAlign w:val="bottom"/>
            <w:gridSpan w:val="3"/>
            <w:vMerge w:val="continue"/>
          </w:tcPr>
          <w:p>
            <w:pPr>
              <w:spacing w:after="0"/>
              <w:rPr>
                <w:sz w:val="14"/>
                <w:szCs w:val="14"/>
                <w:color w:val="auto"/>
              </w:rPr>
            </w:pPr>
          </w:p>
        </w:tc>
        <w:tc>
          <w:tcPr>
            <w:tcW w:w="100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Capital</w:t>
            </w: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Income</w:t>
            </w:r>
          </w:p>
        </w:tc>
        <w:tc>
          <w:tcPr>
            <w:tcW w:w="18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Deficit</w:t>
            </w:r>
          </w:p>
        </w:tc>
        <w:tc>
          <w:tcPr>
            <w:tcW w:w="18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BALANCE—March 31,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center"/>
              <w:ind w:right="15"/>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0" w:type="dxa"/>
            <w:vAlign w:val="bottom"/>
          </w:tcPr>
          <w:p>
            <w:pPr>
              <w:spacing w:after="0"/>
              <w:rPr>
                <w:sz w:val="1"/>
                <w:szCs w:val="1"/>
                <w:color w:val="auto"/>
              </w:rPr>
            </w:pPr>
          </w:p>
        </w:tc>
      </w:tr>
      <w:tr>
        <w:trPr>
          <w:trHeight w:val="176"/>
        </w:trPr>
        <w:tc>
          <w:tcPr>
            <w:tcW w:w="462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9"/>
        </w:trPr>
        <w:tc>
          <w:tcPr>
            <w:tcW w:w="462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9"/>
        </w:trPr>
        <w:tc>
          <w:tcPr>
            <w:tcW w:w="46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loss on investments - net of tax</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46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r>
              <w:rPr>
                <w:rFonts w:ascii="Arial" w:cs="Arial" w:eastAsia="Arial" w:hAnsi="Arial"/>
                <w:sz w:val="18"/>
                <w:szCs w:val="18"/>
                <w:u w:val="single" w:color="auto"/>
                <w:color w:val="auto"/>
              </w:rPr>
              <w:t>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center"/>
              <w:ind w:right="15"/>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9"/>
          </w:tcPr>
          <w:p>
            <w:pPr>
              <w:jc w:val="center"/>
              <w:spacing w:after="0"/>
              <w:rPr>
                <w:sz w:val="20"/>
                <w:szCs w:val="20"/>
                <w:color w:val="auto"/>
              </w:rPr>
            </w:pPr>
            <w:r>
              <w:rPr>
                <w:rFonts w:ascii="Arial" w:cs="Arial" w:eastAsia="Arial" w:hAnsi="Arial"/>
                <w:sz w:val="16"/>
                <w:szCs w:val="16"/>
                <w:b w:val="1"/>
                <w:bCs w:val="1"/>
                <w:color w:val="auto"/>
                <w:w w:val="92"/>
              </w:rPr>
              <w:t>Three Months Ended June 30, 2020</w:t>
            </w: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20" w:type="dxa"/>
            <w:vAlign w:val="bottom"/>
          </w:tcPr>
          <w:p>
            <w:pPr>
              <w:spacing w:after="0"/>
              <w:rPr>
                <w:sz w:val="17"/>
                <w:szCs w:val="17"/>
                <w:color w:val="auto"/>
              </w:rPr>
            </w:pPr>
          </w:p>
        </w:tc>
        <w:tc>
          <w:tcPr>
            <w:tcW w:w="19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6"/>
                <w:szCs w:val="16"/>
                <w:b w:val="1"/>
                <w:bCs w:val="1"/>
                <w:color w:val="auto"/>
              </w:rPr>
              <w:t>Common Stock</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7"/>
                <w:szCs w:val="17"/>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Retained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120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162"/>
        </w:trPr>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Earnings</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4"/>
                <w:szCs w:val="14"/>
                <w:color w:val="auto"/>
              </w:rPr>
            </w:pPr>
          </w:p>
        </w:tc>
        <w:tc>
          <w:tcPr>
            <w:tcW w:w="780" w:type="dxa"/>
            <w:vAlign w:val="bottom"/>
            <w:vMerge w:val="restart"/>
          </w:tcPr>
          <w:p>
            <w:pPr>
              <w:jc w:val="right"/>
              <w:ind w:right="91"/>
              <w:spacing w:after="0"/>
              <w:rPr>
                <w:sz w:val="20"/>
                <w:szCs w:val="20"/>
                <w:color w:val="auto"/>
              </w:rPr>
            </w:pPr>
            <w:r>
              <w:rPr>
                <w:rFonts w:ascii="Arial" w:cs="Arial" w:eastAsia="Arial" w:hAnsi="Arial"/>
                <w:sz w:val="16"/>
                <w:szCs w:val="16"/>
                <w:b w:val="1"/>
                <w:bCs w:val="1"/>
                <w:color w:val="auto"/>
                <w:w w:val="95"/>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100" w:type="dxa"/>
            <w:vAlign w:val="bottom"/>
            <w:gridSpan w:val="3"/>
          </w:tcPr>
          <w:p>
            <w:pPr>
              <w:jc w:val="right"/>
              <w:ind w:right="120"/>
              <w:spacing w:after="0" w:line="162" w:lineRule="exact"/>
              <w:rPr>
                <w:sz w:val="20"/>
                <w:szCs w:val="20"/>
                <w:color w:val="auto"/>
              </w:rPr>
            </w:pPr>
            <w:r>
              <w:rPr>
                <w:rFonts w:ascii="Arial" w:cs="Arial" w:eastAsia="Arial" w:hAnsi="Arial"/>
                <w:sz w:val="16"/>
                <w:szCs w:val="16"/>
                <w:b w:val="1"/>
                <w:bCs w:val="1"/>
                <w:color w:val="auto"/>
                <w:w w:val="90"/>
              </w:rPr>
              <w:t>(Accumulated</w:t>
            </w:r>
          </w:p>
        </w:tc>
        <w:tc>
          <w:tcPr>
            <w:tcW w:w="100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Capital</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Income (Loss)</w:t>
            </w: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Deficit)</w:t>
            </w:r>
          </w:p>
        </w:tc>
        <w:tc>
          <w:tcPr>
            <w:tcW w:w="18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BALANCE—March 31,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center"/>
              <w:ind w:right="35"/>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175"/>
        </w:trPr>
        <w:tc>
          <w:tcPr>
            <w:tcW w:w="462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462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29"/>
        </w:trPr>
        <w:tc>
          <w:tcPr>
            <w:tcW w:w="46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loss on investments - net of tax</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46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r>
              <w:rPr>
                <w:rFonts w:ascii="Arial" w:cs="Arial" w:eastAsia="Arial" w:hAnsi="Arial"/>
                <w:sz w:val="18"/>
                <w:szCs w:val="18"/>
                <w:u w:val="single" w:color="auto"/>
                <w:color w:val="auto"/>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center"/>
              <w:ind w:right="35"/>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470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3"/>
        </w:trPr>
        <w:tc>
          <w:tcPr>
            <w:tcW w:w="1020" w:type="dxa"/>
            <w:vAlign w:val="bottom"/>
            <w:tcBorders>
              <w:top w:val="single" w:sz="8" w:color="0000FF"/>
            </w:tcBorders>
          </w:tcPr>
          <w:p>
            <w:pPr>
              <w:spacing w:after="0"/>
              <w:rPr>
                <w:sz w:val="24"/>
                <w:szCs w:val="24"/>
                <w:color w:val="auto"/>
              </w:rPr>
            </w:pPr>
          </w:p>
        </w:tc>
        <w:tc>
          <w:tcPr>
            <w:tcW w:w="36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2"/>
              </w:rPr>
              <w:t>Six Months Ended June 30, 2021</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1"/>
        </w:trPr>
        <w:tc>
          <w:tcPr>
            <w:tcW w:w="10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Retained</w:t>
            </w:r>
          </w:p>
        </w:tc>
        <w:tc>
          <w:tcPr>
            <w:tcW w:w="180" w:type="dxa"/>
            <w:vAlign w:val="bottom"/>
          </w:tcPr>
          <w:p>
            <w:pPr>
              <w:spacing w:after="0"/>
              <w:rPr>
                <w:sz w:val="24"/>
                <w:szCs w:val="24"/>
                <w:color w:val="auto"/>
              </w:rPr>
            </w:pPr>
          </w:p>
        </w:tc>
        <w:tc>
          <w:tcPr>
            <w:tcW w:w="820" w:type="dxa"/>
            <w:vAlign w:val="bottom"/>
            <w:vMerge w:val="restart"/>
          </w:tcPr>
          <w:p>
            <w:pPr>
              <w:jc w:val="center"/>
              <w:ind w:right="9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40" w:type="dxa"/>
            <w:vAlign w:val="bottom"/>
            <w:gridSpan w:val="4"/>
            <w:vMerge w:val="restart"/>
          </w:tcPr>
          <w:p>
            <w:pPr>
              <w:jc w:val="right"/>
              <w:ind w:right="391"/>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Earnings</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0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04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Paid-In</w:t>
            </w:r>
          </w:p>
        </w:tc>
        <w:tc>
          <w:tcPr>
            <w:tcW w:w="1260" w:type="dxa"/>
            <w:vAlign w:val="bottom"/>
            <w:gridSpan w:val="3"/>
            <w:vMerge w:val="restart"/>
          </w:tcPr>
          <w:p>
            <w:pPr>
              <w:jc w:val="center"/>
              <w:ind w:right="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100" w:type="dxa"/>
            <w:vAlign w:val="bottom"/>
            <w:gridSpan w:val="3"/>
            <w:vMerge w:val="restart"/>
          </w:tcPr>
          <w:p>
            <w:pPr>
              <w:ind w:left="20"/>
              <w:spacing w:after="0" w:line="162" w:lineRule="exact"/>
              <w:rPr>
                <w:sz w:val="20"/>
                <w:szCs w:val="20"/>
                <w:color w:val="auto"/>
              </w:rPr>
            </w:pPr>
            <w:r>
              <w:rPr>
                <w:rFonts w:ascii="Arial" w:cs="Arial" w:eastAsia="Arial" w:hAnsi="Arial"/>
                <w:sz w:val="16"/>
                <w:szCs w:val="16"/>
                <w:b w:val="1"/>
                <w:bCs w:val="1"/>
                <w:color w:val="auto"/>
              </w:rPr>
              <w:t>(Accumulated</w:t>
            </w:r>
          </w:p>
        </w:tc>
        <w:tc>
          <w:tcPr>
            <w:tcW w:w="1000" w:type="dxa"/>
            <w:vAlign w:val="bottom"/>
            <w:gridSpan w:val="2"/>
            <w:vMerge w:val="restart"/>
          </w:tcPr>
          <w:p>
            <w:pPr>
              <w:ind w:left="2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3"/>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0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Income</w:t>
            </w:r>
          </w:p>
        </w:tc>
        <w:tc>
          <w:tcPr>
            <w:tcW w:w="16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Deficit)</w:t>
            </w:r>
          </w:p>
        </w:tc>
        <w:tc>
          <w:tcPr>
            <w:tcW w:w="180" w:type="dxa"/>
            <w:vAlign w:val="bottom"/>
          </w:tcPr>
          <w:p>
            <w:pPr>
              <w:spacing w:after="0"/>
              <w:rPr>
                <w:sz w:val="18"/>
                <w:szCs w:val="18"/>
                <w:color w:val="auto"/>
              </w:rPr>
            </w:pPr>
          </w:p>
        </w:tc>
        <w:tc>
          <w:tcPr>
            <w:tcW w:w="820" w:type="dxa"/>
            <w:vAlign w:val="bottom"/>
          </w:tcPr>
          <w:p>
            <w:pPr>
              <w:jc w:val="center"/>
              <w:ind w:right="92"/>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26"/>
        </w:trPr>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176"/>
        </w:trPr>
        <w:tc>
          <w:tcPr>
            <w:tcW w:w="470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unrealized gain on investments - net of tax</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BALANCE—June 30,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1,050.2</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6"/>
        </w:trPr>
        <w:tc>
          <w:tcPr>
            <w:tcW w:w="10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2"/>
              </w:rPr>
              <w:t>Six Months Ended June 30, 2020</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0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12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10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vMerge w:val="restart"/>
          </w:tcPr>
          <w:p>
            <w:pPr>
              <w:jc w:val="center"/>
              <w:ind w:right="9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line="20" w:lineRule="exact"/>
              <w:rPr>
                <w:sz w:val="1"/>
                <w:szCs w:val="1"/>
                <w:color w:val="auto"/>
              </w:rPr>
            </w:pPr>
          </w:p>
        </w:tc>
      </w:tr>
      <w:tr>
        <w:trPr>
          <w:trHeight w:val="162"/>
        </w:trPr>
        <w:tc>
          <w:tcPr>
            <w:tcW w:w="10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8"/>
              </w:rPr>
              <w:t>Other</w:t>
            </w:r>
          </w:p>
        </w:tc>
        <w:tc>
          <w:tcPr>
            <w:tcW w:w="1100" w:type="dxa"/>
            <w:vAlign w:val="bottom"/>
            <w:gridSpan w:val="3"/>
            <w:vMerge w:val="restart"/>
          </w:tcPr>
          <w:p>
            <w:pPr>
              <w:jc w:val="center"/>
              <w:ind w:right="6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4"/>
                <w:szCs w:val="14"/>
                <w:color w:val="auto"/>
              </w:rPr>
            </w:pPr>
          </w:p>
        </w:tc>
        <w:tc>
          <w:tcPr>
            <w:tcW w:w="96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Paid-In</w:t>
            </w:r>
          </w:p>
        </w:tc>
        <w:tc>
          <w:tcPr>
            <w:tcW w:w="1260" w:type="dxa"/>
            <w:vAlign w:val="bottom"/>
            <w:gridSpan w:val="3"/>
          </w:tcPr>
          <w:p>
            <w:pPr>
              <w:jc w:val="center"/>
              <w:ind w:right="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100" w:type="dxa"/>
            <w:vAlign w:val="bottom"/>
            <w:gridSpan w:val="3"/>
            <w:vMerge w:val="continue"/>
          </w:tcPr>
          <w:p>
            <w:pPr>
              <w:spacing w:after="0"/>
              <w:rPr>
                <w:sz w:val="14"/>
                <w:szCs w:val="14"/>
                <w:color w:val="auto"/>
              </w:rPr>
            </w:pPr>
          </w:p>
        </w:tc>
        <w:tc>
          <w:tcPr>
            <w:tcW w:w="100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Capital</w:t>
            </w:r>
          </w:p>
        </w:tc>
        <w:tc>
          <w:tcPr>
            <w:tcW w:w="12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Income (Loss)</w:t>
            </w:r>
          </w:p>
        </w:tc>
        <w:tc>
          <w:tcPr>
            <w:tcW w:w="16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80" w:type="dxa"/>
            <w:vAlign w:val="bottom"/>
          </w:tcPr>
          <w:p>
            <w:pPr>
              <w:spacing w:after="0"/>
              <w:rPr>
                <w:sz w:val="18"/>
                <w:szCs w:val="18"/>
                <w:color w:val="auto"/>
              </w:rPr>
            </w:pPr>
          </w:p>
        </w:tc>
        <w:tc>
          <w:tcPr>
            <w:tcW w:w="820" w:type="dxa"/>
            <w:vAlign w:val="bottom"/>
          </w:tcPr>
          <w:p>
            <w:pPr>
              <w:jc w:val="center"/>
              <w:ind w:right="92"/>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26"/>
        </w:trPr>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BALANCE—December 31, 2019</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1,342.4</w:t>
            </w:r>
          </w:p>
        </w:tc>
        <w:tc>
          <w:tcPr>
            <w:tcW w:w="0" w:type="dxa"/>
            <w:vAlign w:val="bottom"/>
          </w:tcPr>
          <w:p>
            <w:pPr>
              <w:spacing w:after="0"/>
              <w:rPr>
                <w:sz w:val="1"/>
                <w:szCs w:val="1"/>
                <w:color w:val="auto"/>
              </w:rPr>
            </w:pPr>
          </w:p>
        </w:tc>
      </w:tr>
      <w:tr>
        <w:trPr>
          <w:trHeight w:val="175"/>
        </w:trPr>
        <w:tc>
          <w:tcPr>
            <w:tcW w:w="470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unrealized gain on investments - net of tax</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BALANCE—June 30,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3"/>
        </w:trPr>
        <w:tc>
          <w:tcPr>
            <w:tcW w:w="10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3"/>
                <w:szCs w:val="13"/>
                <w:color w:val="auto"/>
              </w:rPr>
            </w:pPr>
          </w:p>
        </w:tc>
        <w:tc>
          <w:tcPr>
            <w:tcW w:w="1140" w:type="dxa"/>
            <w:vAlign w:val="bottom"/>
          </w:tcPr>
          <w:p>
            <w:pPr>
              <w:jc w:val="right"/>
              <w:ind w:right="328"/>
              <w:spacing w:after="0" w:line="158" w:lineRule="exact"/>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8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6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244.7</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218.4</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340" w:type="dxa"/>
            <w:vAlign w:val="bottom"/>
          </w:tcPr>
          <w:p>
            <w:pPr>
              <w:ind w:left="88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Amortization of deferred contract costs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186"/>
        </w:trPr>
        <w:tc>
          <w:tcPr>
            <w:tcW w:w="8340" w:type="dxa"/>
            <w:vAlign w:val="bottom"/>
          </w:tcPr>
          <w:p>
            <w:pPr>
              <w:ind w:left="88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Amortization of investment premiums (discounts)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6"/>
        </w:trPr>
        <w:tc>
          <w:tcPr>
            <w:tcW w:w="8340" w:type="dxa"/>
            <w:vAlign w:val="bottom"/>
          </w:tcPr>
          <w:p>
            <w:pPr>
              <w:ind w:left="88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Changes in operating assets and liabilities: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Accounts receivable—net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Inventory</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Deferred contract costs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Deferred tax assets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Accrued liabilities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Accrued payroll and compensation</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Other liabilities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6"/>
        </w:trPr>
        <w:tc>
          <w:tcPr>
            <w:tcW w:w="8340" w:type="dxa"/>
            <w:vAlign w:val="bottom"/>
            <w:tcBorders>
              <w:bottom w:val="single" w:sz="8" w:color="CCEEFF"/>
            </w:tcBorders>
          </w:tcPr>
          <w:p>
            <w:pPr>
              <w:ind w:left="1440"/>
              <w:spacing w:after="0"/>
              <w:rPr>
                <w:sz w:val="20"/>
                <w:szCs w:val="20"/>
                <w:color w:val="auto"/>
              </w:rPr>
            </w:pPr>
            <w:r>
              <w:rPr>
                <w:rFonts w:ascii="Arial" w:cs="Arial" w:eastAsia="Arial" w:hAnsi="Arial"/>
                <w:sz w:val="14"/>
                <w:szCs w:val="14"/>
                <w:color w:val="auto"/>
              </w:rPr>
              <w:t>Deferred revenue</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184.0</w:t>
            </w:r>
          </w:p>
        </w:tc>
        <w:tc>
          <w:tcPr>
            <w:tcW w:w="0" w:type="dxa"/>
            <w:vAlign w:val="bottom"/>
          </w:tcPr>
          <w:p>
            <w:pPr>
              <w:spacing w:after="0"/>
              <w:rPr>
                <w:sz w:val="1"/>
                <w:szCs w:val="1"/>
                <w:color w:val="auto"/>
              </w:rPr>
            </w:pPr>
          </w:p>
        </w:tc>
      </w:tr>
      <w:tr>
        <w:trPr>
          <w:trHeight w:val="186"/>
        </w:trPr>
        <w:tc>
          <w:tcPr>
            <w:tcW w:w="8340" w:type="dxa"/>
            <w:vAlign w:val="bottom"/>
            <w:shd w:val="clear" w:color="auto" w:fill="CCEEFF"/>
          </w:tcPr>
          <w:p>
            <w:pPr>
              <w:ind w:left="184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566.4</w:t>
            </w:r>
          </w:p>
        </w:tc>
        <w:tc>
          <w:tcPr>
            <w:tcW w:w="0" w:type="dxa"/>
            <w:vAlign w:val="bottom"/>
          </w:tcPr>
          <w:p>
            <w:pPr>
              <w:spacing w:after="0"/>
              <w:rPr>
                <w:sz w:val="1"/>
                <w:szCs w:val="1"/>
                <w:color w:val="auto"/>
              </w:rPr>
            </w:pPr>
          </w:p>
        </w:tc>
      </w:tr>
      <w:tr>
        <w:trPr>
          <w:trHeight w:val="166"/>
        </w:trPr>
        <w:tc>
          <w:tcPr>
            <w:tcW w:w="834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Purchases of investments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(399.3)</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Sales of investments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Maturities of investments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548.1</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Purchase of investment in privately held company</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Payments made in connection with business combination, net of cash acquired</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9"/>
        </w:trPr>
        <w:tc>
          <w:tcPr>
            <w:tcW w:w="8340" w:type="dxa"/>
            <w:vAlign w:val="bottom"/>
            <w:tcBorders>
              <w:bottom w:val="single" w:sz="8" w:color="CCEEFF"/>
            </w:tcBorders>
          </w:tcPr>
          <w:p>
            <w:pPr>
              <w:ind w:left="1840"/>
              <w:spacing w:after="0"/>
              <w:rPr>
                <w:sz w:val="20"/>
                <w:szCs w:val="20"/>
                <w:color w:val="auto"/>
              </w:rPr>
            </w:pPr>
            <w:r>
              <w:rPr>
                <w:rFonts w:ascii="Arial" w:cs="Arial" w:eastAsia="Arial" w:hAnsi="Arial"/>
                <w:sz w:val="14"/>
                <w:szCs w:val="14"/>
                <w:color w:val="auto"/>
              </w:rPr>
              <w:t>Net cash provided by (used in) investing activities</w:t>
            </w:r>
          </w:p>
        </w:tc>
        <w:tc>
          <w:tcPr>
            <w:tcW w:w="2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(751.7)</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216.8</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Proceeds from long-term borrowings, net of discount and underwriting fees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989.4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Payments for debt issuance costs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Repurchase and retirement of common stock</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(1,046.0)</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Proceeds from issuance of common stock</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Taxes paid related to net share settlement of equity awards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9"/>
        </w:trPr>
        <w:tc>
          <w:tcPr>
            <w:tcW w:w="8340" w:type="dxa"/>
            <w:vAlign w:val="bottom"/>
            <w:tcBorders>
              <w:bottom w:val="single" w:sz="8" w:color="CCEEFF"/>
            </w:tcBorders>
          </w:tcPr>
          <w:p>
            <w:pPr>
              <w:ind w:left="1840"/>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(1,089.3)</w:t>
            </w:r>
          </w:p>
        </w:tc>
        <w:tc>
          <w:tcPr>
            <w:tcW w:w="0" w:type="dxa"/>
            <w:vAlign w:val="bottom"/>
          </w:tcPr>
          <w:p>
            <w:pPr>
              <w:spacing w:after="0"/>
              <w:rPr>
                <w:sz w:val="1"/>
                <w:szCs w:val="1"/>
                <w:color w:val="auto"/>
              </w:rPr>
            </w:pPr>
          </w:p>
        </w:tc>
      </w:tr>
      <w:tr>
        <w:trPr>
          <w:trHeight w:val="186"/>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(306.1)</w:t>
            </w:r>
          </w:p>
        </w:tc>
        <w:tc>
          <w:tcPr>
            <w:tcW w:w="0" w:type="dxa"/>
            <w:vAlign w:val="bottom"/>
          </w:tcPr>
          <w:p>
            <w:pPr>
              <w:spacing w:after="0"/>
              <w:rPr>
                <w:sz w:val="1"/>
                <w:szCs w:val="1"/>
                <w:color w:val="auto"/>
              </w:rPr>
            </w:pPr>
          </w:p>
        </w:tc>
      </w:tr>
      <w:tr>
        <w:trPr>
          <w:trHeight w:val="186"/>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EQUIVALENTS—Beginning of period</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1,222.5</w:t>
            </w:r>
          </w:p>
        </w:tc>
        <w:tc>
          <w:tcPr>
            <w:tcW w:w="0" w:type="dxa"/>
            <w:vAlign w:val="bottom"/>
          </w:tcPr>
          <w:p>
            <w:pPr>
              <w:spacing w:after="0"/>
              <w:rPr>
                <w:sz w:val="1"/>
                <w:szCs w:val="1"/>
                <w:color w:val="auto"/>
              </w:rPr>
            </w:pPr>
          </w:p>
        </w:tc>
      </w:tr>
      <w:tr>
        <w:trPr>
          <w:trHeight w:val="211"/>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EQUIVALENTS—End of period</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1,879.3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DISCLOSURES OF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8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Cash paid for income taxes—net</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40" w:type="dxa"/>
            <w:vAlign w:val="bottom"/>
          </w:tcPr>
          <w:p>
            <w:pPr>
              <w:ind w:left="480"/>
              <w:spacing w:after="0"/>
              <w:rPr>
                <w:sz w:val="20"/>
                <w:szCs w:val="20"/>
                <w:color w:val="auto"/>
              </w:rPr>
            </w:pPr>
            <w:r>
              <w:rPr>
                <w:rFonts w:ascii="Arial" w:cs="Arial" w:eastAsia="Arial" w:hAnsi="Arial"/>
                <w:sz w:val="14"/>
                <w:szCs w:val="14"/>
                <w:color w:val="auto"/>
              </w:rPr>
              <w:t>Operating lease liabilities arising from obtaining right-of-use assets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NON-CASH INVESTING AND FINANCING ACTIVITIES:</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340" w:type="dxa"/>
            <w:vAlign w:val="bottom"/>
          </w:tcPr>
          <w:p>
            <w:pPr>
              <w:ind w:left="48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Liability for purchase of property and equipment</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Basis of Presentation and Preparation</w:t>
      </w:r>
      <w:r>
        <w:rPr>
          <w:rFonts w:ascii="Arial" w:cs="Arial" w:eastAsia="Arial" w:hAnsi="Arial"/>
          <w:sz w:val="17"/>
          <w:szCs w:val="17"/>
          <w:color w:val="auto"/>
        </w:rPr>
        <w:t>—The unaudited condensed consolidated financial statements of Fortinet, Inc. and its wholly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2020, contained in our Annual Report on Form 10-K filed with the SEC on February 19, 2021. In the opinion of management, all adjustments, which includes normal recurring adjustments, considered necessary for a fair presentation have been included. All intercompany balances, transactions and cash flows have been eliminated. The results of operations for the three and six months ended June 30, 2021 are not necessarily indicative of the results for the full year or for any future periods. The condensed consolidated balance sheet as of December 31, 2020 is derived from the audited consolidated financial statements for the year ended December 31, 2020.</w:t>
      </w:r>
    </w:p>
    <w:p>
      <w:pPr>
        <w:spacing w:after="0" w:line="20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5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Except for the update to the range of useful lives for property and equipment discussed in Note 6 and our policy election for how we account for our share of financial results for a specific investment in privately held companies on a three-month lag basis as discussed in Note 7, there have been no material changes to our significant accounting policies as of and for the three and six months ended June 30, 2021.</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right="180" w:firstLine="648"/>
        <w:spacing w:after="0" w:line="279" w:lineRule="auto"/>
        <w:rPr>
          <w:sz w:val="20"/>
          <w:szCs w:val="20"/>
          <w:color w:val="auto"/>
        </w:rPr>
      </w:pPr>
      <w:r>
        <w:rPr>
          <w:rFonts w:ascii="Arial" w:cs="Arial" w:eastAsia="Arial" w:hAnsi="Arial"/>
          <w:sz w:val="16"/>
          <w:szCs w:val="16"/>
          <w:color w:val="auto"/>
        </w:rPr>
        <w:t>In December 2019, the Financial Accounting Standards Board (the “FASB”) issued Accounting Standards Update (“ASU”) 2019-12—Income Taxes (“Topic 740”): Simplifying the Accounting for Income Taxes. The amendments in ASU 2019-12 simplify the accounting for income taxes by removing certain exceptions to the general principles in Topic 740. The amendments also improve consistent application and simplification of GAAP for other areas of Topic 740 by clarifying and amending existing guidance. ASU 2019-12 was effective for us beginning on January 1, 2021. The adoption of this guidance did not have any impact on our condensed consolidated financial statements and accompanying disclosures.</w:t>
      </w:r>
    </w:p>
    <w:p>
      <w:pPr>
        <w:spacing w:after="0" w:line="200" w:lineRule="exact"/>
        <w:rPr>
          <w:sz w:val="20"/>
          <w:szCs w:val="20"/>
          <w:color w:val="auto"/>
        </w:rPr>
      </w:pPr>
    </w:p>
    <w:p>
      <w:pPr>
        <w:spacing w:after="0" w:line="225"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IMMATERIAL CORRECTION OF PRIOR PERIOD FINANCIAL STATEMENTS</w:t>
      </w:r>
    </w:p>
    <w:p>
      <w:pPr>
        <w:spacing w:after="0" w:line="256"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Subsequent to the issuance of our condensed consolidated financial statements for the period ended June 30, 2020, we identified an immaterial error related to the commencement of revenue recognition for certain FortiCare support service contracts. Rather than commencing recognition upon end user registration, we should have commenced recognition when control had passed to the distributor, which we have determined is our customer. We assessed the effect of this correction, individually and in the aggregate, on prior periods’ financial statements in accordance with the SEC’s Staff Accounting Bulletin Nos. 99 and 108 and, based on an analysis of quantitative and qualitative factors, determined that the correction was not individually material to any of our prior interim or annual consolidated financial statements.</w:t>
      </w:r>
    </w:p>
    <w:p>
      <w:pPr>
        <w:spacing w:after="0" w:line="20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All financial information contained in the accompanying notes to these condensed consolidated financial statements has been revised to reflect the correction of this error.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corrections to our condensed consolidated statement of income for the three and six months ended June 30, 2020 were as follows (in millions, except per share amounts):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6"/>
          </w:tcPr>
          <w:p>
            <w:pPr>
              <w:jc w:val="center"/>
              <w:ind w:left="1332"/>
              <w:spacing w:after="0"/>
              <w:rPr>
                <w:sz w:val="20"/>
                <w:szCs w:val="20"/>
                <w:color w:val="auto"/>
              </w:rPr>
            </w:pPr>
            <w:r>
              <w:rPr>
                <w:rFonts w:ascii="Arial" w:cs="Arial" w:eastAsia="Arial" w:hAnsi="Arial"/>
                <w:sz w:val="16"/>
                <w:szCs w:val="16"/>
                <w:b w:val="1"/>
                <w:bCs w:val="1"/>
                <w:color w:val="auto"/>
                <w:w w:val="92"/>
              </w:rPr>
              <w:t>Three Months Ended June 30, 2020</w:t>
            </w:r>
          </w:p>
        </w:tc>
        <w:tc>
          <w:tcPr>
            <w:tcW w:w="1520" w:type="dxa"/>
            <w:vAlign w:val="bottom"/>
            <w:tcBorders>
              <w:bottom w:val="single" w:sz="8" w:color="auto"/>
            </w:tcBorders>
          </w:tcPr>
          <w:p>
            <w:pPr>
              <w:spacing w:after="0"/>
              <w:rPr>
                <w:sz w:val="18"/>
                <w:szCs w:val="18"/>
                <w:color w:val="auto"/>
              </w:rPr>
            </w:pPr>
          </w:p>
        </w:tc>
      </w:tr>
      <w:tr>
        <w:trPr>
          <w:trHeight w:val="210"/>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As Previously Reported</w:t>
            </w:r>
          </w:p>
        </w:tc>
        <w:tc>
          <w:tcPr>
            <w:tcW w:w="32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Corrections</w:t>
            </w:r>
          </w:p>
        </w:tc>
        <w:tc>
          <w:tcPr>
            <w:tcW w:w="340" w:type="dxa"/>
            <w:vAlign w:val="bottom"/>
          </w:tcPr>
          <w:p>
            <w:pPr>
              <w:spacing w:after="0"/>
              <w:rPr>
                <w:sz w:val="18"/>
                <w:szCs w:val="18"/>
                <w:color w:val="auto"/>
              </w:rPr>
            </w:pPr>
          </w:p>
        </w:tc>
        <w:tc>
          <w:tcPr>
            <w:tcW w:w="1520" w:type="dxa"/>
            <w:vAlign w:val="bottom"/>
          </w:tcPr>
          <w:p>
            <w:pPr>
              <w:jc w:val="right"/>
              <w:ind w:right="391"/>
              <w:spacing w:after="0"/>
              <w:rPr>
                <w:sz w:val="20"/>
                <w:szCs w:val="20"/>
                <w:color w:val="auto"/>
              </w:rPr>
            </w:pPr>
            <w:r>
              <w:rPr>
                <w:rFonts w:ascii="Arial" w:cs="Arial" w:eastAsia="Arial" w:hAnsi="Arial"/>
                <w:sz w:val="16"/>
                <w:szCs w:val="16"/>
                <w:b w:val="1"/>
                <w:bCs w:val="1"/>
                <w:color w:val="auto"/>
              </w:rPr>
              <w:t>As Corrected</w:t>
            </w:r>
          </w:p>
        </w:tc>
      </w:tr>
      <w:tr>
        <w:trPr>
          <w:trHeight w:val="212"/>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9"/>
        </w:trPr>
        <w:tc>
          <w:tcPr>
            <w:tcW w:w="5460" w:type="dxa"/>
            <w:vAlign w:val="bottom"/>
          </w:tcPr>
          <w:p>
            <w:pPr>
              <w:ind w:left="480"/>
              <w:spacing w:after="0"/>
              <w:rPr>
                <w:sz w:val="20"/>
                <w:szCs w:val="20"/>
                <w:color w:val="auto"/>
              </w:rPr>
            </w:pPr>
            <w:r>
              <w:rPr>
                <w:rFonts w:ascii="Arial" w:cs="Arial" w:eastAsia="Arial" w:hAnsi="Arial"/>
                <w:sz w:val="18"/>
                <w:szCs w:val="18"/>
                <w:color w:val="auto"/>
              </w:rPr>
              <w:t>Service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403.6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405.7</w:t>
            </w:r>
          </w:p>
        </w:tc>
      </w:tr>
      <w:tr>
        <w:trPr>
          <w:trHeight w:val="229"/>
        </w:trPr>
        <w:tc>
          <w:tcPr>
            <w:tcW w:w="5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5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r>
      <w:tr>
        <w:trPr>
          <w:trHeight w:val="229"/>
        </w:trPr>
        <w:tc>
          <w:tcPr>
            <w:tcW w:w="5460" w:type="dxa"/>
            <w:vAlign w:val="bottom"/>
          </w:tcPr>
          <w:p>
            <w:pPr>
              <w:ind w:left="880"/>
              <w:spacing w:after="0"/>
              <w:rPr>
                <w:sz w:val="20"/>
                <w:szCs w:val="20"/>
                <w:color w:val="auto"/>
              </w:rPr>
            </w:pPr>
            <w:r>
              <w:rPr>
                <w:rFonts w:ascii="Arial" w:cs="Arial" w:eastAsia="Arial" w:hAnsi="Arial"/>
                <w:sz w:val="18"/>
                <w:szCs w:val="18"/>
                <w:color w:val="auto"/>
              </w:rPr>
              <w:t>Total gross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482.5</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113.8</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(Note 10):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5460" w:type="dxa"/>
            <w:vAlign w:val="bottom"/>
          </w:tcPr>
          <w:p>
            <w:pPr>
              <w:ind w:left="48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229"/>
        </w:trPr>
        <w:tc>
          <w:tcPr>
            <w:tcW w:w="5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r>
      <w:tr>
        <w:trPr>
          <w:trHeight w:val="415"/>
        </w:trPr>
        <w:tc>
          <w:tcPr>
            <w:tcW w:w="5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6"/>
                <w:szCs w:val="16"/>
                <w:b w:val="1"/>
                <w:bCs w:val="1"/>
                <w:color w:val="auto"/>
              </w:rPr>
              <w:t>Six Months Ended June 30, 2020</w:t>
            </w:r>
          </w:p>
        </w:tc>
        <w:tc>
          <w:tcPr>
            <w:tcW w:w="1520" w:type="dxa"/>
            <w:vAlign w:val="bottom"/>
            <w:tcBorders>
              <w:bottom w:val="single" w:sz="8" w:color="auto"/>
            </w:tcBorders>
          </w:tcPr>
          <w:p>
            <w:pPr>
              <w:spacing w:after="0"/>
              <w:rPr>
                <w:sz w:val="24"/>
                <w:szCs w:val="24"/>
                <w:color w:val="auto"/>
              </w:rPr>
            </w:pPr>
          </w:p>
        </w:tc>
      </w:tr>
      <w:tr>
        <w:trPr>
          <w:trHeight w:val="210"/>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As Previously Reported</w:t>
            </w:r>
          </w:p>
        </w:tc>
        <w:tc>
          <w:tcPr>
            <w:tcW w:w="32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Corrections</w:t>
            </w:r>
          </w:p>
        </w:tc>
        <w:tc>
          <w:tcPr>
            <w:tcW w:w="340" w:type="dxa"/>
            <w:vAlign w:val="bottom"/>
          </w:tcPr>
          <w:p>
            <w:pPr>
              <w:spacing w:after="0"/>
              <w:rPr>
                <w:sz w:val="18"/>
                <w:szCs w:val="18"/>
                <w:color w:val="auto"/>
              </w:rPr>
            </w:pPr>
          </w:p>
        </w:tc>
        <w:tc>
          <w:tcPr>
            <w:tcW w:w="1520" w:type="dxa"/>
            <w:vAlign w:val="bottom"/>
          </w:tcPr>
          <w:p>
            <w:pPr>
              <w:jc w:val="right"/>
              <w:ind w:right="391"/>
              <w:spacing w:after="0"/>
              <w:rPr>
                <w:sz w:val="20"/>
                <w:szCs w:val="20"/>
                <w:color w:val="auto"/>
              </w:rPr>
            </w:pPr>
            <w:r>
              <w:rPr>
                <w:rFonts w:ascii="Arial" w:cs="Arial" w:eastAsia="Arial" w:hAnsi="Arial"/>
                <w:sz w:val="16"/>
                <w:szCs w:val="16"/>
                <w:b w:val="1"/>
                <w:bCs w:val="1"/>
                <w:color w:val="auto"/>
              </w:rPr>
              <w:t>As Corrected</w:t>
            </w:r>
          </w:p>
        </w:tc>
      </w:tr>
      <w:tr>
        <w:trPr>
          <w:trHeight w:val="212"/>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9"/>
        </w:trPr>
        <w:tc>
          <w:tcPr>
            <w:tcW w:w="5460" w:type="dxa"/>
            <w:vAlign w:val="bottom"/>
          </w:tcPr>
          <w:p>
            <w:pPr>
              <w:ind w:left="480"/>
              <w:spacing w:after="0"/>
              <w:rPr>
                <w:sz w:val="20"/>
                <w:szCs w:val="20"/>
                <w:color w:val="auto"/>
              </w:rPr>
            </w:pPr>
            <w:r>
              <w:rPr>
                <w:rFonts w:ascii="Arial" w:cs="Arial" w:eastAsia="Arial" w:hAnsi="Arial"/>
                <w:sz w:val="18"/>
                <w:szCs w:val="18"/>
                <w:color w:val="auto"/>
              </w:rPr>
              <w:t>Service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788.2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791.1</w:t>
            </w:r>
          </w:p>
        </w:tc>
      </w:tr>
      <w:tr>
        <w:trPr>
          <w:trHeight w:val="230"/>
        </w:trPr>
        <w:tc>
          <w:tcPr>
            <w:tcW w:w="5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1,195.3</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5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w:t>
            </w:r>
          </w:p>
        </w:tc>
      </w:tr>
      <w:tr>
        <w:trPr>
          <w:trHeight w:val="230"/>
        </w:trPr>
        <w:tc>
          <w:tcPr>
            <w:tcW w:w="5460" w:type="dxa"/>
            <w:vAlign w:val="bottom"/>
          </w:tcPr>
          <w:p>
            <w:pPr>
              <w:ind w:left="880"/>
              <w:spacing w:after="0"/>
              <w:rPr>
                <w:sz w:val="20"/>
                <w:szCs w:val="20"/>
                <w:color w:val="auto"/>
              </w:rPr>
            </w:pPr>
            <w:r>
              <w:rPr>
                <w:rFonts w:ascii="Arial" w:cs="Arial" w:eastAsia="Arial" w:hAnsi="Arial"/>
                <w:sz w:val="18"/>
                <w:szCs w:val="18"/>
                <w:color w:val="auto"/>
              </w:rPr>
              <w:t>Total gross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928.6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931.5</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238.7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241.6</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218.4</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(Note 10):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5460" w:type="dxa"/>
            <w:vAlign w:val="bottom"/>
          </w:tcPr>
          <w:p>
            <w:pPr>
              <w:ind w:left="48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5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corrections to our condensed consolidated statement of cash flows for the six months ended June 30, 2020 were as follows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Six Months Ended June 30, 2020</w:t>
            </w:r>
          </w:p>
        </w:tc>
        <w:tc>
          <w:tcPr>
            <w:tcW w:w="1580" w:type="dxa"/>
            <w:vAlign w:val="bottom"/>
            <w:tcBorders>
              <w:bottom w:val="single" w:sz="8" w:color="auto"/>
            </w:tcBorders>
          </w:tcPr>
          <w:p>
            <w:pPr>
              <w:spacing w:after="0"/>
              <w:rPr>
                <w:sz w:val="18"/>
                <w:szCs w:val="18"/>
                <w:color w:val="auto"/>
              </w:rPr>
            </w:pPr>
          </w:p>
        </w:tc>
      </w:tr>
      <w:tr>
        <w:trPr>
          <w:trHeight w:val="210"/>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As Previously Reported</w:t>
            </w:r>
          </w:p>
        </w:tc>
        <w:tc>
          <w:tcPr>
            <w:tcW w:w="300" w:type="dxa"/>
            <w:vAlign w:val="bottom"/>
          </w:tcPr>
          <w:p>
            <w:pPr>
              <w:spacing w:after="0"/>
              <w:rPr>
                <w:sz w:val="18"/>
                <w:szCs w:val="18"/>
                <w:color w:val="auto"/>
              </w:rPr>
            </w:pPr>
          </w:p>
        </w:tc>
        <w:tc>
          <w:tcPr>
            <w:tcW w:w="1640" w:type="dxa"/>
            <w:vAlign w:val="bottom"/>
            <w:gridSpan w:val="2"/>
          </w:tcPr>
          <w:p>
            <w:pPr>
              <w:ind w:left="200"/>
              <w:spacing w:after="0"/>
              <w:rPr>
                <w:sz w:val="20"/>
                <w:szCs w:val="20"/>
                <w:color w:val="auto"/>
              </w:rPr>
            </w:pPr>
            <w:r>
              <w:rPr>
                <w:rFonts w:ascii="Arial" w:cs="Arial" w:eastAsia="Arial" w:hAnsi="Arial"/>
                <w:sz w:val="16"/>
                <w:szCs w:val="16"/>
                <w:b w:val="1"/>
                <w:bCs w:val="1"/>
                <w:color w:val="auto"/>
              </w:rPr>
              <w:t>Corrections</w:t>
            </w:r>
          </w:p>
        </w:tc>
        <w:tc>
          <w:tcPr>
            <w:tcW w:w="280" w:type="dxa"/>
            <w:vAlign w:val="bottom"/>
          </w:tcPr>
          <w:p>
            <w:pPr>
              <w:spacing w:after="0"/>
              <w:rPr>
                <w:sz w:val="18"/>
                <w:szCs w:val="18"/>
                <w:color w:val="auto"/>
              </w:rPr>
            </w:pPr>
          </w:p>
        </w:tc>
        <w:tc>
          <w:tcPr>
            <w:tcW w:w="1580" w:type="dxa"/>
            <w:vAlign w:val="bottom"/>
          </w:tcPr>
          <w:p>
            <w:pPr>
              <w:jc w:val="right"/>
              <w:ind w:right="392"/>
              <w:spacing w:after="0"/>
              <w:rPr>
                <w:sz w:val="20"/>
                <w:szCs w:val="20"/>
                <w:color w:val="auto"/>
              </w:rPr>
            </w:pPr>
            <w:r>
              <w:rPr>
                <w:rFonts w:ascii="Arial" w:cs="Arial" w:eastAsia="Arial" w:hAnsi="Arial"/>
                <w:sz w:val="16"/>
                <w:szCs w:val="16"/>
                <w:b w:val="1"/>
                <w:bCs w:val="1"/>
                <w:color w:val="auto"/>
              </w:rPr>
              <w:t>As Corrected</w:t>
            </w:r>
          </w:p>
        </w:tc>
      </w:tr>
      <w:tr>
        <w:trPr>
          <w:trHeight w:val="212"/>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30"/>
        </w:trPr>
        <w:tc>
          <w:tcPr>
            <w:tcW w:w="548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center"/>
              <w:ind w:left="1092"/>
              <w:spacing w:after="0"/>
              <w:rPr>
                <w:sz w:val="20"/>
                <w:szCs w:val="20"/>
                <w:color w:val="auto"/>
              </w:rPr>
            </w:pPr>
            <w:r>
              <w:rPr>
                <w:rFonts w:ascii="Arial" w:cs="Arial" w:eastAsia="Arial" w:hAnsi="Arial"/>
                <w:sz w:val="18"/>
                <w:szCs w:val="18"/>
                <w:color w:val="auto"/>
                <w:w w:val="95"/>
              </w:rPr>
              <w:t>2.3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218.4</w:t>
            </w:r>
          </w:p>
        </w:tc>
      </w:tr>
      <w:tr>
        <w:trPr>
          <w:trHeight w:val="230"/>
        </w:trPr>
        <w:tc>
          <w:tcPr>
            <w:tcW w:w="5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5480" w:type="dxa"/>
            <w:vAlign w:val="bottom"/>
          </w:tcPr>
          <w:p>
            <w:pPr>
              <w:ind w:left="144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center"/>
              <w:ind w:left="1092"/>
              <w:spacing w:after="0"/>
              <w:rPr>
                <w:sz w:val="20"/>
                <w:szCs w:val="20"/>
                <w:color w:val="auto"/>
              </w:rPr>
            </w:pPr>
            <w:r>
              <w:rPr>
                <w:rFonts w:ascii="Arial" w:cs="Arial" w:eastAsia="Arial" w:hAnsi="Arial"/>
                <w:sz w:val="18"/>
                <w:szCs w:val="18"/>
                <w:color w:val="auto"/>
                <w:w w:val="95"/>
              </w:rPr>
              <w:t>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29"/>
        </w:trPr>
        <w:tc>
          <w:tcPr>
            <w:tcW w:w="54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1072"/>
              <w:spacing w:after="0"/>
              <w:rPr>
                <w:sz w:val="20"/>
                <w:szCs w:val="20"/>
                <w:color w:val="auto"/>
              </w:rPr>
            </w:pPr>
            <w:r>
              <w:rPr>
                <w:rFonts w:ascii="Arial" w:cs="Arial" w:eastAsia="Arial" w:hAnsi="Arial"/>
                <w:sz w:val="18"/>
                <w:szCs w:val="18"/>
                <w:color w:val="auto"/>
                <w:w w:val="91"/>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the period in which we corrected net income, we made corresponding corrections to net income and comprehensive income in our condensed consolidated statement of comprehensive income and to net income, retained earnings (accumulated deficit) and total stockholders’ equity in our condensed consolidated statements of stockholders’ equity.</w:t>
      </w:r>
    </w:p>
    <w:p>
      <w:pPr>
        <w:spacing w:after="0" w:line="207"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We sell cybersecurity solutions to a variety of organizations, such as enterprises, communication service providers, government organizations and small to medium-sized enterprises. Our revenue consists of product and service revenue. Product revenue is generated by our FortiGate network security products, our Fortinet Security Fabric platform products and other products. Service revenue relates to sales of our security subscription services, which mainly consists of our FortiGuard security solutions, as well as our FortiCare technical support services and other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major product and service lines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820" w:type="dxa"/>
            <w:vAlign w:val="bottom"/>
            <w:gridSpan w:val="4"/>
          </w:tcPr>
          <w:p>
            <w:pPr>
              <w:jc w:val="right"/>
              <w:ind w:right="833"/>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49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80"/>
              <w:spacing w:after="0" w:line="158" w:lineRule="exact"/>
              <w:rPr>
                <w:sz w:val="20"/>
                <w:szCs w:val="20"/>
                <w:color w:val="auto"/>
              </w:rPr>
            </w:pPr>
            <w:r>
              <w:rPr>
                <w:rFonts w:ascii="Arial" w:cs="Arial" w:eastAsia="Arial" w:hAnsi="Arial"/>
                <w:sz w:val="16"/>
                <w:szCs w:val="16"/>
                <w:b w:val="1"/>
                <w:bCs w:val="1"/>
                <w:color w:val="auto"/>
              </w:rPr>
              <w:t>June 30,</w:t>
            </w:r>
          </w:p>
        </w:tc>
        <w:tc>
          <w:tcPr>
            <w:tcW w:w="3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73"/>
              <w:spacing w:after="0" w:line="15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80"/>
              <w:spacing w:after="0" w:line="158" w:lineRule="exact"/>
              <w:rPr>
                <w:sz w:val="20"/>
                <w:szCs w:val="20"/>
                <w:color w:val="auto"/>
              </w:rPr>
            </w:pPr>
            <w:r>
              <w:rPr>
                <w:rFonts w:ascii="Arial" w:cs="Arial" w:eastAsia="Arial" w:hAnsi="Arial"/>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73"/>
              <w:spacing w:after="0" w:line="158" w:lineRule="exact"/>
              <w:rPr>
                <w:sz w:val="20"/>
                <w:szCs w:val="20"/>
                <w:color w:val="auto"/>
              </w:rPr>
            </w:pPr>
            <w:r>
              <w:rPr>
                <w:rFonts w:ascii="Arial" w:cs="Arial" w:eastAsia="Arial" w:hAnsi="Arial"/>
                <w:sz w:val="16"/>
                <w:szCs w:val="16"/>
                <w:b w:val="1"/>
                <w:bCs w:val="1"/>
                <w:color w:val="auto"/>
              </w:rPr>
              <w:t>June 30,</w:t>
            </w:r>
          </w:p>
        </w:tc>
      </w:tr>
      <w:tr>
        <w:trPr>
          <w:trHeight w:val="213"/>
        </w:trPr>
        <w:tc>
          <w:tcPr>
            <w:tcW w:w="49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r>
      <w:tr>
        <w:trPr>
          <w:trHeight w:val="22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Service: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Security subscription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r>
      <w:tr>
        <w:trPr>
          <w:trHeight w:val="229"/>
        </w:trPr>
        <w:tc>
          <w:tcPr>
            <w:tcW w:w="4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Technical support and other</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w:t>
            </w:r>
          </w:p>
        </w:tc>
      </w:tr>
      <w:tr>
        <w:trPr>
          <w:trHeight w:val="223"/>
        </w:trPr>
        <w:tc>
          <w:tcPr>
            <w:tcW w:w="4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791.1</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1,195.3</w:t>
            </w: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52"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During the three months ended June 30, 2021 and June 30, 2020, we recognized $371.2 million and $302.0 million in service revenue that was included in the deferred revenue balance as of December 31, 2020 and December 31, 2019, respectively. During the six months ended June 30, 2021 and June 30, 2020, we recognized $789.1 million and $645.3 million in service revenue that was included in the deferred revenue balance as of December 31, 2020 and December 31, 2019,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5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As of June 30, 2021, the aggregate amount of the transaction price allocated to remaining performance obligations was $2.91 billion, which was substantially comprised of deferred security subscription and technical support services revenue. We expect to recognize approximately $1.53 billion as revenue over the next 12 months and the remainder thereafter.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52"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Trade accounts receivable are recorded at the invoiced amount. Our accounts receivable balance is reduced by an allowance for expected credit losses. We measure expected credit losses of accounts receivable on a collective (pooled) basis, aggregating accounts receivable that are either current or no more than 60 days past due, and aggregating accounts receivable that are more than 60 days past due. We apply a credit-loss percentage to each of the pools that is based on our historical credit losses. We review whether each of our significant accounts receivable that is more than 60 days past due continues to exhibit similar risk characteristics with the other accounts receivable in the pool. If we determine that it does not, we evaluate it for expected credit losses on an individual basis. Expected credit losses are recorded as general and administrative expenses on our consolidated statements of income.</w:t>
      </w:r>
    </w:p>
    <w:p>
      <w:pPr>
        <w:spacing w:after="0" w:line="175" w:lineRule="exact"/>
        <w:rPr>
          <w:sz w:val="20"/>
          <w:szCs w:val="20"/>
          <w:color w:val="auto"/>
        </w:rPr>
      </w:pPr>
    </w:p>
    <w:p>
      <w:pPr>
        <w:ind w:right="140" w:firstLine="583"/>
        <w:spacing w:after="0" w:line="246" w:lineRule="auto"/>
        <w:rPr>
          <w:sz w:val="20"/>
          <w:szCs w:val="20"/>
          <w:color w:val="auto"/>
        </w:rPr>
      </w:pPr>
      <w:r>
        <w:rPr>
          <w:rFonts w:ascii="Arial" w:cs="Arial" w:eastAsia="Arial" w:hAnsi="Arial"/>
          <w:sz w:val="18"/>
          <w:szCs w:val="18"/>
          <w:color w:val="auto"/>
        </w:rPr>
        <w:t>The allowance for credit losses was $2.7 million and $2.5 million as of June 30, 2021 and December 31, 2020, respectively. Provisions, write-offs and recoveries were not material during the six months ended June 30, 2021 and 2020.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Contract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of deferred contract costs during the three months ended June 30, 2021 and 2020 were $42.1 million and $33.2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deferred contract costs during the six months ended June 30, 2021 and 2020 were $81.8 million and $64.5 million, respectively.</w:t>
      </w:r>
    </w:p>
    <w:p>
      <w:pPr>
        <w:spacing w:after="0" w:line="245"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investments (in millions):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w w:val="90"/>
              </w:rPr>
              <w:t>June 30, 2021</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58"/>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300" w:type="dxa"/>
            <w:vAlign w:val="bottom"/>
          </w:tcPr>
          <w:p>
            <w:pPr>
              <w:spacing w:after="0"/>
              <w:rPr>
                <w:sz w:val="13"/>
                <w:szCs w:val="13"/>
                <w:color w:val="auto"/>
              </w:rPr>
            </w:pPr>
          </w:p>
        </w:tc>
        <w:tc>
          <w:tcPr>
            <w:tcW w:w="1160" w:type="dxa"/>
            <w:vAlign w:val="bottom"/>
          </w:tcPr>
          <w:p>
            <w:pPr>
              <w:jc w:val="center"/>
              <w:ind w:right="253"/>
              <w:spacing w:after="0" w:line="158" w:lineRule="exact"/>
              <w:rPr>
                <w:sz w:val="20"/>
                <w:szCs w:val="20"/>
                <w:color w:val="auto"/>
              </w:rPr>
            </w:pPr>
            <w:r>
              <w:rPr>
                <w:rFonts w:ascii="Arial" w:cs="Arial" w:eastAsia="Arial" w:hAnsi="Arial"/>
                <w:sz w:val="16"/>
                <w:szCs w:val="16"/>
                <w:b w:val="1"/>
                <w:bCs w:val="1"/>
                <w:color w:val="auto"/>
              </w:rPr>
              <w:t>Fair</w:t>
            </w:r>
          </w:p>
        </w:tc>
      </w:tr>
      <w:tr>
        <w:trPr>
          <w:trHeight w:val="213"/>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Gains</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9"/>
              </w:rPr>
              <w:t>Losses</w:t>
            </w:r>
          </w:p>
        </w:tc>
        <w:tc>
          <w:tcPr>
            <w:tcW w:w="300" w:type="dxa"/>
            <w:vAlign w:val="bottom"/>
          </w:tcPr>
          <w:p>
            <w:pPr>
              <w:spacing w:after="0"/>
              <w:rPr>
                <w:sz w:val="18"/>
                <w:szCs w:val="18"/>
                <w:color w:val="auto"/>
              </w:rPr>
            </w:pPr>
          </w:p>
        </w:tc>
        <w:tc>
          <w:tcPr>
            <w:tcW w:w="1160" w:type="dxa"/>
            <w:vAlign w:val="bottom"/>
          </w:tcPr>
          <w:p>
            <w:pPr>
              <w:jc w:val="center"/>
              <w:ind w:right="233"/>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7"/>
              </w:rPr>
              <w:t>(0.3)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658.2</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97"/>
              </w:rPr>
              <w:t>(0.2)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485.7</w:t>
            </w:r>
          </w:p>
        </w:tc>
      </w:tr>
      <w:tr>
        <w:trPr>
          <w:trHeight w:val="230"/>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148.8</w:t>
            </w:r>
          </w:p>
        </w:tc>
      </w:tr>
      <w:tr>
        <w:trPr>
          <w:trHeight w:val="248"/>
        </w:trPr>
        <w:tc>
          <w:tcPr>
            <w:tcW w:w="49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7"/>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95"/>
        </w:trPr>
        <w:tc>
          <w:tcPr>
            <w:tcW w:w="4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w w:val="90"/>
              </w:rPr>
              <w:t>December 31, 2020</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58"/>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300" w:type="dxa"/>
            <w:vAlign w:val="bottom"/>
          </w:tcPr>
          <w:p>
            <w:pPr>
              <w:spacing w:after="0"/>
              <w:rPr>
                <w:sz w:val="13"/>
                <w:szCs w:val="13"/>
                <w:color w:val="auto"/>
              </w:rPr>
            </w:pPr>
          </w:p>
        </w:tc>
        <w:tc>
          <w:tcPr>
            <w:tcW w:w="1160" w:type="dxa"/>
            <w:vAlign w:val="bottom"/>
          </w:tcPr>
          <w:p>
            <w:pPr>
              <w:jc w:val="center"/>
              <w:ind w:right="253"/>
              <w:spacing w:after="0" w:line="158" w:lineRule="exact"/>
              <w:rPr>
                <w:sz w:val="20"/>
                <w:szCs w:val="20"/>
                <w:color w:val="auto"/>
              </w:rPr>
            </w:pPr>
            <w:r>
              <w:rPr>
                <w:rFonts w:ascii="Arial" w:cs="Arial" w:eastAsia="Arial" w:hAnsi="Arial"/>
                <w:sz w:val="16"/>
                <w:szCs w:val="16"/>
                <w:b w:val="1"/>
                <w:bCs w:val="1"/>
                <w:color w:val="auto"/>
              </w:rPr>
              <w:t>Fair</w:t>
            </w:r>
          </w:p>
        </w:tc>
      </w:tr>
      <w:tr>
        <w:trPr>
          <w:trHeight w:val="213"/>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Gains</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9"/>
              </w:rPr>
              <w:t>Losses</w:t>
            </w:r>
          </w:p>
        </w:tc>
        <w:tc>
          <w:tcPr>
            <w:tcW w:w="300" w:type="dxa"/>
            <w:vAlign w:val="bottom"/>
          </w:tcPr>
          <w:p>
            <w:pPr>
              <w:spacing w:after="0"/>
              <w:rPr>
                <w:sz w:val="18"/>
                <w:szCs w:val="18"/>
                <w:color w:val="auto"/>
              </w:rPr>
            </w:pPr>
          </w:p>
        </w:tc>
        <w:tc>
          <w:tcPr>
            <w:tcW w:w="1160" w:type="dxa"/>
            <w:vAlign w:val="bottom"/>
          </w:tcPr>
          <w:p>
            <w:pPr>
              <w:jc w:val="center"/>
              <w:ind w:right="233"/>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411.5</w:t>
            </w:r>
          </w:p>
        </w:tc>
      </w:tr>
      <w:tr>
        <w:trPr>
          <w:trHeight w:val="229"/>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184.9</w:t>
            </w:r>
          </w:p>
        </w:tc>
      </w:tr>
      <w:tr>
        <w:trPr>
          <w:trHeight w:val="248"/>
        </w:trPr>
        <w:tc>
          <w:tcPr>
            <w:tcW w:w="49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700" w:hanging="154"/>
        <w:spacing w:after="0"/>
        <w:tabs>
          <w:tab w:leader="none" w:pos="70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majority of our certificates of deposit and term deposits are foreign deposits.</w:t>
      </w:r>
    </w:p>
    <w:p>
      <w:pPr>
        <w:spacing w:after="0" w:line="167" w:lineRule="exact"/>
        <w:rPr>
          <w:sz w:val="20"/>
          <w:szCs w:val="20"/>
          <w:color w:val="auto"/>
        </w:rPr>
      </w:pPr>
    </w:p>
    <w:p>
      <w:pPr>
        <w:ind w:right="60" w:firstLine="648"/>
        <w:spacing w:after="0" w:line="274" w:lineRule="auto"/>
        <w:rPr>
          <w:sz w:val="20"/>
          <w:szCs w:val="20"/>
          <w:color w:val="auto"/>
        </w:rPr>
      </w:pPr>
      <w:r>
        <w:rPr>
          <w:rFonts w:ascii="Arial" w:cs="Arial" w:eastAsia="Arial" w:hAnsi="Arial"/>
          <w:sz w:val="18"/>
          <w:szCs w:val="18"/>
          <w:color w:val="auto"/>
        </w:rPr>
        <w:t>The following tables show the gross unrealized losses and the related fair values of our investments that have been in a continuous unrealized loss position (in millions):</w:t>
      </w:r>
    </w:p>
    <w:tbl>
      <w:tblPr>
        <w:tblLayout w:type="fixed"/>
        <w:tblInd w:w="2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ind w:left="160"/>
              <w:spacing w:after="0"/>
              <w:rPr>
                <w:sz w:val="20"/>
                <w:szCs w:val="20"/>
                <w:color w:val="auto"/>
              </w:rPr>
            </w:pPr>
            <w:r>
              <w:rPr>
                <w:rFonts w:ascii="Arial" w:cs="Arial" w:eastAsia="Arial" w:hAnsi="Arial"/>
                <w:sz w:val="16"/>
                <w:szCs w:val="16"/>
                <w:b w:val="1"/>
                <w:bCs w:val="1"/>
                <w:color w:val="auto"/>
              </w:rPr>
              <w:t>12 Months or Greater</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r>
      <w:tr>
        <w:trPr>
          <w:trHeight w:val="158"/>
        </w:trPr>
        <w:tc>
          <w:tcPr>
            <w:tcW w:w="40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3"/>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3"/>
              <w:spacing w:after="0" w:line="158" w:lineRule="exact"/>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73"/>
              <w:spacing w:after="0" w:line="158" w:lineRule="exact"/>
              <w:rPr>
                <w:sz w:val="20"/>
                <w:szCs w:val="20"/>
                <w:color w:val="auto"/>
              </w:rPr>
            </w:pPr>
            <w:r>
              <w:rPr>
                <w:rFonts w:ascii="Arial" w:cs="Arial" w:eastAsia="Arial" w:hAnsi="Arial"/>
                <w:sz w:val="16"/>
                <w:szCs w:val="16"/>
                <w:b w:val="1"/>
                <w:bCs w:val="1"/>
                <w:color w:val="auto"/>
                <w:w w:val="91"/>
              </w:rPr>
              <w:t>Unrealized</w:t>
            </w:r>
          </w:p>
        </w:tc>
      </w:tr>
      <w:tr>
        <w:trPr>
          <w:trHeight w:val="213"/>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Pr>
          <w:p>
            <w:pPr>
              <w:spacing w:after="0"/>
              <w:rPr>
                <w:sz w:val="18"/>
                <w:szCs w:val="18"/>
                <w:color w:val="auto"/>
              </w:rPr>
            </w:pPr>
          </w:p>
        </w:tc>
        <w:tc>
          <w:tcPr>
            <w:tcW w:w="94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Losses</w:t>
            </w:r>
          </w:p>
        </w:tc>
      </w:tr>
      <w:tr>
        <w:trPr>
          <w:trHeight w:val="22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7"/>
              </w:rPr>
              <w:t>(0.3)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1"/>
              </w:rPr>
              <w:t>(0.3)</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580"/>
              <w:spacing w:after="0"/>
              <w:rPr>
                <w:sz w:val="20"/>
                <w:szCs w:val="20"/>
                <w:color w:val="auto"/>
              </w:rPr>
            </w:pPr>
            <w:r>
              <w:rPr>
                <w:rFonts w:ascii="Arial" w:cs="Arial" w:eastAsia="Arial" w:hAnsi="Arial"/>
                <w:sz w:val="18"/>
                <w:szCs w:val="18"/>
                <w:color w:val="auto"/>
                <w:w w:val="91"/>
              </w:rPr>
              <w:t>(0.2)</w:t>
            </w: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48"/>
        </w:trPr>
        <w:tc>
          <w:tcPr>
            <w:tcW w:w="40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7"/>
              </w:rPr>
              <w:t>(0.5)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1"/>
              </w:rPr>
              <w:t>(0.5)</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309"/>
        </w:trPr>
        <w:tc>
          <w:tcPr>
            <w:tcW w:w="4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December 31, 2020</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0"/>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ind w:left="160"/>
              <w:spacing w:after="0"/>
              <w:rPr>
                <w:sz w:val="20"/>
                <w:szCs w:val="20"/>
                <w:color w:val="auto"/>
              </w:rPr>
            </w:pPr>
            <w:r>
              <w:rPr>
                <w:rFonts w:ascii="Arial" w:cs="Arial" w:eastAsia="Arial" w:hAnsi="Arial"/>
                <w:sz w:val="16"/>
                <w:szCs w:val="16"/>
                <w:b w:val="1"/>
                <w:bCs w:val="1"/>
                <w:color w:val="auto"/>
              </w:rPr>
              <w:t>12 Months or Greater</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r>
      <w:tr>
        <w:trPr>
          <w:trHeight w:val="158"/>
        </w:trPr>
        <w:tc>
          <w:tcPr>
            <w:tcW w:w="40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3"/>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3"/>
              <w:spacing w:after="0" w:line="158" w:lineRule="exact"/>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73"/>
              <w:spacing w:after="0" w:line="158" w:lineRule="exact"/>
              <w:rPr>
                <w:sz w:val="20"/>
                <w:szCs w:val="20"/>
                <w:color w:val="auto"/>
              </w:rPr>
            </w:pPr>
            <w:r>
              <w:rPr>
                <w:rFonts w:ascii="Arial" w:cs="Arial" w:eastAsia="Arial" w:hAnsi="Arial"/>
                <w:sz w:val="16"/>
                <w:szCs w:val="16"/>
                <w:b w:val="1"/>
                <w:bCs w:val="1"/>
                <w:color w:val="auto"/>
                <w:w w:val="91"/>
              </w:rPr>
              <w:t>Unrealized</w:t>
            </w:r>
          </w:p>
        </w:tc>
      </w:tr>
      <w:tr>
        <w:trPr>
          <w:trHeight w:val="213"/>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Pr>
          <w:p>
            <w:pPr>
              <w:spacing w:after="0"/>
              <w:rPr>
                <w:sz w:val="18"/>
                <w:szCs w:val="18"/>
                <w:color w:val="auto"/>
              </w:rPr>
            </w:pPr>
          </w:p>
        </w:tc>
        <w:tc>
          <w:tcPr>
            <w:tcW w:w="94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Losses</w:t>
            </w:r>
          </w:p>
        </w:tc>
      </w:tr>
      <w:tr>
        <w:trPr>
          <w:trHeight w:val="22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48"/>
        </w:trPr>
        <w:tc>
          <w:tcPr>
            <w:tcW w:w="40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were as follows (in millions):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ind w:right="334"/>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4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4"/>
              <w:spacing w:after="0"/>
              <w:rPr>
                <w:sz w:val="20"/>
                <w:szCs w:val="20"/>
                <w:color w:val="auto"/>
              </w:rPr>
            </w:pPr>
            <w:r>
              <w:rPr>
                <w:rFonts w:ascii="Arial" w:cs="Arial" w:eastAsia="Arial" w:hAnsi="Arial"/>
                <w:sz w:val="16"/>
                <w:szCs w:val="16"/>
                <w:b w:val="1"/>
                <w:bCs w:val="1"/>
                <w:color w:val="auto"/>
              </w:rPr>
              <w:t>2020</w:t>
            </w:r>
          </w:p>
        </w:tc>
      </w:tr>
      <w:tr>
        <w:trPr>
          <w:trHeight w:val="22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220" w:type="dxa"/>
            <w:vAlign w:val="bottom"/>
            <w:shd w:val="clear" w:color="auto" w:fill="CCEEFF"/>
          </w:tcPr>
          <w:p>
            <w:pPr>
              <w:jc w:val="right"/>
              <w:ind w:right="103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w:t>
            </w:r>
          </w:p>
        </w:tc>
      </w:tr>
      <w:tr>
        <w:trPr>
          <w:trHeight w:val="229"/>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within one to three years</w:t>
            </w: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r>
      <w:tr>
        <w:trPr>
          <w:trHeight w:val="248"/>
        </w:trPr>
        <w:tc>
          <w:tcPr>
            <w:tcW w:w="7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shd w:val="clear" w:color="auto" w:fill="CCEEFF"/>
          </w:tcPr>
          <w:p>
            <w:pPr>
              <w:jc w:val="right"/>
              <w:ind w:right="103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1,480.5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893.8</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Available-for-sale securities are reported at fair value, with unrealized gains and losses and the related tax impact included as a separate component of stockholders’ equity and in comprehensive income. Accrued interest receivable of $3.2 million as of June 30, 2021 was excluded from the fair value of our available-for-sale securities and was recorded in prepaid expenses and other current assets in our condensed consolidated balance sheet.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Realized gains and losses on available-for-sale securities were insignificant in the periods presented.</w:t>
      </w:r>
    </w:p>
    <w:p>
      <w:pPr>
        <w:spacing w:after="0" w:line="25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52" w:lineRule="exact"/>
        <w:rPr>
          <w:sz w:val="20"/>
          <w:szCs w:val="20"/>
          <w:color w:val="auto"/>
        </w:rPr>
      </w:pPr>
    </w:p>
    <w:p>
      <w:pPr>
        <w:ind w:left="1300" w:right="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97" w:lineRule="exact"/>
        <w:rPr>
          <w:sz w:val="20"/>
          <w:szCs w:val="20"/>
          <w:color w:val="auto"/>
        </w:rPr>
      </w:pPr>
    </w:p>
    <w:p>
      <w:pPr>
        <w:ind w:left="1300" w:right="3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measure the fair value of money market funds and certain U.S. government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52"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fair value of our financial assets measured at fair value on a recurring basis (in millions):</w:t>
      </w:r>
    </w:p>
    <w:p>
      <w:pPr>
        <w:spacing w:after="0" w:line="50"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ind w:left="460"/>
              <w:spacing w:after="0"/>
              <w:rPr>
                <w:sz w:val="20"/>
                <w:szCs w:val="20"/>
                <w:color w:val="auto"/>
              </w:rPr>
            </w:pPr>
            <w:r>
              <w:rPr>
                <w:rFonts w:ascii="Arial" w:cs="Arial" w:eastAsia="Arial" w:hAnsi="Arial"/>
                <w:sz w:val="16"/>
                <w:szCs w:val="16"/>
                <w:b w:val="1"/>
                <w:bCs w:val="1"/>
                <w:color w:val="auto"/>
              </w:rPr>
              <w:t>June 30, 2021</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300"/>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87"/>
              </w:rPr>
              <w:t>Quoted</w:t>
            </w:r>
          </w:p>
        </w:tc>
        <w:tc>
          <w:tcPr>
            <w:tcW w:w="120" w:type="dxa"/>
            <w:vAlign w:val="bottom"/>
          </w:tcPr>
          <w:p>
            <w:pPr>
              <w:spacing w:after="0"/>
              <w:rPr>
                <w:sz w:val="10"/>
                <w:szCs w:val="10"/>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Significant</w:t>
            </w:r>
          </w:p>
        </w:tc>
        <w:tc>
          <w:tcPr>
            <w:tcW w:w="120" w:type="dxa"/>
            <w:vAlign w:val="bottom"/>
          </w:tcPr>
          <w:p>
            <w:pPr>
              <w:spacing w:after="0"/>
              <w:rPr>
                <w:sz w:val="10"/>
                <w:szCs w:val="10"/>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Significant</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0"/>
                <w:szCs w:val="10"/>
                <w:color w:val="auto"/>
              </w:rPr>
            </w:pPr>
          </w:p>
        </w:tc>
        <w:tc>
          <w:tcPr>
            <w:tcW w:w="920" w:type="dxa"/>
            <w:vAlign w:val="bottom"/>
            <w:vMerge w:val="restart"/>
          </w:tcPr>
          <w:p>
            <w:pPr>
              <w:jc w:val="center"/>
              <w:ind w:right="62"/>
              <w:spacing w:after="0"/>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4"/>
              </w:rPr>
              <w:t>Prices in</w:t>
            </w: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4"/>
              </w:rPr>
              <w:t>Prices in</w:t>
            </w: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center"/>
              <w:ind w:right="56"/>
              <w:spacing w:after="0"/>
              <w:rPr>
                <w:sz w:val="20"/>
                <w:szCs w:val="20"/>
                <w:color w:val="auto"/>
              </w:rPr>
            </w:pPr>
            <w:r>
              <w:rPr>
                <w:rFonts w:ascii="Arial" w:cs="Arial" w:eastAsia="Arial" w:hAnsi="Arial"/>
                <w:sz w:val="13"/>
                <w:szCs w:val="13"/>
                <w:b w:val="1"/>
                <w:bCs w:val="1"/>
                <w:color w:val="auto"/>
                <w:w w:val="83"/>
              </w:rPr>
              <w:t>Aggregate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7"/>
              </w:rPr>
              <w:t>Active</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760" w:type="dxa"/>
            <w:vAlign w:val="bottom"/>
            <w:vMerge w:val="restart"/>
          </w:tcPr>
          <w:p>
            <w:pPr>
              <w:jc w:val="center"/>
              <w:ind w:right="76"/>
              <w:spacing w:after="0"/>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0"/>
                <w:szCs w:val="10"/>
                <w:color w:val="auto"/>
              </w:rPr>
            </w:pPr>
          </w:p>
        </w:tc>
        <w:tc>
          <w:tcPr>
            <w:tcW w:w="9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920" w:type="dxa"/>
            <w:vAlign w:val="bottom"/>
          </w:tcPr>
          <w:p>
            <w:pPr>
              <w:jc w:val="center"/>
              <w:ind w:right="82"/>
              <w:spacing w:after="0" w:line="122"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Markets For</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Observable</w:t>
            </w: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8"/>
              </w:rPr>
              <w:t>Unobservable</w:t>
            </w: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Observable</w:t>
            </w:r>
          </w:p>
        </w:tc>
        <w:tc>
          <w:tcPr>
            <w:tcW w:w="140" w:type="dxa"/>
            <w:vAlign w:val="bottom"/>
          </w:tcPr>
          <w:p>
            <w:pPr>
              <w:spacing w:after="0"/>
              <w:rPr>
                <w:sz w:val="10"/>
                <w:szCs w:val="10"/>
                <w:color w:val="auto"/>
              </w:rPr>
            </w:pPr>
          </w:p>
        </w:tc>
        <w:tc>
          <w:tcPr>
            <w:tcW w:w="920" w:type="dxa"/>
            <w:vAlign w:val="bottom"/>
          </w:tcPr>
          <w:p>
            <w:pPr>
              <w:jc w:val="center"/>
              <w:ind w:right="62"/>
              <w:spacing w:after="0" w:line="122" w:lineRule="exact"/>
              <w:rPr>
                <w:sz w:val="20"/>
                <w:szCs w:val="20"/>
                <w:color w:val="auto"/>
              </w:rPr>
            </w:pPr>
            <w:r>
              <w:rPr>
                <w:rFonts w:ascii="Arial" w:cs="Arial" w:eastAsia="Arial" w:hAnsi="Arial"/>
                <w:sz w:val="13"/>
                <w:szCs w:val="13"/>
                <w:b w:val="1"/>
                <w:bCs w:val="1"/>
                <w:color w:val="auto"/>
                <w:w w:val="86"/>
              </w:rPr>
              <w:t>Unobservable</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56"/>
              <w:spacing w:after="0" w:line="122"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Identical</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Remaining</w:t>
            </w:r>
          </w:p>
        </w:tc>
        <w:tc>
          <w:tcPr>
            <w:tcW w:w="140" w:type="dxa"/>
            <w:vAlign w:val="bottom"/>
          </w:tcPr>
          <w:p>
            <w:pPr>
              <w:spacing w:after="0"/>
              <w:rPr>
                <w:sz w:val="10"/>
                <w:szCs w:val="10"/>
                <w:color w:val="auto"/>
              </w:rPr>
            </w:pPr>
          </w:p>
        </w:tc>
        <w:tc>
          <w:tcPr>
            <w:tcW w:w="760" w:type="dxa"/>
            <w:vAlign w:val="bottom"/>
          </w:tcPr>
          <w:p>
            <w:pPr>
              <w:jc w:val="center"/>
              <w:ind w:right="76"/>
              <w:spacing w:after="0" w:line="122"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0"/>
                <w:szCs w:val="10"/>
                <w:color w:val="auto"/>
              </w:rPr>
            </w:pPr>
          </w:p>
        </w:tc>
        <w:tc>
          <w:tcPr>
            <w:tcW w:w="920" w:type="dxa"/>
            <w:vAlign w:val="bottom"/>
          </w:tcPr>
          <w:p>
            <w:pPr>
              <w:jc w:val="center"/>
              <w:ind w:right="62"/>
              <w:spacing w:after="0" w:line="122" w:lineRule="exact"/>
              <w:rPr>
                <w:sz w:val="20"/>
                <w:szCs w:val="20"/>
                <w:color w:val="auto"/>
              </w:rPr>
            </w:pPr>
            <w:r>
              <w:rPr>
                <w:rFonts w:ascii="Arial" w:cs="Arial" w:eastAsia="Arial" w:hAnsi="Arial"/>
                <w:sz w:val="13"/>
                <w:szCs w:val="13"/>
                <w:b w:val="1"/>
                <w:bCs w:val="1"/>
                <w:color w:val="auto"/>
                <w:w w:val="87"/>
              </w:rPr>
              <w:t>Remaining</w:t>
            </w:r>
          </w:p>
        </w:tc>
        <w:tc>
          <w:tcPr>
            <w:tcW w:w="0" w:type="dxa"/>
            <w:vAlign w:val="bottom"/>
          </w:tcPr>
          <w:p>
            <w:pPr>
              <w:spacing w:after="0"/>
              <w:rPr>
                <w:sz w:val="1"/>
                <w:szCs w:val="1"/>
                <w:color w:val="auto"/>
              </w:rPr>
            </w:pPr>
          </w:p>
        </w:tc>
      </w:tr>
      <w:tr>
        <w:trPr>
          <w:trHeight w:val="170"/>
        </w:trPr>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6"/>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Inputs</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Inputs</w:t>
            </w:r>
          </w:p>
        </w:tc>
        <w:tc>
          <w:tcPr>
            <w:tcW w:w="140" w:type="dxa"/>
            <w:vAlign w:val="bottom"/>
          </w:tcPr>
          <w:p>
            <w:pPr>
              <w:spacing w:after="0"/>
              <w:rPr>
                <w:sz w:val="14"/>
                <w:szCs w:val="14"/>
                <w:color w:val="auto"/>
              </w:rPr>
            </w:pPr>
          </w:p>
        </w:tc>
        <w:tc>
          <w:tcPr>
            <w:tcW w:w="760" w:type="dxa"/>
            <w:vAlign w:val="bottom"/>
          </w:tcPr>
          <w:p>
            <w:pPr>
              <w:jc w:val="center"/>
              <w:ind w:right="76"/>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9"/>
              </w:rPr>
              <w:t>Assets</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Inputs</w:t>
            </w:r>
          </w:p>
        </w:tc>
        <w:tc>
          <w:tcPr>
            <w:tcW w:w="140" w:type="dxa"/>
            <w:vAlign w:val="bottom"/>
          </w:tcPr>
          <w:p>
            <w:pPr>
              <w:spacing w:after="0"/>
              <w:rPr>
                <w:sz w:val="14"/>
                <w:szCs w:val="14"/>
                <w:color w:val="auto"/>
              </w:rPr>
            </w:pPr>
          </w:p>
        </w:tc>
        <w:tc>
          <w:tcPr>
            <w:tcW w:w="920" w:type="dxa"/>
            <w:vAlign w:val="bottom"/>
          </w:tcPr>
          <w:p>
            <w:pPr>
              <w:jc w:val="center"/>
              <w:ind w:right="62"/>
              <w:spacing w:after="0"/>
              <w:rPr>
                <w:sz w:val="20"/>
                <w:szCs w:val="20"/>
                <w:color w:val="auto"/>
              </w:rPr>
            </w:pPr>
            <w:r>
              <w:rPr>
                <w:rFonts w:ascii="Arial" w:cs="Arial" w:eastAsia="Arial" w:hAnsi="Arial"/>
                <w:sz w:val="13"/>
                <w:szCs w:val="13"/>
                <w:b w:val="1"/>
                <w:bCs w:val="1"/>
                <w:color w:val="auto"/>
                <w:w w:val="87"/>
              </w:rPr>
              <w:t>Inputs</w:t>
            </w:r>
          </w:p>
        </w:tc>
        <w:tc>
          <w:tcPr>
            <w:tcW w:w="0" w:type="dxa"/>
            <w:vAlign w:val="bottom"/>
          </w:tcPr>
          <w:p>
            <w:pPr>
              <w:spacing w:after="0"/>
              <w:rPr>
                <w:sz w:val="1"/>
                <w:szCs w:val="1"/>
                <w:color w:val="auto"/>
              </w:rPr>
            </w:pPr>
          </w:p>
        </w:tc>
      </w:tr>
      <w:tr>
        <w:trPr>
          <w:trHeight w:val="212"/>
        </w:trPr>
        <w:tc>
          <w:tcPr>
            <w:tcW w:w="27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43"/>
              <w:spacing w:after="0"/>
              <w:rPr>
                <w:sz w:val="20"/>
                <w:szCs w:val="20"/>
                <w:color w:val="auto"/>
              </w:rPr>
            </w:pPr>
            <w:r>
              <w:rPr>
                <w:rFonts w:ascii="Arial" w:cs="Arial" w:eastAsia="Arial" w:hAnsi="Arial"/>
                <w:sz w:val="16"/>
                <w:szCs w:val="16"/>
                <w:b w:val="1"/>
                <w:bCs w:val="1"/>
                <w:color w:val="auto"/>
                <w:w w:val="92"/>
              </w:rPr>
              <w:t>(Level 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92"/>
              </w:rPr>
              <w:t>(Level 3)</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ind w:right="43"/>
              <w:spacing w:after="0"/>
              <w:rPr>
                <w:sz w:val="20"/>
                <w:szCs w:val="20"/>
                <w:color w:val="auto"/>
              </w:rPr>
            </w:pPr>
            <w:r>
              <w:rPr>
                <w:rFonts w:ascii="Arial" w:cs="Arial" w:eastAsia="Arial" w:hAnsi="Arial"/>
                <w:sz w:val="16"/>
                <w:szCs w:val="16"/>
                <w:b w:val="1"/>
                <w:bCs w:val="1"/>
                <w:color w:val="auto"/>
                <w:w w:val="95"/>
              </w:rPr>
              <w:t>(Level 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460"/>
              <w:spacing w:after="0"/>
              <w:rPr>
                <w:sz w:val="20"/>
                <w:szCs w:val="20"/>
                <w:color w:val="auto"/>
              </w:rPr>
            </w:pPr>
            <w:r>
              <w:rPr>
                <w:rFonts w:ascii="Arial" w:cs="Arial" w:eastAsia="Arial" w:hAnsi="Arial"/>
                <w:sz w:val="18"/>
                <w:szCs w:val="18"/>
                <w:color w:val="auto"/>
              </w:rPr>
              <w:t>Commercial paper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2"/>
              <w:spacing w:after="0"/>
              <w:rPr>
                <w:sz w:val="20"/>
                <w:szCs w:val="20"/>
                <w:color w:val="auto"/>
              </w:rPr>
            </w:pPr>
            <w:r>
              <w:rPr>
                <w:rFonts w:ascii="Arial" w:cs="Arial" w:eastAsia="Arial" w:hAnsi="Arial"/>
                <w:sz w:val="18"/>
                <w:szCs w:val="18"/>
                <w:color w:val="auto"/>
              </w:rPr>
              <w:t>658.2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197.2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2"/>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485.7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700" w:type="dxa"/>
            <w:vAlign w:val="bottom"/>
          </w:tcPr>
          <w:p>
            <w:pPr>
              <w:ind w:left="460"/>
              <w:spacing w:after="0" w:line="176" w:lineRule="exact"/>
              <w:rPr>
                <w:sz w:val="20"/>
                <w:szCs w:val="20"/>
                <w:color w:val="auto"/>
              </w:rPr>
            </w:pPr>
            <w:r>
              <w:rPr>
                <w:rFonts w:ascii="Arial" w:cs="Arial" w:eastAsia="Arial" w:hAnsi="Arial"/>
                <w:sz w:val="18"/>
                <w:szCs w:val="18"/>
                <w:color w:val="auto"/>
              </w:rPr>
              <w:t>Certificates of deposit and</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80" w:type="dxa"/>
            <w:vAlign w:val="bottom"/>
            <w:vMerge w:val="restart"/>
          </w:tcPr>
          <w:p>
            <w:pPr>
              <w:jc w:val="right"/>
              <w:ind w:right="2"/>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00" w:type="dxa"/>
            <w:vAlign w:val="bottom"/>
            <w:vMerge w:val="restart"/>
          </w:tcPr>
          <w:p>
            <w:pPr>
              <w:jc w:val="right"/>
              <w:ind w:right="2"/>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rPr>
                <w:sz w:val="20"/>
                <w:szCs w:val="20"/>
                <w:color w:val="auto"/>
              </w:rPr>
            </w:pPr>
            <w:r>
              <w:rPr>
                <w:rFonts w:ascii="Arial" w:cs="Arial" w:eastAsia="Arial" w:hAnsi="Arial"/>
                <w:sz w:val="18"/>
                <w:szCs w:val="18"/>
                <w:color w:val="auto"/>
              </w:rPr>
              <w:t>term deposits</w:t>
            </w: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U.S. government securities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148.8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tcPr>
          <w:p>
            <w:pPr>
              <w:ind w:left="46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3"/>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229.4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1,331.7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337.6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722.9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as: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Long-term investments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There were no transfers between Level 1 and Level 2 of the fair value hierarchy during the six months ended June 30, 2021 and year ended December 31, 2020.</w:t>
      </w:r>
    </w:p>
    <w:p>
      <w:pPr>
        <w:spacing w:after="0" w:line="19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tab/>
        <w:t>INVENTORY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millions):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ind w:right="374"/>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36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4"/>
              <w:spacing w:after="0"/>
              <w:rPr>
                <w:sz w:val="20"/>
                <w:szCs w:val="20"/>
                <w:color w:val="auto"/>
              </w:rPr>
            </w:pPr>
            <w:r>
              <w:rPr>
                <w:rFonts w:ascii="Arial" w:cs="Arial" w:eastAsia="Arial" w:hAnsi="Arial"/>
                <w:sz w:val="16"/>
                <w:szCs w:val="16"/>
                <w:b w:val="1"/>
                <w:bCs w:val="1"/>
                <w:color w:val="auto"/>
              </w:rPr>
              <w:t>2020</w:t>
            </w:r>
          </w:p>
        </w:tc>
      </w:tr>
      <w:tr>
        <w:trPr>
          <w:trHeight w:val="22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80" w:type="dxa"/>
            <w:vAlign w:val="bottom"/>
            <w:shd w:val="clear" w:color="auto" w:fill="CCEEFF"/>
          </w:tcPr>
          <w:p>
            <w:pPr>
              <w:jc w:val="right"/>
              <w:ind w:right="109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1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r>
      <w:tr>
        <w:trPr>
          <w:trHeight w:val="248"/>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1280" w:type="dxa"/>
            <w:vAlign w:val="bottom"/>
            <w:tcBorders>
              <w:bottom w:val="single" w:sz="8" w:color="auto"/>
            </w:tcBorders>
            <w:shd w:val="clear" w:color="auto" w:fill="CCEEFF"/>
          </w:tcPr>
          <w:p>
            <w:pPr>
              <w:jc w:val="right"/>
              <w:ind w:right="109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tab/>
        <w:t>PROPERTY AND EQUIPMENT—Net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the following (in millions):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ind w:right="372"/>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3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2020</w:t>
            </w:r>
          </w:p>
        </w:tc>
      </w:tr>
      <w:tr>
        <w:trPr>
          <w:trHeight w:val="22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60" w:type="dxa"/>
            <w:vAlign w:val="bottom"/>
            <w:shd w:val="clear" w:color="auto" w:fill="CCEEFF"/>
          </w:tcPr>
          <w:p>
            <w:pPr>
              <w:jc w:val="right"/>
              <w:ind w:right="107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150.6</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Evaluation units</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r>
      <w:tr>
        <w:trPr>
          <w:trHeight w:val="223"/>
        </w:trPr>
        <w:tc>
          <w:tcPr>
            <w:tcW w:w="7360" w:type="dxa"/>
            <w:vAlign w:val="bottom"/>
          </w:tcPr>
          <w:p>
            <w:pPr>
              <w:ind w:left="460"/>
              <w:spacing w:after="0"/>
              <w:rPr>
                <w:sz w:val="20"/>
                <w:szCs w:val="20"/>
                <w:color w:val="auto"/>
              </w:rPr>
            </w:pPr>
            <w:r>
              <w:rPr>
                <w:rFonts w:ascii="Arial" w:cs="Arial" w:eastAsia="Arial" w:hAnsi="Arial"/>
                <w:sz w:val="18"/>
                <w:szCs w:val="18"/>
                <w:color w:val="auto"/>
              </w:rPr>
              <w:t>Total property and equipment</w:t>
            </w:r>
          </w:p>
        </w:tc>
        <w:tc>
          <w:tcPr>
            <w:tcW w:w="1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620.5</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1260" w:type="dxa"/>
            <w:vAlign w:val="bottom"/>
            <w:tcBorders>
              <w:bottom w:val="single" w:sz="8" w:color="auto"/>
            </w:tcBorders>
          </w:tcPr>
          <w:p>
            <w:pPr>
              <w:jc w:val="right"/>
              <w:ind w:right="10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448.0</w:t>
            </w:r>
          </w:p>
        </w:tc>
      </w:tr>
      <w:tr>
        <w:trPr>
          <w:trHeight w:val="21"/>
        </w:trPr>
        <w:tc>
          <w:tcPr>
            <w:tcW w:w="7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firstLine="648"/>
        <w:spacing w:after="0" w:line="231" w:lineRule="auto"/>
        <w:rPr>
          <w:sz w:val="20"/>
          <w:szCs w:val="20"/>
          <w:color w:val="auto"/>
        </w:rPr>
      </w:pPr>
      <w:r>
        <w:rPr>
          <w:rFonts w:ascii="Arial" w:cs="Arial" w:eastAsia="Arial" w:hAnsi="Arial"/>
          <w:sz w:val="18"/>
          <w:szCs w:val="18"/>
          <w:color w:val="auto"/>
        </w:rPr>
        <w:t>We completed construction of a second building at our headquarters campus and it has been placed in service as of June 30, 2021. In conjunction with the completion of the building, we evaluated the range of useful lives of our property and equipment. The range of useful lives for buildings and improvements is now two to 40 years, an increase from two to 30 years, and for furniture and fixtures the range is now three to eight years, an increase from three to five years.</w:t>
      </w:r>
    </w:p>
    <w:p>
      <w:pPr>
        <w:spacing w:after="0" w:line="216"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Depreciation expense was $15.3 million and $14.1 million during the three months ended June 30, 2021 and 2020, respectively. Depreciation expense was $29.3 million and $27.7 million during the six months ended June 30, 2021 and 2020, respectively.</w:t>
      </w:r>
    </w:p>
    <w:p>
      <w:pPr>
        <w:spacing w:after="0" w:line="169"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 HELD COMPANIES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Linksys Holdings, Inc.</w:t>
      </w:r>
    </w:p>
    <w:p>
      <w:pPr>
        <w:spacing w:after="0" w:line="239" w:lineRule="exact"/>
        <w:rPr>
          <w:sz w:val="20"/>
          <w:szCs w:val="20"/>
          <w:color w:val="auto"/>
        </w:rPr>
      </w:pPr>
    </w:p>
    <w:p>
      <w:pPr>
        <w:ind w:right="460" w:firstLine="648"/>
        <w:spacing w:after="0" w:line="246" w:lineRule="auto"/>
        <w:rPr>
          <w:sz w:val="20"/>
          <w:szCs w:val="20"/>
          <w:color w:val="auto"/>
        </w:rPr>
      </w:pPr>
      <w:r>
        <w:rPr>
          <w:rFonts w:ascii="Arial" w:cs="Arial" w:eastAsia="Arial" w:hAnsi="Arial"/>
          <w:sz w:val="18"/>
          <w:szCs w:val="18"/>
          <w:color w:val="auto"/>
        </w:rPr>
        <w:t>On March 19, 2021, we invested $75.0 million in cash for shares of the Series A Preferred Stock of Linksys Holdings, Inc. (“Linksys”) for a 32.6% ownership interest. Linksys provides router connectivity solutions to the consumer and small business markets.</w:t>
      </w:r>
    </w:p>
    <w:p>
      <w:pPr>
        <w:spacing w:after="0" w:line="197" w:lineRule="exact"/>
        <w:rPr>
          <w:sz w:val="20"/>
          <w:szCs w:val="20"/>
          <w:color w:val="auto"/>
        </w:rPr>
      </w:pPr>
    </w:p>
    <w:p>
      <w:pPr>
        <w:ind w:right="100" w:firstLine="648"/>
        <w:spacing w:after="0" w:line="242" w:lineRule="auto"/>
        <w:rPr>
          <w:sz w:val="20"/>
          <w:szCs w:val="20"/>
          <w:color w:val="auto"/>
        </w:rPr>
      </w:pPr>
      <w:r>
        <w:rPr>
          <w:rFonts w:ascii="Arial" w:cs="Arial" w:eastAsia="Arial" w:hAnsi="Arial"/>
          <w:sz w:val="17"/>
          <w:szCs w:val="17"/>
          <w:color w:val="auto"/>
        </w:rPr>
        <w:t>We concluded that our investment is an in-substance common-stock investment, and, though we do not hold a controlling financial interest in Linksys, we have the ability to exercise significant influence over the operating and financial policies of Linksys. Therefore, we determined to account for this investment using the equity method of accounting. We record our share of Linksys’ financial results on a three-month lag basis. Our share of the earnings of Linksys’ financial results, which are accounted for under the three-month lag basis, were not material and therefore our investment in Linksys was not adjusted for the equity method impacts during the three months ended June 30, 2021.</w:t>
      </w:r>
    </w:p>
    <w:p>
      <w:pPr>
        <w:spacing w:after="0" w:line="21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June 30, 2021, the investment was included in other assets on our condensed consolidated balance sheet. Transaction costs related to this investment were not material</w:t>
      </w:r>
    </w:p>
    <w:p>
      <w:pPr>
        <w:spacing w:after="0" w:line="19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other investments in the equity securities of privately held companies without readily determinable fair values totaled $1.0 million as of June 30, 2021 and December 31, 2020.</w:t>
      </w:r>
    </w:p>
    <w:p>
      <w:pPr>
        <w:spacing w:after="0" w:line="193"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ShieldX Networks, Inc.</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March 10, 2021, we closed an acquisition of certain assets and liabilities of ShieldX Networks Inc. (“ShieldX”) for $10.8 million in cash. This acquisition was accounted for as a business combination using the acquisition method of accounting. Of the purchase price, $6.2 million was allocated to goodwill, $4.1 million was allocated to developed technology intangible asset and $0.5 million was allocated to other net assets acquired. Goodwill recorded in connection with this acquisition</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represents the value we expect to be created through expansion into markets within our existing business and potential cost savings and synergies. All acquired goodwill is expected to be deductible for tax purposes. Acquisition-related costs related to this acquisition were not material and were recorded as general and administrative expense.</w:t>
      </w:r>
    </w:p>
    <w:p>
      <w:pPr>
        <w:spacing w:after="0" w:line="20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9.</w:t>
        <w:tab/>
        <w:t>GOODWILL AND OTHER INTANGIBLE ASSETS—Net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the carrying amount of goodwill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Amount</w:t>
            </w:r>
          </w:p>
        </w:tc>
      </w:tr>
      <w:tr>
        <w:trPr>
          <w:trHeight w:val="226"/>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 due to business combination</w:t>
            </w:r>
          </w:p>
        </w:tc>
        <w:tc>
          <w:tcPr>
            <w:tcW w:w="4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2021</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impairments to goodwill during the six months ended June 30, 2021 or during prior periods.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(in millions, except years):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6"/>
                <w:szCs w:val="16"/>
                <w:b w:val="1"/>
                <w:bCs w:val="1"/>
                <w:color w:val="auto"/>
                <w:w w:val="90"/>
              </w:rPr>
              <w:t>June 30, 2021</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540" w:type="dxa"/>
            <w:vAlign w:val="bottom"/>
          </w:tcPr>
          <w:p>
            <w:pPr>
              <w:spacing w:after="0"/>
              <w:rPr>
                <w:sz w:val="13"/>
                <w:szCs w:val="13"/>
                <w:color w:val="auto"/>
              </w:rPr>
            </w:pPr>
          </w:p>
        </w:tc>
        <w:tc>
          <w:tcPr>
            <w:tcW w:w="154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89"/>
              </w:rPr>
              <w:t>Weighted-Average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Arial" w:cs="Arial" w:eastAsia="Arial" w:hAnsi="Arial"/>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Customer relationships</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54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6"/>
                <w:szCs w:val="16"/>
                <w:b w:val="1"/>
                <w:bCs w:val="1"/>
                <w:color w:val="auto"/>
                <w:w w:val="90"/>
              </w:rPr>
              <w:t>December 31, 2020</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540" w:type="dxa"/>
            <w:vAlign w:val="bottom"/>
          </w:tcPr>
          <w:p>
            <w:pPr>
              <w:spacing w:after="0"/>
              <w:rPr>
                <w:sz w:val="13"/>
                <w:szCs w:val="13"/>
                <w:color w:val="auto"/>
              </w:rPr>
            </w:pPr>
          </w:p>
        </w:tc>
        <w:tc>
          <w:tcPr>
            <w:tcW w:w="154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89"/>
              </w:rPr>
              <w:t>Weighted-Average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Arial" w:cs="Arial" w:eastAsia="Arial" w:hAnsi="Arial"/>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Customer relationships</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Amortization expense was $3.5 million and $3.7 million during the three months ended June 30, 2021 and 2020, respectively. Amortization expense was $6.9 million and $7.7 million during the six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estimated future amortization expense of finite-lived intangible assets—net (in millions):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90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Amount</w:t>
            </w: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Years:</w:t>
            </w: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9"/>
        </w:trPr>
        <w:tc>
          <w:tcPr>
            <w:tcW w:w="9000" w:type="dxa"/>
            <w:vAlign w:val="bottom"/>
          </w:tcPr>
          <w:p>
            <w:pPr>
              <w:ind w:left="340"/>
              <w:spacing w:after="0"/>
              <w:rPr>
                <w:sz w:val="20"/>
                <w:szCs w:val="20"/>
                <w:color w:val="auto"/>
              </w:rPr>
            </w:pPr>
            <w:r>
              <w:rPr>
                <w:rFonts w:ascii="Arial" w:cs="Arial" w:eastAsia="Arial" w:hAnsi="Arial"/>
                <w:sz w:val="18"/>
                <w:szCs w:val="18"/>
                <w:color w:val="auto"/>
              </w:rPr>
              <w:t>2021 (the remainder of 2021)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9000" w:type="dxa"/>
            <w:vAlign w:val="bottom"/>
          </w:tcPr>
          <w:p>
            <w:pPr>
              <w:ind w:left="340"/>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9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2025</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5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and stock options. Dilutive shares of common stock are determined by applying the treasury stock method.</w:t>
      </w:r>
    </w:p>
    <w:p>
      <w:pPr>
        <w:spacing w:after="0" w:line="214" w:lineRule="exact"/>
        <w:rPr>
          <w:sz w:val="20"/>
          <w:szCs w:val="20"/>
          <w:color w:val="auto"/>
        </w:rPr>
      </w:pPr>
    </w:p>
    <w:p>
      <w:pPr>
        <w:ind w:right="400" w:firstLine="648"/>
        <w:spacing w:after="0" w:line="274"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millions, except per share amounts):</w:t>
      </w:r>
    </w:p>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640" w:type="dxa"/>
            <w:vAlign w:val="bottom"/>
            <w:gridSpan w:val="4"/>
          </w:tcPr>
          <w:p>
            <w:pPr>
              <w:jc w:val="right"/>
              <w:ind w:right="73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5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180"/>
              <w:spacing w:after="0" w:line="158" w:lineRule="exact"/>
              <w:rPr>
                <w:sz w:val="20"/>
                <w:szCs w:val="20"/>
                <w:color w:val="auto"/>
              </w:rPr>
            </w:pPr>
            <w:r>
              <w:rPr>
                <w:rFonts w:ascii="Arial" w:cs="Arial" w:eastAsia="Arial" w:hAnsi="Arial"/>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72"/>
              <w:spacing w:after="0" w:line="15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140"/>
              <w:spacing w:after="0" w:line="158" w:lineRule="exact"/>
              <w:rPr>
                <w:sz w:val="20"/>
                <w:szCs w:val="20"/>
                <w:color w:val="auto"/>
              </w:rPr>
            </w:pPr>
            <w:r>
              <w:rPr>
                <w:rFonts w:ascii="Arial" w:cs="Arial" w:eastAsia="Arial" w:hAnsi="Arial"/>
                <w:sz w:val="16"/>
                <w:szCs w:val="16"/>
                <w:b w:val="1"/>
                <w:bCs w:val="1"/>
                <w:color w:val="auto"/>
              </w:rPr>
              <w:t>June 30,</w:t>
            </w: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32"/>
              <w:spacing w:after="0" w:line="158" w:lineRule="exact"/>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shares: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shares: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Effect of potentially dilutive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880"/>
              <w:spacing w:after="0"/>
              <w:rPr>
                <w:sz w:val="20"/>
                <w:szCs w:val="20"/>
                <w:color w:val="auto"/>
              </w:rPr>
            </w:pPr>
            <w:r>
              <w:rPr>
                <w:rFonts w:ascii="Arial" w:cs="Arial" w:eastAsia="Arial" w:hAnsi="Arial"/>
                <w:sz w:val="18"/>
                <w:szCs w:val="18"/>
                <w:color w:val="auto"/>
              </w:rPr>
              <w:t>RSUs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Stock options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55"/>
        </w:trPr>
        <w:tc>
          <w:tcPr>
            <w:tcW w:w="5120" w:type="dxa"/>
            <w:vAlign w:val="bottom"/>
          </w:tcPr>
          <w:p>
            <w:pPr>
              <w:ind w:left="20"/>
              <w:spacing w:after="0" w:line="156" w:lineRule="exact"/>
              <w:rPr>
                <w:sz w:val="20"/>
                <w:szCs w:val="20"/>
                <w:color w:val="auto"/>
              </w:rPr>
            </w:pPr>
            <w:r>
              <w:rPr>
                <w:rFonts w:ascii="Arial" w:cs="Arial" w:eastAsia="Arial" w:hAnsi="Arial"/>
                <w:sz w:val="18"/>
                <w:szCs w:val="18"/>
                <w:color w:val="auto"/>
                <w:w w:val="96"/>
              </w:rPr>
              <w:t>Weighted-average shares used to compute diluted net income per</w:t>
            </w:r>
          </w:p>
        </w:tc>
        <w:tc>
          <w:tcPr>
            <w:tcW w:w="2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share</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share:</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4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80" w:firstLine="648"/>
        <w:spacing w:after="0" w:line="274"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millions):</w:t>
      </w:r>
    </w:p>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sz w:val="18"/>
                <w:szCs w:val="18"/>
                <w:color w:val="auto"/>
              </w:rPr>
            </w:pPr>
          </w:p>
        </w:tc>
        <w:tc>
          <w:tcPr>
            <w:tcW w:w="2720" w:type="dxa"/>
            <w:vAlign w:val="bottom"/>
            <w:tcBorders>
              <w:bottom w:val="single" w:sz="8" w:color="auto"/>
            </w:tcBorders>
            <w:gridSpan w:val="4"/>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Borders>
              <w:bottom w:val="single" w:sz="8" w:color="auto"/>
            </w:tcBorders>
            <w:gridSpan w:val="4"/>
          </w:tcPr>
          <w:p>
            <w:pPr>
              <w:ind w:left="820"/>
              <w:spacing w:after="0"/>
              <w:rPr>
                <w:sz w:val="20"/>
                <w:szCs w:val="20"/>
                <w:color w:val="auto"/>
              </w:rPr>
            </w:pPr>
            <w:r>
              <w:rPr>
                <w:rFonts w:ascii="Arial" w:cs="Arial" w:eastAsia="Arial" w:hAnsi="Arial"/>
                <w:sz w:val="16"/>
                <w:szCs w:val="16"/>
                <w:b w:val="1"/>
                <w:bCs w:val="1"/>
                <w:color w:val="auto"/>
              </w:rPr>
              <w:t>Six Months Ended</w:t>
            </w:r>
          </w:p>
        </w:tc>
        <w:tc>
          <w:tcPr>
            <w:tcW w:w="360" w:type="dxa"/>
            <w:vAlign w:val="bottom"/>
            <w:tcBorders>
              <w:bottom w:val="single" w:sz="8" w:color="auto"/>
            </w:tcBorders>
          </w:tcPr>
          <w:p>
            <w:pPr>
              <w:spacing w:after="0"/>
              <w:rPr>
                <w:sz w:val="18"/>
                <w:szCs w:val="18"/>
                <w:color w:val="auto"/>
              </w:rPr>
            </w:pPr>
          </w:p>
        </w:tc>
      </w:tr>
      <w:tr>
        <w:trPr>
          <w:trHeight w:val="158"/>
        </w:trPr>
        <w:tc>
          <w:tcPr>
            <w:tcW w:w="5120" w:type="dxa"/>
            <w:vAlign w:val="bottom"/>
          </w:tcPr>
          <w:p>
            <w:pPr>
              <w:spacing w:after="0"/>
              <w:rPr>
                <w:sz w:val="13"/>
                <w:szCs w:val="13"/>
                <w:color w:val="auto"/>
              </w:rPr>
            </w:pPr>
          </w:p>
        </w:tc>
        <w:tc>
          <w:tcPr>
            <w:tcW w:w="1120" w:type="dxa"/>
            <w:vAlign w:val="bottom"/>
          </w:tcPr>
          <w:p>
            <w:pPr>
              <w:jc w:val="center"/>
              <w:ind w:left="279"/>
              <w:spacing w:after="0" w:line="158" w:lineRule="exact"/>
              <w:rPr>
                <w:sz w:val="20"/>
                <w:szCs w:val="20"/>
                <w:color w:val="auto"/>
              </w:rPr>
            </w:pPr>
            <w:r>
              <w:rPr>
                <w:rFonts w:ascii="Arial" w:cs="Arial" w:eastAsia="Arial" w:hAnsi="Arial"/>
                <w:sz w:val="16"/>
                <w:szCs w:val="16"/>
                <w:b w:val="1"/>
                <w:bCs w:val="1"/>
                <w:color w:val="auto"/>
                <w:w w:val="87"/>
              </w:rPr>
              <w:t>June 30,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299"/>
              <w:spacing w:after="0" w:line="158" w:lineRule="exact"/>
              <w:rPr>
                <w:sz w:val="20"/>
                <w:szCs w:val="20"/>
                <w:color w:val="auto"/>
              </w:rPr>
            </w:pPr>
            <w:r>
              <w:rPr>
                <w:rFonts w:ascii="Arial" w:cs="Arial" w:eastAsia="Arial" w:hAnsi="Arial"/>
                <w:sz w:val="16"/>
                <w:szCs w:val="16"/>
                <w:b w:val="1"/>
                <w:bCs w:val="1"/>
                <w:color w:val="auto"/>
                <w:w w:val="90"/>
              </w:rPr>
              <w:t>June 30,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279"/>
              <w:spacing w:after="0" w:line="158" w:lineRule="exact"/>
              <w:rPr>
                <w:sz w:val="20"/>
                <w:szCs w:val="20"/>
                <w:color w:val="auto"/>
              </w:rPr>
            </w:pPr>
            <w:r>
              <w:rPr>
                <w:rFonts w:ascii="Arial" w:cs="Arial" w:eastAsia="Arial" w:hAnsi="Arial"/>
                <w:sz w:val="16"/>
                <w:szCs w:val="16"/>
                <w:b w:val="1"/>
                <w:bCs w:val="1"/>
                <w:color w:val="auto"/>
                <w:w w:val="90"/>
              </w:rPr>
              <w:t>June 30,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259"/>
              <w:spacing w:after="0" w:line="158" w:lineRule="exact"/>
              <w:rPr>
                <w:sz w:val="20"/>
                <w:szCs w:val="20"/>
                <w:color w:val="auto"/>
              </w:rPr>
            </w:pPr>
            <w:r>
              <w:rPr>
                <w:rFonts w:ascii="Arial" w:cs="Arial" w:eastAsia="Arial" w:hAnsi="Arial"/>
                <w:sz w:val="16"/>
                <w:szCs w:val="16"/>
                <w:b w:val="1"/>
                <w:bCs w:val="1"/>
                <w:color w:val="auto"/>
                <w:w w:val="90"/>
              </w:rPr>
              <w:t>June 30,</w:t>
            </w:r>
          </w:p>
        </w:tc>
        <w:tc>
          <w:tcPr>
            <w:tcW w:w="360" w:type="dxa"/>
            <w:vAlign w:val="bottom"/>
          </w:tcPr>
          <w:p>
            <w:pPr>
              <w:spacing w:after="0"/>
              <w:rPr>
                <w:sz w:val="13"/>
                <w:szCs w:val="13"/>
                <w:color w:val="auto"/>
              </w:rPr>
            </w:pPr>
          </w:p>
        </w:tc>
      </w:tr>
      <w:tr>
        <w:trPr>
          <w:trHeight w:val="213"/>
        </w:trPr>
        <w:tc>
          <w:tcPr>
            <w:tcW w:w="62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160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15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15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8"/>
                <w:szCs w:val="18"/>
                <w:color w:val="auto"/>
              </w:rPr>
            </w:pPr>
          </w:p>
        </w:tc>
      </w:tr>
      <w:tr>
        <w:trPr>
          <w:trHeight w:val="226"/>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options</w:t>
            </w:r>
          </w:p>
        </w:tc>
        <w:tc>
          <w:tcPr>
            <w:tcW w:w="1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operating leases for offices, research and development facilities and data centers. Our leases have remaining terms that range from less than one year to approximately six years, some of which include one or more options to renew, with renewal terms of up to six years. Unless and until we are reasonably certain we will exercise these renewal options, we do not include renewal options in our lease terms for calculating our lease liability, as the renewal options allow us to maintain operational flexibility.</w:t>
      </w:r>
    </w:p>
    <w:p>
      <w:pPr>
        <w:spacing w:after="0" w:line="214"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During the year ended December 31, 2019, we entered into a finance lease with $3.6 million lease liabilities arising from obtaining right-of-use assets with a lease term of approximately two years. Our remaining finance leases were not material to our condensed consolidated financial statements. The related assumptions and further disclosures for finance leases are not material.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5280" w:type="dxa"/>
            <w:vAlign w:val="bottom"/>
          </w:tcPr>
          <w:p>
            <w:pPr>
              <w:spacing w:after="0"/>
              <w:rPr>
                <w:sz w:val="13"/>
                <w:szCs w:val="13"/>
                <w:color w:val="auto"/>
              </w:rPr>
            </w:pPr>
          </w:p>
        </w:tc>
        <w:tc>
          <w:tcPr>
            <w:tcW w:w="112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3"/>
                <w:szCs w:val="13"/>
                <w:color w:val="auto"/>
              </w:rPr>
            </w:pPr>
          </w:p>
        </w:tc>
        <w:tc>
          <w:tcPr>
            <w:tcW w:w="1100" w:type="dxa"/>
            <w:vAlign w:val="bottom"/>
          </w:tcPr>
          <w:p>
            <w:pPr>
              <w:jc w:val="right"/>
              <w:ind w:right="293"/>
              <w:spacing w:after="0" w:line="158" w:lineRule="exact"/>
              <w:rPr>
                <w:sz w:val="20"/>
                <w:szCs w:val="20"/>
                <w:color w:val="auto"/>
              </w:rPr>
            </w:pPr>
            <w:r>
              <w:rPr>
                <w:rFonts w:ascii="Arial" w:cs="Arial" w:eastAsia="Arial" w:hAnsi="Arial"/>
                <w:sz w:val="16"/>
                <w:szCs w:val="16"/>
                <w:b w:val="1"/>
                <w:bCs w:val="1"/>
                <w:color w:val="auto"/>
              </w:rPr>
              <w:t>June 30,</w:t>
            </w:r>
          </w:p>
        </w:tc>
      </w:tr>
      <w:tr>
        <w:trPr>
          <w:trHeight w:val="213"/>
        </w:trPr>
        <w:tc>
          <w:tcPr>
            <w:tcW w:w="52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2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120" w:type="dxa"/>
            <w:vAlign w:val="bottom"/>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52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Variable lease expense </w:t>
            </w:r>
            <w:r>
              <w:rPr>
                <w:rFonts w:ascii="Arial" w:cs="Arial" w:eastAsia="Arial" w:hAnsi="Arial"/>
                <w:sz w:val="23"/>
                <w:szCs w:val="23"/>
                <w:color w:val="auto"/>
                <w:vertAlign w:val="superscript"/>
              </w:rPr>
              <w:t>(1)</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expense</w:t>
            </w:r>
          </w:p>
        </w:tc>
        <w:tc>
          <w:tcPr>
            <w:tcW w:w="1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5280" w:type="dxa"/>
            <w:vAlign w:val="bottom"/>
          </w:tcPr>
          <w:p>
            <w:pPr>
              <w:ind w:left="360"/>
              <w:spacing w:after="0"/>
              <w:rPr>
                <w:sz w:val="20"/>
                <w:szCs w:val="20"/>
                <w:color w:val="auto"/>
              </w:rPr>
            </w:pPr>
            <w:r>
              <w:rPr>
                <w:rFonts w:ascii="Arial" w:cs="Arial" w:eastAsia="Arial" w:hAnsi="Arial"/>
                <w:sz w:val="18"/>
                <w:szCs w:val="18"/>
                <w:color w:val="auto"/>
              </w:rPr>
              <w:t>Total lease expense</w:t>
            </w:r>
          </w:p>
        </w:tc>
        <w:tc>
          <w:tcPr>
            <w:tcW w:w="1120" w:type="dxa"/>
            <w:vAlign w:val="bottom"/>
            <w:tcBorders>
              <w:bottom w:val="single" w:sz="8" w:color="auto"/>
            </w:tcBorders>
          </w:tcPr>
          <w:p>
            <w:pPr>
              <w:jc w:val="right"/>
              <w:ind w:right="935"/>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ind w:right="915"/>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5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Variable lease expense for the three and six months ended June 30, 2021 and 2020 predominantly included common area maintenance charges and parking expense.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Supplemental balance sheet information related to our operating leases was as follows (in millions, except lease term and discount rate):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Classification</w:t>
            </w:r>
          </w:p>
        </w:tc>
        <w:tc>
          <w:tcPr>
            <w:tcW w:w="1680" w:type="dxa"/>
            <w:vAlign w:val="bottom"/>
          </w:tcPr>
          <w:p>
            <w:pPr>
              <w:jc w:val="right"/>
              <w:ind w:right="114"/>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20" w:type="dxa"/>
            <w:vAlign w:val="bottom"/>
          </w:tcPr>
          <w:p>
            <w:pPr>
              <w:jc w:val="right"/>
              <w:ind w:right="65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2021</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97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51"/>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ROU assets - non-current</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80" w:type="dxa"/>
            <w:vAlign w:val="bottom"/>
            <w:tcBorders>
              <w:bottom w:val="single" w:sz="8" w:color="auto"/>
            </w:tcBorders>
            <w:shd w:val="clear" w:color="auto" w:fill="CCEEFF"/>
          </w:tcPr>
          <w:p>
            <w:pPr>
              <w:jc w:val="right"/>
              <w:ind w:right="1494"/>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 current</w:t>
            </w:r>
          </w:p>
        </w:tc>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80" w:type="dxa"/>
            <w:vAlign w:val="bottom"/>
            <w:shd w:val="clear" w:color="auto" w:fill="CCEEFF"/>
          </w:tcPr>
          <w:p>
            <w:pPr>
              <w:jc w:val="right"/>
              <w:ind w:right="1494"/>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6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lease liabilities</w:t>
            </w:r>
          </w:p>
        </w:tc>
        <w:tc>
          <w:tcPr>
            <w:tcW w:w="20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494"/>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 -</w:t>
            </w:r>
          </w:p>
        </w:tc>
        <w:tc>
          <w:tcPr>
            <w:tcW w:w="3820" w:type="dxa"/>
            <w:vAlign w:val="bottom"/>
            <w:vMerge w:val="restart"/>
            <w:shd w:val="clear" w:color="auto" w:fill="CCEEFF"/>
          </w:tcPr>
          <w:p>
            <w:pPr>
              <w:jc w:val="right"/>
              <w:ind w:right="970"/>
              <w:spacing w:after="0"/>
              <w:rPr>
                <w:sz w:val="20"/>
                <w:szCs w:val="20"/>
                <w:color w:val="auto"/>
              </w:rPr>
            </w:pPr>
            <w:r>
              <w:rPr>
                <w:rFonts w:ascii="Arial" w:cs="Arial" w:eastAsia="Arial" w:hAnsi="Arial"/>
                <w:sz w:val="18"/>
                <w:szCs w:val="18"/>
                <w:color w:val="auto"/>
              </w:rPr>
              <w:t>3.2</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82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3820" w:type="dxa"/>
            <w:vAlign w:val="bottom"/>
          </w:tcPr>
          <w:p>
            <w:pPr>
              <w:jc w:val="right"/>
              <w:ind w:right="970"/>
              <w:spacing w:after="0"/>
              <w:rPr>
                <w:sz w:val="20"/>
                <w:szCs w:val="20"/>
                <w:color w:val="auto"/>
              </w:rPr>
            </w:pPr>
            <w:r>
              <w:rPr>
                <w:rFonts w:ascii="Arial" w:cs="Arial" w:eastAsia="Arial" w:hAnsi="Arial"/>
                <w:sz w:val="18"/>
                <w:szCs w:val="18"/>
                <w:color w:val="auto"/>
              </w:rPr>
              <w:t>2.5 %</w:t>
            </w:r>
          </w:p>
        </w:tc>
        <w:tc>
          <w:tcPr>
            <w:tcW w:w="150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leases was as follows (in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6"/>
                <w:szCs w:val="16"/>
                <w:b w:val="1"/>
                <w:bCs w:val="1"/>
                <w:color w:val="auto"/>
              </w:rPr>
              <w:t>Six Months Ended</w:t>
            </w:r>
          </w:p>
        </w:tc>
        <w:tc>
          <w:tcPr>
            <w:tcW w:w="1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58"/>
        </w:trPr>
        <w:tc>
          <w:tcPr>
            <w:tcW w:w="6440" w:type="dxa"/>
            <w:vAlign w:val="bottom"/>
          </w:tcPr>
          <w:p>
            <w:pPr>
              <w:spacing w:after="0"/>
              <w:rPr>
                <w:sz w:val="13"/>
                <w:szCs w:val="13"/>
                <w:color w:val="auto"/>
              </w:rPr>
            </w:pPr>
          </w:p>
        </w:tc>
        <w:tc>
          <w:tcPr>
            <w:tcW w:w="1600" w:type="dxa"/>
            <w:vAlign w:val="bottom"/>
          </w:tcPr>
          <w:p>
            <w:pPr>
              <w:jc w:val="center"/>
              <w:ind w:left="656"/>
              <w:spacing w:after="0" w:line="158" w:lineRule="exact"/>
              <w:rPr>
                <w:sz w:val="20"/>
                <w:szCs w:val="20"/>
                <w:color w:val="auto"/>
              </w:rPr>
            </w:pPr>
            <w:r>
              <w:rPr>
                <w:rFonts w:ascii="Arial" w:cs="Arial" w:eastAsia="Arial" w:hAnsi="Arial"/>
                <w:sz w:val="16"/>
                <w:szCs w:val="16"/>
                <w:b w:val="1"/>
                <w:bCs w:val="1"/>
                <w:color w:val="auto"/>
                <w:w w:val="90"/>
              </w:rPr>
              <w:t>June 30,</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June 30,</w:t>
            </w:r>
          </w:p>
        </w:tc>
      </w:tr>
      <w:tr>
        <w:trPr>
          <w:trHeight w:val="213"/>
        </w:trPr>
        <w:tc>
          <w:tcPr>
            <w:tcW w:w="644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176"/>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911"/>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r>
      <w:tr>
        <w:trPr>
          <w:trHeight w:val="212"/>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Operating cash flows used for operating leases</w:t>
            </w:r>
          </w:p>
        </w:tc>
        <w:tc>
          <w:tcPr>
            <w:tcW w:w="1600" w:type="dxa"/>
            <w:vAlign w:val="bottom"/>
            <w:tcBorders>
              <w:bottom w:val="single" w:sz="8" w:color="auto"/>
            </w:tcBorders>
          </w:tcPr>
          <w:p>
            <w:pPr>
              <w:jc w:val="right"/>
              <w:ind w:right="141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72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 w:type="dxa"/>
            <w:vAlign w:val="bottom"/>
            <w:tcBorders>
              <w:bottom w:val="single" w:sz="8" w:color="auto"/>
            </w:tcBorders>
          </w:tcPr>
          <w:p>
            <w:pPr>
              <w:spacing w:after="0"/>
              <w:rPr>
                <w:sz w:val="19"/>
                <w:szCs w:val="19"/>
                <w:color w:val="auto"/>
              </w:rPr>
            </w:pPr>
          </w:p>
        </w:tc>
      </w:tr>
      <w:tr>
        <w:trPr>
          <w:trHeight w:val="21"/>
        </w:trPr>
        <w:tc>
          <w:tcPr>
            <w:tcW w:w="64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47"/>
        </w:trPr>
        <w:tc>
          <w:tcPr>
            <w:tcW w:w="8040" w:type="dxa"/>
            <w:vAlign w:val="bottom"/>
            <w:gridSpan w:val="2"/>
          </w:tcPr>
          <w:p>
            <w:pPr>
              <w:ind w:left="660"/>
              <w:spacing w:after="0"/>
              <w:rPr>
                <w:sz w:val="20"/>
                <w:szCs w:val="20"/>
                <w:color w:val="auto"/>
              </w:rPr>
            </w:pPr>
            <w:r>
              <w:rPr>
                <w:rFonts w:ascii="Arial" w:cs="Arial" w:eastAsia="Arial" w:hAnsi="Arial"/>
                <w:sz w:val="18"/>
                <w:szCs w:val="18"/>
                <w:color w:val="auto"/>
              </w:rPr>
              <w:t>Maturities of operating lease liabilities as of June 30, 2021 were as follows (in millions):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r>
      <w:tr>
        <w:trPr>
          <w:trHeight w:val="223"/>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(the remainder of 2021)</w:t>
            </w:r>
          </w:p>
        </w:tc>
        <w:tc>
          <w:tcPr>
            <w:tcW w:w="16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2022</w:t>
            </w:r>
          </w:p>
        </w:tc>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9"/>
                <w:szCs w:val="19"/>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9"/>
                <w:szCs w:val="19"/>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2024</w:t>
            </w:r>
          </w:p>
        </w:tc>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0" w:type="dxa"/>
            <w:vAlign w:val="bottom"/>
          </w:tcPr>
          <w:p>
            <w:pPr>
              <w:spacing w:after="0"/>
              <w:rPr>
                <w:sz w:val="19"/>
                <w:szCs w:val="19"/>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6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21"/>
                <w:szCs w:val="2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June 30, 2021, we had additional minimum lease payments of $2.8 million relating to operating leases that had been signed but had not yet commenced. These leases will commence during 2021 and will have lease terms of approximately two to four years.</w:t>
      </w:r>
    </w:p>
    <w:p>
      <w:pPr>
        <w:spacing w:after="0" w:line="193"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5, 2021, we issued $1.0 billion aggregate principal amount of senior notes (collectively, the “Senior Notes”), consisting of</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$500.0 million aggregate principal amount of 1.0% notes due March 15, 2026 (the “2026 Senior Notes”) and $500.0 million aggregate principal amount of 2.2% notes due March 15, 2031 (the “2031 Senior Notes”), in an underwritten registered public offering. The Senior Notes are senior unsecured obligations and rank equally with each other in right of payment and with our other outstanding obligations. We may redeem the Senior Notes at any time in whole or in part for cash, at specified redemption prices that include accrued and unpaid interest, if any, and a make-whole premium. However, no make-whole premium will be paid for redemptions of the 2026 Senior Notes on or after February 15, 2026, or the 2031 Senior Notes on or after December 15, 2030. Interest on the Senior Notes is payable on March 15 and September 15 of each year, beginning on September 15, 2021. As of June 30, 2021, the Senior Notes were recorded as long-term debt, net of discount and issuance costs, which are amortized to interest expense over the respective contractual terms of these notes using the effective interest method.</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outstanding debt is summarized below (in millions, except percentages):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42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Maturity</w:t>
            </w:r>
          </w:p>
        </w:tc>
        <w:tc>
          <w:tcPr>
            <w:tcW w:w="158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Coupon Rate</w:t>
            </w:r>
          </w:p>
        </w:tc>
        <w:tc>
          <w:tcPr>
            <w:tcW w:w="1740" w:type="dxa"/>
            <w:vAlign w:val="bottom"/>
            <w:gridSpan w:val="3"/>
          </w:tcPr>
          <w:p>
            <w:pPr>
              <w:jc w:val="right"/>
              <w:ind w:right="310"/>
              <w:spacing w:after="0"/>
              <w:rPr>
                <w:sz w:val="20"/>
                <w:szCs w:val="20"/>
                <w:color w:val="auto"/>
              </w:rPr>
            </w:pPr>
            <w:r>
              <w:rPr>
                <w:rFonts w:ascii="Arial" w:cs="Arial" w:eastAsia="Arial" w:hAnsi="Arial"/>
                <w:sz w:val="16"/>
                <w:szCs w:val="16"/>
                <w:b w:val="1"/>
                <w:bCs w:val="1"/>
                <w:color w:val="auto"/>
              </w:rPr>
              <w:t>Effective Interest</w:t>
            </w:r>
          </w:p>
        </w:tc>
        <w:tc>
          <w:tcPr>
            <w:tcW w:w="1180" w:type="dxa"/>
            <w:vAlign w:val="bottom"/>
            <w:vMerge w:val="restart"/>
          </w:tcPr>
          <w:p>
            <w:pPr>
              <w:jc w:val="right"/>
              <w:ind w:right="112"/>
              <w:spacing w:after="0"/>
              <w:rPr>
                <w:sz w:val="20"/>
                <w:szCs w:val="20"/>
                <w:color w:val="auto"/>
              </w:rPr>
            </w:pPr>
            <w:r>
              <w:rPr>
                <w:rFonts w:ascii="Arial" w:cs="Arial" w:eastAsia="Arial" w:hAnsi="Arial"/>
                <w:sz w:val="16"/>
                <w:szCs w:val="16"/>
                <w:b w:val="1"/>
                <w:bCs w:val="1"/>
                <w:color w:val="auto"/>
                <w:w w:val="92"/>
              </w:rPr>
              <w:t>June 30, 2021</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740" w:type="dxa"/>
            <w:vAlign w:val="bottom"/>
            <w:gridSpan w:val="3"/>
          </w:tcPr>
          <w:p>
            <w:pPr>
              <w:jc w:val="right"/>
              <w:ind w:right="750"/>
              <w:spacing w:after="0"/>
              <w:rPr>
                <w:sz w:val="20"/>
                <w:szCs w:val="20"/>
                <w:color w:val="auto"/>
              </w:rPr>
            </w:pPr>
            <w:r>
              <w:rPr>
                <w:rFonts w:ascii="Arial" w:cs="Arial" w:eastAsia="Arial" w:hAnsi="Arial"/>
                <w:sz w:val="16"/>
                <w:szCs w:val="16"/>
                <w:b w:val="1"/>
                <w:bCs w:val="1"/>
                <w:color w:val="auto"/>
              </w:rPr>
              <w:t>Rate</w:t>
            </w: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2026 Senior Notes</w:t>
            </w:r>
          </w:p>
        </w:tc>
        <w:tc>
          <w:tcPr>
            <w:tcW w:w="1420" w:type="dxa"/>
            <w:vAlign w:val="bottom"/>
            <w:gridSpan w:val="2"/>
          </w:tcPr>
          <w:p>
            <w:pPr>
              <w:spacing w:after="0"/>
              <w:rPr>
                <w:sz w:val="20"/>
                <w:szCs w:val="20"/>
                <w:color w:val="auto"/>
              </w:rPr>
            </w:pPr>
            <w:r>
              <w:rPr>
                <w:rFonts w:ascii="Arial" w:cs="Arial" w:eastAsia="Arial" w:hAnsi="Arial"/>
                <w:sz w:val="18"/>
                <w:szCs w:val="18"/>
                <w:color w:val="auto"/>
              </w:rPr>
              <w:t>March 2026</w:t>
            </w:r>
          </w:p>
        </w:tc>
        <w:tc>
          <w:tcPr>
            <w:tcW w:w="148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1.3 %  $</w:t>
            </w: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2031 Senior Notes</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2031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Total debt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discount and debt issuance costs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Total long-term debt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987.5</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of June 30, 2021 we accrued interest payable of $5.2 million, and there are no financial covenants with which we must comply. During the three and six months ended June 30, 2021 we recorded $4.5 million and $5.8 million of total interest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expense in relation to these Senior Notes, respectively. No interest costs were capitalized for the three and six months ended June 30, 2021, as the costs that qualified for capitalization were not material.</w:t>
      </w:r>
    </w:p>
    <w:p>
      <w:pPr>
        <w:spacing w:after="0" w:line="19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total estimated fair value of the outstanding Senior Notes was approximately $999.9 million, including accrued and unpaid interest, as of June 30, 2021. The fair value was determined based on observable market prices of identical instruments in less active markets. The estimated fair values are based on Level 2 inputs.</w:t>
      </w:r>
    </w:p>
    <w:p>
      <w:pPr>
        <w:spacing w:after="0" w:line="20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MUTUAL COVENANT-NOT-TO-SUE AND RELEASE AGREEMENT</w:t>
      </w:r>
    </w:p>
    <w:p>
      <w:pPr>
        <w:spacing w:after="0" w:line="25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 January 2020, we entered into an agreement with a competitor in the network security industry whereby, in February 2020, the competitor party paid us a lump sum of $50.0 million for a seven-year mutual covenant-not-to-sue for patent claims. Pursuant to this agreement, at the end of this first seven-year period, either party may extend the agreement for an additional seven-year mutual covenant-not-to-sue in return for this competitor paying us an additional $50.0 million. This agreement arose after expiration of previous agreements between the parties whereby the competitor had paid us sums for a limited term license to certain of our intellectual property (“IP”) and a limited term mutual covenant-not-to-sue.</w:t>
      </w:r>
    </w:p>
    <w:p>
      <w:pPr>
        <w:spacing w:after="0" w:line="203"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concluded that the agreement was a 14-year contract with a total transaction price of $100.0 million, and that it contained two material distinct performance obligations: (1) the right to use our existing patents, and (2) the right to use any patents that we develop over the term of the contract. We allocated $36.0 million to the functional patents, which was recognized upon commencement of the contract; the remaining $64.0 million, representing the right to utilize future patents, will be recognized over the contract term. We further concluded that our existing patents represent functional IP that should be recognized upon granting our competitor access. We also concluded that the right to receive additional functional IP that we will develop in the future represents a stand ready obligation. Therefore, the transaction price allocated to this obligation is recognized ratably over the 14-year contract term. We estimated the stand-alone selling price of each distinct performance obligation and allocated the $100.0 million transaction price.</w:t>
      </w:r>
    </w:p>
    <w:p>
      <w:pPr>
        <w:spacing w:after="0" w:line="193"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During the three months ended June 30, 2021 and 2020, we recorded $1.2 million and $1.1 million gain on IP matter in our condensed consolidated statements of income, respectively. During the six months ended June 30, 2021 and 2020, we recorded $2.3 million and $37.9 million gain on IP matter in our condensed consolidated statements of income, respectively. We recorded $7.5 million and $9.8 million in accrued liabilities and other liabilities in our condensed consolidated balance sheets as of June 30, 2021 and December 31, 2020, respectively.</w:t>
      </w:r>
    </w:p>
    <w:p>
      <w:pPr>
        <w:spacing w:after="0" w:line="19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inventory purchase commitments as of June 30, 2021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5"/>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40"/>
              <w:spacing w:after="0"/>
              <w:rPr>
                <w:sz w:val="20"/>
                <w:szCs w:val="20"/>
                <w:color w:val="auto"/>
              </w:rPr>
            </w:pPr>
            <w:r>
              <w:rPr>
                <w:rFonts w:ascii="Arial" w:cs="Arial" w:eastAsia="Arial" w:hAnsi="Arial"/>
                <w:sz w:val="16"/>
                <w:szCs w:val="16"/>
                <w:b w:val="1"/>
                <w:bCs w:val="1"/>
                <w:color w:val="auto"/>
              </w:rPr>
              <w:t>Thereafter</w:t>
            </w:r>
          </w:p>
        </w:tc>
      </w:tr>
      <w:tr>
        <w:trPr>
          <w:trHeight w:val="226"/>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purchase commitments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r>
    </w:tbl>
    <w:p>
      <w:pPr>
        <w:spacing w:after="0" w:line="31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procure components and build our products based on our</w:t>
      </w:r>
      <w:r>
        <w:rPr>
          <w:rFonts w:ascii="Arial" w:cs="Arial" w:eastAsia="Arial" w:hAnsi="Arial"/>
          <w:sz w:val="17"/>
          <w:szCs w:val="17"/>
          <w:b w:val="1"/>
          <w:bCs w:val="1"/>
          <w:color w:val="auto"/>
        </w:rPr>
        <w:t xml:space="preserve"> </w:t>
      </w:r>
      <w:r>
        <w:rPr>
          <w:rFonts w:ascii="Arial" w:cs="Arial" w:eastAsia="Arial" w:hAnsi="Arial"/>
          <w:sz w:val="17"/>
          <w:szCs w:val="17"/>
          <w:color w:val="auto"/>
        </w:rPr>
        <w:t>forecasts. 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June 30, 2021, we had $628.7 million of open purchase orders with our independent contract manufacturers that may not be cancelable.</w:t>
      </w:r>
    </w:p>
    <w:p>
      <w:pPr>
        <w:spacing w:after="0" w:line="195" w:lineRule="exact"/>
        <w:rPr>
          <w:sz w:val="20"/>
          <w:szCs w:val="20"/>
          <w:color w:val="auto"/>
        </w:rPr>
      </w:pPr>
    </w:p>
    <w:p>
      <w:pPr>
        <w:ind w:right="200" w:firstLine="648"/>
        <w:spacing w:after="0" w:line="289" w:lineRule="auto"/>
        <w:rPr>
          <w:sz w:val="20"/>
          <w:szCs w:val="20"/>
          <w:color w:val="auto"/>
        </w:rPr>
      </w:pPr>
      <w:r>
        <w:rPr>
          <w:rFonts w:ascii="Arial" w:cs="Arial" w:eastAsia="Arial" w:hAnsi="Arial"/>
          <w:sz w:val="17"/>
          <w:szCs w:val="17"/>
          <w:b w:val="1"/>
          <w:bCs w:val="1"/>
          <w:color w:val="auto"/>
        </w:rPr>
        <w:t>Other Contractual Commitments and Open Purchase Orders</w:t>
      </w:r>
      <w:r>
        <w:rPr>
          <w:rFonts w:ascii="Arial" w:cs="Arial" w:eastAsia="Arial" w:hAnsi="Arial"/>
          <w:sz w:val="17"/>
          <w:szCs w:val="17"/>
          <w:color w:val="auto"/>
        </w:rPr>
        <w:t>—In addition to commitments with contract manufacturers, we have open</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orders and contractual obligations in the ordinary course of business for which we have not received goods or services. As of June 30, 2021, we had $67.9 million in other contractual commitments having a remaining term in excess of one year that may not be cancelable.</w:t>
      </w:r>
    </w:p>
    <w:p>
      <w:pPr>
        <w:spacing w:after="0" w:line="185"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b w:val="1"/>
          <w:bCs w:val="1"/>
          <w:color w:val="auto"/>
        </w:rPr>
        <w:t>Litigation</w:t>
      </w:r>
      <w:r>
        <w:rPr>
          <w:rFonts w:ascii="Arial" w:cs="Arial" w:eastAsia="Arial" w:hAnsi="Arial"/>
          <w:sz w:val="18"/>
          <w:szCs w:val="18"/>
          <w:color w:val="auto"/>
        </w:rPr>
        <w:t>—We are involved in disputes, litigation, and other legal actions. For lawsuits where we are the defendant, we are in the process of</w:t>
      </w:r>
      <w:r>
        <w:rPr>
          <w:rFonts w:ascii="Arial" w:cs="Arial" w:eastAsia="Arial" w:hAnsi="Arial"/>
          <w:sz w:val="18"/>
          <w:szCs w:val="18"/>
          <w:b w:val="1"/>
          <w:bCs w:val="1"/>
          <w:color w:val="auto"/>
        </w:rPr>
        <w:t xml:space="preserve"> </w:t>
      </w:r>
      <w:r>
        <w:rPr>
          <w:rFonts w:ascii="Arial" w:cs="Arial" w:eastAsia="Arial" w:hAnsi="Arial"/>
          <w:sz w:val="18"/>
          <w:szCs w:val="18"/>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with any litigation and these actions or other third-party claims against us may cause us to incur costly litigation fees, costs and substantial settlement charges, and possibly subject us to damages and other penalties. In addition, the resolution of any IP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 Litigation loss contingency accruals were not material as of June 30, 2021 and December 31, 2020.</w:t>
      </w:r>
    </w:p>
    <w:p>
      <w:pPr>
        <w:spacing w:after="0" w:line="21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Indemnification and Other Matters</w:t>
      </w:r>
      <w:r>
        <w:rPr>
          <w:rFonts w:ascii="Arial" w:cs="Arial" w:eastAsia="Arial" w:hAnsi="Arial"/>
          <w:sz w:val="17"/>
          <w:szCs w:val="17"/>
          <w:color w:val="auto"/>
        </w:rPr>
        <w:t>—Under the indemnification provisions of our standard sales contracts, we agree to defend our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third-party claims asserting various allegations such as product defects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spacing w:after="0" w:line="203" w:lineRule="exact"/>
        <w:rPr>
          <w:sz w:val="20"/>
          <w:szCs w:val="20"/>
          <w:color w:val="auto"/>
        </w:rPr>
      </w:pPr>
    </w:p>
    <w:p>
      <w:pPr>
        <w:ind w:right="160" w:firstLine="648"/>
        <w:spacing w:after="0" w:line="243" w:lineRule="auto"/>
        <w:rPr>
          <w:sz w:val="20"/>
          <w:szCs w:val="20"/>
          <w:color w:val="auto"/>
        </w:rPr>
      </w:pPr>
      <w:r>
        <w:rPr>
          <w:rFonts w:ascii="Arial" w:cs="Arial" w:eastAsia="Arial" w:hAnsi="Arial"/>
          <w:sz w:val="18"/>
          <w:szCs w:val="18"/>
          <w:color w:val="auto"/>
        </w:rPr>
        <w:t>Similar to other security companies and companies in other industries, we have in the past experienced, and we may in the future experience, cybersecurity threats, malicious activity directed against our information technology infrastructure or unauthorized attempts to gain access to our and our customers’ sensitive information and systems. We currently are unaware of any existing claims or proceedings related to these types of matters, including any that we believe are likely to have a material adverse effect on our financial position.</w:t>
      </w:r>
    </w:p>
    <w:p>
      <w:pPr>
        <w:spacing w:after="0" w:line="211" w:lineRule="exact"/>
        <w:rPr>
          <w:sz w:val="20"/>
          <w:szCs w:val="20"/>
          <w:color w:val="auto"/>
        </w:rPr>
      </w:pPr>
    </w:p>
    <w:p>
      <w:pPr>
        <w:ind w:left="660" w:right="8000" w:hanging="652"/>
        <w:spacing w:after="0" w:line="566" w:lineRule="auto"/>
        <w:tabs>
          <w:tab w:leader="none" w:pos="462"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Stock-Based Compensation Plans</w:t>
      </w:r>
    </w:p>
    <w:p>
      <w:pPr>
        <w:ind w:right="20" w:firstLine="648"/>
        <w:spacing w:after="0" w:line="308" w:lineRule="auto"/>
        <w:rPr>
          <w:sz w:val="20"/>
          <w:szCs w:val="20"/>
          <w:color w:val="auto"/>
        </w:rPr>
      </w:pPr>
      <w:r>
        <w:rPr>
          <w:rFonts w:ascii="Arial" w:cs="Arial" w:eastAsia="Arial" w:hAnsi="Arial"/>
          <w:sz w:val="17"/>
          <w:szCs w:val="17"/>
          <w:color w:val="auto"/>
        </w:rPr>
        <w:t>We maintain the Amended and Restated Fortinet, Inc. 2009 Equity Incentive Plan (the “Amended Plan”) pursuant to which we have granted RSUs and stock options. As of June 30, 2021, there were a total of 11.5 million shares of common stock available for grant under the Amended Plan.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56" w:lineRule="exact"/>
        <w:rPr>
          <w:sz w:val="20"/>
          <w:szCs w:val="20"/>
          <w:color w:val="auto"/>
        </w:rPr>
      </w:pPr>
    </w:p>
    <w:p>
      <w:pPr>
        <w:ind w:right="480" w:firstLine="648"/>
        <w:spacing w:after="0" w:line="274"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millions, except per share amounts):</w:t>
      </w:r>
    </w:p>
    <w:tbl>
      <w:tblPr>
        <w:tblLayout w:type="fixed"/>
        <w:tblInd w:w="20" w:type="dxa"/>
        <w:tblCellMar>
          <w:top w:w="0" w:type="dxa"/>
          <w:left w:w="0" w:type="dxa"/>
          <w:bottom w:w="0" w:type="dxa"/>
          <w:right w:w="0" w:type="dxa"/>
        </w:tblCellMar>
      </w:tblPr>
      <w:tr>
        <w:trPr>
          <w:trHeight w:val="213"/>
        </w:trPr>
        <w:tc>
          <w:tcPr>
            <w:tcW w:w="758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8"/>
        </w:trPr>
        <w:tc>
          <w:tcPr>
            <w:tcW w:w="7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center"/>
              <w:ind w:right="73"/>
              <w:spacing w:after="0" w:line="158" w:lineRule="exact"/>
              <w:rPr>
                <w:sz w:val="20"/>
                <w:szCs w:val="20"/>
                <w:color w:val="auto"/>
              </w:rPr>
            </w:pPr>
            <w:r>
              <w:rPr>
                <w:rFonts w:ascii="Arial" w:cs="Arial" w:eastAsia="Arial" w:hAnsi="Arial"/>
                <w:sz w:val="16"/>
                <w:szCs w:val="16"/>
                <w:b w:val="1"/>
                <w:bCs w:val="1"/>
                <w:color w:val="auto"/>
                <w:w w:val="89"/>
              </w:rPr>
              <w:t>Weighted-Average</w:t>
            </w:r>
          </w:p>
        </w:tc>
        <w:tc>
          <w:tcPr>
            <w:tcW w:w="0" w:type="dxa"/>
            <w:vAlign w:val="bottom"/>
          </w:tcPr>
          <w:p>
            <w:pPr>
              <w:spacing w:after="0"/>
              <w:rPr>
                <w:sz w:val="1"/>
                <w:szCs w:val="1"/>
                <w:color w:val="auto"/>
              </w:rPr>
            </w:pPr>
          </w:p>
        </w:tc>
      </w:tr>
      <w:tr>
        <w:trPr>
          <w:trHeight w:val="162"/>
        </w:trPr>
        <w:tc>
          <w:tcPr>
            <w:tcW w:w="7580" w:type="dxa"/>
            <w:vAlign w:val="bottom"/>
          </w:tcPr>
          <w:p>
            <w:pPr>
              <w:spacing w:after="0"/>
              <w:rPr>
                <w:sz w:val="14"/>
                <w:szCs w:val="14"/>
                <w:color w:val="auto"/>
              </w:rPr>
            </w:pPr>
          </w:p>
        </w:tc>
        <w:tc>
          <w:tcPr>
            <w:tcW w:w="188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Number of Shares</w:t>
            </w:r>
          </w:p>
        </w:tc>
        <w:tc>
          <w:tcPr>
            <w:tcW w:w="17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4"/>
              </w:rPr>
              <w:t>Grant Date Fair Value</w:t>
            </w:r>
          </w:p>
        </w:tc>
        <w:tc>
          <w:tcPr>
            <w:tcW w:w="0" w:type="dxa"/>
            <w:vAlign w:val="bottom"/>
          </w:tcPr>
          <w:p>
            <w:pPr>
              <w:spacing w:after="0"/>
              <w:rPr>
                <w:sz w:val="1"/>
                <w:szCs w:val="1"/>
                <w:color w:val="auto"/>
              </w:rPr>
            </w:pPr>
          </w:p>
        </w:tc>
      </w:tr>
      <w:tr>
        <w:trPr>
          <w:trHeight w:val="213"/>
        </w:trPr>
        <w:tc>
          <w:tcPr>
            <w:tcW w:w="758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per Share</w:t>
            </w:r>
          </w:p>
        </w:tc>
        <w:tc>
          <w:tcPr>
            <w:tcW w:w="0" w:type="dxa"/>
            <w:vAlign w:val="bottom"/>
          </w:tcPr>
          <w:p>
            <w:pPr>
              <w:spacing w:after="0"/>
              <w:rPr>
                <w:sz w:val="1"/>
                <w:szCs w:val="1"/>
                <w:color w:val="auto"/>
              </w:rPr>
            </w:pPr>
          </w:p>
        </w:tc>
      </w:tr>
      <w:tr>
        <w:trPr>
          <w:trHeight w:val="226"/>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1760" w:type="dxa"/>
            <w:vAlign w:val="bottom"/>
            <w:tcBorders>
              <w:top w:val="single" w:sz="8" w:color="auto"/>
            </w:tcBorders>
            <w:shd w:val="clear" w:color="auto" w:fill="CCEEFF"/>
          </w:tcPr>
          <w:p>
            <w:pPr>
              <w:jc w:val="center"/>
              <w:ind w:left="1313"/>
              <w:spacing w:after="0"/>
              <w:rPr>
                <w:sz w:val="20"/>
                <w:szCs w:val="20"/>
                <w:color w:val="auto"/>
              </w:rPr>
            </w:pPr>
            <w:r>
              <w:rPr>
                <w:rFonts w:ascii="Arial" w:cs="Arial" w:eastAsia="Arial" w:hAnsi="Arial"/>
                <w:sz w:val="18"/>
                <w:szCs w:val="18"/>
                <w:color w:val="auto"/>
                <w:w w:val="95"/>
              </w:rPr>
              <w:t>4.7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30"/>
        </w:trPr>
        <w:tc>
          <w:tcPr>
            <w:tcW w:w="7580" w:type="dxa"/>
            <w:vAlign w:val="bottom"/>
          </w:tcPr>
          <w:p>
            <w:pPr>
              <w:ind w:left="460"/>
              <w:spacing w:after="0"/>
              <w:rPr>
                <w:sz w:val="20"/>
                <w:szCs w:val="20"/>
                <w:color w:val="auto"/>
              </w:rPr>
            </w:pPr>
            <w:r>
              <w:rPr>
                <w:rFonts w:ascii="Arial" w:cs="Arial" w:eastAsia="Arial" w:hAnsi="Arial"/>
                <w:sz w:val="18"/>
                <w:szCs w:val="18"/>
                <w:color w:val="auto"/>
              </w:rPr>
              <w:t>Granted</w:t>
            </w:r>
          </w:p>
        </w:tc>
        <w:tc>
          <w:tcPr>
            <w:tcW w:w="1760" w:type="dxa"/>
            <w:vAlign w:val="bottom"/>
          </w:tcPr>
          <w:p>
            <w:pPr>
              <w:jc w:val="center"/>
              <w:ind w:left="1313"/>
              <w:spacing w:after="0"/>
              <w:rPr>
                <w:sz w:val="20"/>
                <w:szCs w:val="20"/>
                <w:color w:val="auto"/>
              </w:rPr>
            </w:pPr>
            <w:r>
              <w:rPr>
                <w:rFonts w:ascii="Arial" w:cs="Arial" w:eastAsia="Arial" w:hAnsi="Arial"/>
                <w:sz w:val="18"/>
                <w:szCs w:val="18"/>
                <w:color w:val="auto"/>
                <w:w w:val="95"/>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177.12</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Forfeited</w:t>
            </w:r>
          </w:p>
        </w:tc>
        <w:tc>
          <w:tcPr>
            <w:tcW w:w="1760" w:type="dxa"/>
            <w:vAlign w:val="bottom"/>
            <w:shd w:val="clear" w:color="auto" w:fill="CCEEFF"/>
          </w:tcPr>
          <w:p>
            <w:pPr>
              <w:jc w:val="center"/>
              <w:ind w:left="1293"/>
              <w:spacing w:after="0"/>
              <w:rPr>
                <w:sz w:val="20"/>
                <w:szCs w:val="20"/>
                <w:color w:val="auto"/>
              </w:rPr>
            </w:pPr>
            <w:r>
              <w:rPr>
                <w:rFonts w:ascii="Arial" w:cs="Arial" w:eastAsia="Arial" w:hAnsi="Arial"/>
                <w:sz w:val="18"/>
                <w:szCs w:val="18"/>
                <w:color w:val="auto"/>
                <w:w w:val="91"/>
              </w:rPr>
              <w:t>(0.2)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105.40</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Vested</w:t>
            </w:r>
          </w:p>
        </w:tc>
        <w:tc>
          <w:tcPr>
            <w:tcW w:w="1760" w:type="dxa"/>
            <w:vAlign w:val="bottom"/>
            <w:tcBorders>
              <w:bottom w:val="single" w:sz="8" w:color="auto"/>
            </w:tcBorders>
          </w:tcPr>
          <w:p>
            <w:pPr>
              <w:jc w:val="center"/>
              <w:ind w:left="1293"/>
              <w:spacing w:after="0"/>
              <w:rPr>
                <w:sz w:val="20"/>
                <w:szCs w:val="20"/>
                <w:color w:val="auto"/>
              </w:rPr>
            </w:pPr>
            <w:r>
              <w:rPr>
                <w:rFonts w:ascii="Arial" w:cs="Arial" w:eastAsia="Arial" w:hAnsi="Arial"/>
                <w:sz w:val="18"/>
                <w:szCs w:val="18"/>
                <w:color w:val="auto"/>
                <w:w w:val="91"/>
              </w:rPr>
              <w:t>(1.4)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80.67</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2021</w:t>
            </w:r>
          </w:p>
        </w:tc>
        <w:tc>
          <w:tcPr>
            <w:tcW w:w="1760" w:type="dxa"/>
            <w:vAlign w:val="bottom"/>
            <w:tcBorders>
              <w:bottom w:val="single" w:sz="8" w:color="auto"/>
            </w:tcBorders>
            <w:shd w:val="clear" w:color="auto" w:fill="CCEEFF"/>
          </w:tcPr>
          <w:p>
            <w:pPr>
              <w:jc w:val="center"/>
              <w:ind w:left="1313"/>
              <w:spacing w:after="0"/>
              <w:rPr>
                <w:sz w:val="20"/>
                <w:szCs w:val="20"/>
                <w:color w:val="auto"/>
              </w:rPr>
            </w:pPr>
            <w:r>
              <w:rPr>
                <w:rFonts w:ascii="Arial" w:cs="Arial" w:eastAsia="Arial" w:hAnsi="Arial"/>
                <w:sz w:val="18"/>
                <w:szCs w:val="18"/>
                <w:color w:val="auto"/>
                <w:w w:val="95"/>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113.73</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Stock compensation expense is recognized on a straight-line basis over the vesting period of each RSU. As of June 30, 2021, total compensation expense related to unvested RSUs granted to employees and non-employees under the Amended Plan, but not yet recognized, was $416.5 million, with a weighted-average remaining vesting period of 2.8 years.</w:t>
      </w:r>
    </w:p>
    <w:p>
      <w:pPr>
        <w:spacing w:after="0" w:line="21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employee withholding tax requirements. The payment of the withheld taxes to the tax authorities is reflected as a financing activity within the condensed consolidated statements of cash flows.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6"/>
                <w:szCs w:val="16"/>
                <w:b w:val="1"/>
                <w:bCs w:val="1"/>
                <w:color w:val="auto"/>
              </w:rPr>
              <w:t>Six Months Ended</w:t>
            </w:r>
          </w:p>
        </w:tc>
      </w:tr>
      <w:tr>
        <w:trPr>
          <w:trHeight w:val="159"/>
        </w:trPr>
        <w:tc>
          <w:tcPr>
            <w:tcW w:w="4980" w:type="dxa"/>
            <w:vAlign w:val="bottom"/>
          </w:tcPr>
          <w:p>
            <w:pPr>
              <w:spacing w:after="0"/>
              <w:rPr>
                <w:sz w:val="13"/>
                <w:szCs w:val="13"/>
                <w:color w:val="auto"/>
              </w:rPr>
            </w:pPr>
          </w:p>
        </w:tc>
        <w:tc>
          <w:tcPr>
            <w:tcW w:w="1080" w:type="dxa"/>
            <w:vAlign w:val="bottom"/>
          </w:tcPr>
          <w:p>
            <w:pPr>
              <w:jc w:val="center"/>
              <w:ind w:left="357"/>
              <w:spacing w:after="0" w:line="158" w:lineRule="exact"/>
              <w:rPr>
                <w:sz w:val="20"/>
                <w:szCs w:val="20"/>
                <w:color w:val="auto"/>
              </w:rPr>
            </w:pPr>
            <w:r>
              <w:rPr>
                <w:rFonts w:ascii="Arial" w:cs="Arial" w:eastAsia="Arial" w:hAnsi="Arial"/>
                <w:sz w:val="16"/>
                <w:szCs w:val="16"/>
                <w:b w:val="1"/>
                <w:bCs w:val="1"/>
                <w:color w:val="auto"/>
                <w:w w:val="87"/>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left="336"/>
              <w:spacing w:after="0" w:line="158" w:lineRule="exact"/>
              <w:rPr>
                <w:sz w:val="20"/>
                <w:szCs w:val="20"/>
                <w:color w:val="auto"/>
              </w:rPr>
            </w:pPr>
            <w:r>
              <w:rPr>
                <w:rFonts w:ascii="Arial" w:cs="Arial" w:eastAsia="Arial" w:hAnsi="Arial"/>
                <w:sz w:val="16"/>
                <w:szCs w:val="16"/>
                <w:b w:val="1"/>
                <w:bCs w:val="1"/>
                <w:color w:val="auto"/>
                <w:w w:val="90"/>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3"/>
                <w:szCs w:val="13"/>
                <w:color w:val="auto"/>
              </w:rPr>
            </w:pPr>
          </w:p>
        </w:tc>
        <w:tc>
          <w:tcPr>
            <w:tcW w:w="1200" w:type="dxa"/>
            <w:vAlign w:val="bottom"/>
          </w:tcPr>
          <w:p>
            <w:pPr>
              <w:jc w:val="right"/>
              <w:ind w:right="355"/>
              <w:spacing w:after="0" w:line="158" w:lineRule="exact"/>
              <w:rPr>
                <w:sz w:val="20"/>
                <w:szCs w:val="20"/>
                <w:color w:val="auto"/>
              </w:rPr>
            </w:pPr>
            <w:r>
              <w:rPr>
                <w:rFonts w:ascii="Arial" w:cs="Arial" w:eastAsia="Arial" w:hAnsi="Arial"/>
                <w:sz w:val="16"/>
                <w:szCs w:val="16"/>
                <w:b w:val="1"/>
                <w:bCs w:val="1"/>
                <w:color w:val="auto"/>
              </w:rPr>
              <w:t>June 30,</w:t>
            </w:r>
          </w:p>
        </w:tc>
      </w:tr>
      <w:tr>
        <w:trPr>
          <w:trHeight w:val="213"/>
        </w:trPr>
        <w:tc>
          <w:tcPr>
            <w:tcW w:w="49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2020</w:t>
            </w: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withheld for taxes</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Amount withheld for taxes</w:t>
            </w: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34.7</w:t>
            </w:r>
          </w:p>
        </w:tc>
        <w:tc>
          <w:tcPr>
            <w:tcW w:w="120" w:type="dxa"/>
            <w:vAlign w:val="bottom"/>
          </w:tcPr>
          <w:p>
            <w:pPr>
              <w:spacing w:after="0"/>
              <w:rPr>
                <w:sz w:val="20"/>
                <w:szCs w:val="20"/>
                <w:color w:val="auto"/>
              </w:rPr>
            </w:pPr>
          </w:p>
        </w:tc>
        <w:tc>
          <w:tcPr>
            <w:tcW w:w="1080" w:type="dxa"/>
            <w:vAlign w:val="bottom"/>
          </w:tcPr>
          <w:p>
            <w:pPr>
              <w:jc w:val="right"/>
              <w:ind w:right="89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21.1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58.9</w:t>
            </w:r>
          </w:p>
        </w:tc>
      </w:tr>
    </w:tbl>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3380" w:type="dxa"/>
            <w:vAlign w:val="bottom"/>
            <w:gridSpan w:val="4"/>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3200" w:type="dxa"/>
            <w:vAlign w:val="bottom"/>
            <w:gridSpan w:val="3"/>
          </w:tcPr>
          <w:p>
            <w:pPr>
              <w:jc w:val="right"/>
              <w:ind w:right="873"/>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4660" w:type="dxa"/>
            <w:vAlign w:val="bottom"/>
          </w:tcPr>
          <w:p>
            <w:pPr>
              <w:spacing w:after="0"/>
              <w:rPr>
                <w:sz w:val="13"/>
                <w:szCs w:val="13"/>
                <w:color w:val="auto"/>
              </w:rPr>
            </w:pPr>
          </w:p>
        </w:tc>
        <w:tc>
          <w:tcPr>
            <w:tcW w:w="1700" w:type="dxa"/>
            <w:vAlign w:val="bottom"/>
            <w:tcBorders>
              <w:top w:val="single" w:sz="8" w:color="auto"/>
            </w:tcBorders>
            <w:gridSpan w:val="2"/>
          </w:tcPr>
          <w:p>
            <w:pPr>
              <w:ind w:left="500"/>
              <w:spacing w:after="0" w:line="158" w:lineRule="exact"/>
              <w:rPr>
                <w:sz w:val="20"/>
                <w:szCs w:val="20"/>
                <w:color w:val="auto"/>
              </w:rPr>
            </w:pPr>
            <w:r>
              <w:rPr>
                <w:rFonts w:ascii="Arial" w:cs="Arial" w:eastAsia="Arial" w:hAnsi="Arial"/>
                <w:sz w:val="16"/>
                <w:szCs w:val="16"/>
                <w:b w:val="1"/>
                <w:bCs w:val="1"/>
                <w:color w:val="auto"/>
              </w:rPr>
              <w:t>June 30,</w:t>
            </w:r>
          </w:p>
        </w:tc>
        <w:tc>
          <w:tcPr>
            <w:tcW w:w="1580" w:type="dxa"/>
            <w:vAlign w:val="bottom"/>
            <w:tcBorders>
              <w:top w:val="single" w:sz="8" w:color="auto"/>
            </w:tcBorders>
          </w:tcPr>
          <w:p>
            <w:pPr>
              <w:jc w:val="right"/>
              <w:ind w:right="413"/>
              <w:spacing w:after="0" w:line="158"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3"/>
                <w:szCs w:val="13"/>
                <w:color w:val="auto"/>
              </w:rPr>
            </w:pPr>
          </w:p>
        </w:tc>
        <w:tc>
          <w:tcPr>
            <w:tcW w:w="1640" w:type="dxa"/>
            <w:vAlign w:val="bottom"/>
            <w:tcBorders>
              <w:top w:val="single" w:sz="8" w:color="auto"/>
            </w:tcBorders>
            <w:gridSpan w:val="2"/>
          </w:tcPr>
          <w:p>
            <w:pPr>
              <w:ind w:left="480"/>
              <w:spacing w:after="0" w:line="158" w:lineRule="exact"/>
              <w:rPr>
                <w:sz w:val="20"/>
                <w:szCs w:val="20"/>
                <w:color w:val="auto"/>
              </w:rPr>
            </w:pPr>
            <w:r>
              <w:rPr>
                <w:rFonts w:ascii="Arial" w:cs="Arial" w:eastAsia="Arial" w:hAnsi="Arial"/>
                <w:sz w:val="16"/>
                <w:szCs w:val="16"/>
                <w:b w:val="1"/>
                <w:bCs w:val="1"/>
                <w:color w:val="auto"/>
              </w:rPr>
              <w:t>June 30,</w:t>
            </w:r>
          </w:p>
        </w:tc>
        <w:tc>
          <w:tcPr>
            <w:tcW w:w="1560" w:type="dxa"/>
            <w:vAlign w:val="bottom"/>
            <w:tcBorders>
              <w:top w:val="single" w:sz="8" w:color="auto"/>
            </w:tcBorders>
          </w:tcPr>
          <w:p>
            <w:pPr>
              <w:jc w:val="right"/>
              <w:ind w:right="393"/>
              <w:spacing w:after="0" w:line="158" w:lineRule="exact"/>
              <w:rPr>
                <w:sz w:val="20"/>
                <w:szCs w:val="20"/>
                <w:color w:val="auto"/>
              </w:rPr>
            </w:pPr>
            <w:r>
              <w:rPr>
                <w:rFonts w:ascii="Arial" w:cs="Arial" w:eastAsia="Arial" w:hAnsi="Arial"/>
                <w:sz w:val="16"/>
                <w:szCs w:val="16"/>
                <w:b w:val="1"/>
                <w:bCs w:val="1"/>
                <w:color w:val="auto"/>
              </w:rPr>
              <w:t>June 30,</w:t>
            </w:r>
          </w:p>
        </w:tc>
      </w:tr>
      <w:tr>
        <w:trPr>
          <w:trHeight w:val="213"/>
        </w:trPr>
        <w:tc>
          <w:tcPr>
            <w:tcW w:w="46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r>
      <w:tr>
        <w:trPr>
          <w:trHeight w:val="22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580" w:type="dxa"/>
            <w:vAlign w:val="bottom"/>
          </w:tcPr>
          <w:p>
            <w:pPr>
              <w:jc w:val="right"/>
              <w:spacing w:after="0"/>
              <w:rPr>
                <w:sz w:val="20"/>
                <w:szCs w:val="20"/>
                <w:color w:val="auto"/>
              </w:rPr>
            </w:pPr>
            <w:r>
              <w:rPr>
                <w:rFonts w:ascii="Arial" w:cs="Arial" w:eastAsia="Arial" w:hAnsi="Arial"/>
                <w:sz w:val="18"/>
                <w:szCs w:val="18"/>
                <w:color w:val="auto"/>
              </w:rPr>
              <w:t>36.6 %</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39.4 %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34.4 %</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322" w:lineRule="exact"/>
        <w:rPr>
          <w:sz w:val="20"/>
          <w:szCs w:val="20"/>
          <w:color w:val="auto"/>
        </w:rPr>
      </w:pPr>
    </w:p>
    <w:p>
      <w:pPr>
        <w:ind w:right="360" w:firstLine="648"/>
        <w:spacing w:after="0" w:line="274"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millions, except exercise prices and contractual life):</w:t>
      </w:r>
    </w:p>
    <w:tbl>
      <w:tblPr>
        <w:tblLayout w:type="fixed"/>
        <w:tblInd w:w="2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Options Outstanding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Weighted-</w:t>
            </w:r>
          </w:p>
        </w:tc>
        <w:tc>
          <w:tcPr>
            <w:tcW w:w="130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3"/>
              </w:rPr>
              <w:t>Weighted-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4"/>
                <w:szCs w:val="14"/>
                <w:color w:val="auto"/>
              </w:rPr>
            </w:pPr>
          </w:p>
        </w:tc>
        <w:tc>
          <w:tcPr>
            <w:tcW w:w="940" w:type="dxa"/>
            <w:vAlign w:val="bottom"/>
            <w:vMerge w:val="restart"/>
          </w:tcPr>
          <w:p>
            <w:pPr>
              <w:jc w:val="center"/>
              <w:ind w:right="7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8"/>
              </w:rPr>
              <w:t>Average</w:t>
            </w: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8"/>
              </w:rPr>
              <w:t>Exercise</w:t>
            </w: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160" w:type="dxa"/>
            <w:vAlign w:val="bottom"/>
          </w:tcPr>
          <w:p>
            <w:pPr>
              <w:spacing w:after="0"/>
              <w:rPr>
                <w:sz w:val="14"/>
                <w:szCs w:val="14"/>
                <w:color w:val="auto"/>
              </w:rPr>
            </w:pPr>
          </w:p>
        </w:tc>
        <w:tc>
          <w:tcPr>
            <w:tcW w:w="94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3"/>
        </w:trPr>
        <w:tc>
          <w:tcPr>
            <w:tcW w:w="62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Life (Years)</w:t>
            </w:r>
          </w:p>
        </w:tc>
        <w:tc>
          <w:tcPr>
            <w:tcW w:w="160" w:type="dxa"/>
            <w:vAlign w:val="bottom"/>
          </w:tcPr>
          <w:p>
            <w:pPr>
              <w:spacing w:after="0"/>
              <w:rPr>
                <w:sz w:val="18"/>
                <w:szCs w:val="18"/>
                <w:color w:val="auto"/>
              </w:rPr>
            </w:pPr>
          </w:p>
        </w:tc>
        <w:tc>
          <w:tcPr>
            <w:tcW w:w="94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30"/>
        </w:trPr>
        <w:tc>
          <w:tcPr>
            <w:tcW w:w="6240" w:type="dxa"/>
            <w:vAlign w:val="bottom"/>
          </w:tcPr>
          <w:p>
            <w:pPr>
              <w:ind w:left="46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173.23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Forfeited</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line="20" w:lineRule="exact"/>
              <w:rPr>
                <w:sz w:val="1"/>
                <w:szCs w:val="1"/>
                <w:color w:val="auto"/>
              </w:rPr>
            </w:pPr>
          </w:p>
        </w:tc>
      </w:tr>
      <w:tr>
        <w:trPr>
          <w:trHeight w:val="204"/>
        </w:trPr>
        <w:tc>
          <w:tcPr>
            <w:tcW w:w="6240" w:type="dxa"/>
            <w:vAlign w:val="bottom"/>
          </w:tcPr>
          <w:p>
            <w:pPr>
              <w:ind w:left="20"/>
              <w:spacing w:after="0" w:line="203" w:lineRule="exact"/>
              <w:rPr>
                <w:sz w:val="20"/>
                <w:szCs w:val="20"/>
                <w:color w:val="auto"/>
              </w:rPr>
            </w:pPr>
            <w:r>
              <w:rPr>
                <w:rFonts w:ascii="Arial" w:cs="Arial" w:eastAsia="Arial" w:hAnsi="Arial"/>
                <w:sz w:val="18"/>
                <w:szCs w:val="18"/>
                <w:color w:val="auto"/>
              </w:rPr>
              <w:t>Options vested and expected to vest—June 30, 2021</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87.60</w:t>
            </w: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exercisable—June 30,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8"/>
          <w:szCs w:val="18"/>
          <w:color w:val="auto"/>
        </w:rPr>
        <w:t>The aggregate intrinsic value represents the difference between the exercise price of stock options and the quoted market price of our common stock on June 30, 2021 for all in-the-money stock options. Stock compensation expense is recognized on a straight-line basis over the vesting period of each stock option. As of June 30, 2021, total compensation expense related to unvested stock options granted to employees but not yet recognized was $50.3 million, with a weighted-average remaining vesting period of 3.0 years.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millions, except per share amounts):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2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760" w:type="dxa"/>
            <w:vAlign w:val="bottom"/>
            <w:gridSpan w:val="4"/>
          </w:tcPr>
          <w:p>
            <w:pPr>
              <w:jc w:val="right"/>
              <w:ind w:right="794"/>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49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180"/>
              <w:spacing w:after="0" w:line="158" w:lineRule="exact"/>
              <w:rPr>
                <w:sz w:val="20"/>
                <w:szCs w:val="20"/>
                <w:color w:val="auto"/>
              </w:rPr>
            </w:pPr>
            <w:r>
              <w:rPr>
                <w:rFonts w:ascii="Arial" w:cs="Arial" w:eastAsia="Arial" w:hAnsi="Arial"/>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74"/>
              <w:spacing w:after="0" w:line="158"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54"/>
              <w:spacing w:after="0" w:line="158" w:lineRule="exact"/>
              <w:rPr>
                <w:sz w:val="20"/>
                <w:szCs w:val="20"/>
                <w:color w:val="auto"/>
              </w:rPr>
            </w:pPr>
            <w:r>
              <w:rPr>
                <w:rFonts w:ascii="Arial" w:cs="Arial" w:eastAsia="Arial" w:hAnsi="Arial"/>
                <w:sz w:val="16"/>
                <w:szCs w:val="16"/>
                <w:b w:val="1"/>
                <w:bCs w:val="1"/>
                <w:color w:val="auto"/>
              </w:rPr>
              <w:t>June 30,</w:t>
            </w:r>
          </w:p>
        </w:tc>
      </w:tr>
      <w:tr>
        <w:trPr>
          <w:trHeight w:val="213"/>
        </w:trPr>
        <w:tc>
          <w:tcPr>
            <w:tcW w:w="49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2020</w:t>
            </w: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Intrinsic value of options exercised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options vested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Stock-based compensation expense, including stock-based compensation expense related to awards classified as liabilities, is included in costs and expenses as follows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6"/>
                <w:szCs w:val="16"/>
                <w:b w:val="1"/>
                <w:bCs w:val="1"/>
                <w:color w:val="auto"/>
              </w:rPr>
              <w:t>Six Months Ended</w:t>
            </w:r>
          </w:p>
        </w:tc>
      </w:tr>
      <w:tr>
        <w:trPr>
          <w:trHeight w:val="159"/>
        </w:trPr>
        <w:tc>
          <w:tcPr>
            <w:tcW w:w="4980" w:type="dxa"/>
            <w:vAlign w:val="bottom"/>
          </w:tcPr>
          <w:p>
            <w:pPr>
              <w:spacing w:after="0"/>
              <w:rPr>
                <w:sz w:val="13"/>
                <w:szCs w:val="13"/>
                <w:color w:val="auto"/>
              </w:rPr>
            </w:pPr>
          </w:p>
        </w:tc>
        <w:tc>
          <w:tcPr>
            <w:tcW w:w="108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80"/>
              <w:spacing w:after="0" w:line="158" w:lineRule="exact"/>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3"/>
                <w:szCs w:val="13"/>
                <w:color w:val="auto"/>
              </w:rPr>
            </w:pPr>
          </w:p>
        </w:tc>
        <w:tc>
          <w:tcPr>
            <w:tcW w:w="1180" w:type="dxa"/>
            <w:vAlign w:val="bottom"/>
          </w:tcPr>
          <w:p>
            <w:pPr>
              <w:jc w:val="right"/>
              <w:ind w:right="352"/>
              <w:spacing w:after="0" w:line="158" w:lineRule="exact"/>
              <w:rPr>
                <w:sz w:val="20"/>
                <w:szCs w:val="20"/>
                <w:color w:val="auto"/>
              </w:rPr>
            </w:pPr>
            <w:r>
              <w:rPr>
                <w:rFonts w:ascii="Arial" w:cs="Arial" w:eastAsia="Arial" w:hAnsi="Arial"/>
                <w:sz w:val="16"/>
                <w:szCs w:val="16"/>
                <w:b w:val="1"/>
                <w:bCs w:val="1"/>
                <w:color w:val="auto"/>
              </w:rPr>
              <w:t>June 30,</w:t>
            </w:r>
          </w:p>
        </w:tc>
      </w:tr>
      <w:tr>
        <w:trPr>
          <w:trHeight w:val="213"/>
        </w:trPr>
        <w:tc>
          <w:tcPr>
            <w:tcW w:w="49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Cost of service revenue</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27.7</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27.9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3"/>
        </w:trPr>
        <w:tc>
          <w:tcPr>
            <w:tcW w:w="4980" w:type="dxa"/>
            <w:vAlign w:val="bottom"/>
          </w:tcPr>
          <w:p>
            <w:pPr>
              <w:ind w:left="460"/>
              <w:spacing w:after="0"/>
              <w:rPr>
                <w:sz w:val="20"/>
                <w:szCs w:val="20"/>
                <w:color w:val="auto"/>
              </w:rPr>
            </w:pPr>
            <w:r>
              <w:rPr>
                <w:rFonts w:ascii="Arial" w:cs="Arial" w:eastAsia="Arial" w:hAnsi="Arial"/>
                <w:sz w:val="18"/>
                <w:szCs w:val="18"/>
                <w:color w:val="auto"/>
              </w:rPr>
              <w:t>Total stock-based compensation expense</w:t>
            </w:r>
          </w:p>
        </w:tc>
        <w:tc>
          <w:tcPr>
            <w:tcW w:w="1080" w:type="dxa"/>
            <w:vAlign w:val="bottom"/>
            <w:tcBorders>
              <w:bottom w:val="single" w:sz="8" w:color="auto"/>
            </w:tcBorders>
          </w:tcPr>
          <w:p>
            <w:pPr>
              <w:jc w:val="right"/>
              <w:ind w:right="87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53.5</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r>
      <w:tr>
        <w:trPr>
          <w:trHeight w:val="21"/>
        </w:trPr>
        <w:tc>
          <w:tcPr>
            <w:tcW w:w="4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including stock-based compensation expense related to awards classified as liabilities, by award type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795"/>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4980" w:type="dxa"/>
            <w:vAlign w:val="bottom"/>
          </w:tcPr>
          <w:p>
            <w:pPr>
              <w:spacing w:after="0"/>
              <w:rPr>
                <w:sz w:val="13"/>
                <w:szCs w:val="13"/>
                <w:color w:val="auto"/>
              </w:rPr>
            </w:pPr>
          </w:p>
        </w:tc>
        <w:tc>
          <w:tcPr>
            <w:tcW w:w="1080" w:type="dxa"/>
            <w:vAlign w:val="bottom"/>
          </w:tcPr>
          <w:p>
            <w:pPr>
              <w:jc w:val="center"/>
              <w:ind w:left="356"/>
              <w:spacing w:after="0" w:line="158" w:lineRule="exact"/>
              <w:rPr>
                <w:sz w:val="20"/>
                <w:szCs w:val="20"/>
                <w:color w:val="auto"/>
              </w:rPr>
            </w:pPr>
            <w:r>
              <w:rPr>
                <w:rFonts w:ascii="Arial" w:cs="Arial" w:eastAsia="Arial" w:hAnsi="Arial"/>
                <w:sz w:val="16"/>
                <w:szCs w:val="16"/>
                <w:b w:val="1"/>
                <w:bCs w:val="1"/>
                <w:color w:val="auto"/>
                <w:w w:val="87"/>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left="335"/>
              <w:spacing w:after="0" w:line="158" w:lineRule="exact"/>
              <w:rPr>
                <w:sz w:val="20"/>
                <w:szCs w:val="20"/>
                <w:color w:val="auto"/>
              </w:rPr>
            </w:pPr>
            <w:r>
              <w:rPr>
                <w:rFonts w:ascii="Arial" w:cs="Arial" w:eastAsia="Arial" w:hAnsi="Arial"/>
                <w:sz w:val="16"/>
                <w:szCs w:val="16"/>
                <w:b w:val="1"/>
                <w:bCs w:val="1"/>
                <w:color w:val="auto"/>
                <w:w w:val="90"/>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4"/>
          </w:tcPr>
          <w:p>
            <w:pPr>
              <w:jc w:val="center"/>
              <w:ind w:right="380"/>
              <w:spacing w:after="0" w:line="158" w:lineRule="exact"/>
              <w:rPr>
                <w:sz w:val="20"/>
                <w:szCs w:val="20"/>
                <w:color w:val="auto"/>
              </w:rPr>
            </w:pPr>
            <w:r>
              <w:rPr>
                <w:rFonts w:ascii="Arial" w:cs="Arial" w:eastAsia="Arial" w:hAnsi="Arial"/>
                <w:sz w:val="16"/>
                <w:szCs w:val="16"/>
                <w:b w:val="1"/>
                <w:bCs w:val="1"/>
                <w:color w:val="auto"/>
                <w:w w:val="87"/>
              </w:rPr>
              <w:t>June 30,</w:t>
            </w:r>
          </w:p>
        </w:tc>
        <w:tc>
          <w:tcPr>
            <w:tcW w:w="280" w:type="dxa"/>
            <w:vAlign w:val="bottom"/>
          </w:tcPr>
          <w:p>
            <w:pPr>
              <w:spacing w:after="0"/>
              <w:rPr>
                <w:sz w:val="13"/>
                <w:szCs w:val="13"/>
                <w:color w:val="auto"/>
              </w:rPr>
            </w:pPr>
          </w:p>
        </w:tc>
        <w:tc>
          <w:tcPr>
            <w:tcW w:w="1180" w:type="dxa"/>
            <w:vAlign w:val="bottom"/>
          </w:tcPr>
          <w:p>
            <w:pPr>
              <w:jc w:val="center"/>
              <w:ind w:right="195"/>
              <w:spacing w:after="0" w:line="158" w:lineRule="exact"/>
              <w:rPr>
                <w:sz w:val="20"/>
                <w:szCs w:val="20"/>
                <w:color w:val="auto"/>
              </w:rPr>
            </w:pPr>
            <w:r>
              <w:rPr>
                <w:rFonts w:ascii="Arial" w:cs="Arial" w:eastAsia="Arial" w:hAnsi="Arial"/>
                <w:sz w:val="16"/>
                <w:szCs w:val="16"/>
                <w:b w:val="1"/>
                <w:bCs w:val="1"/>
                <w:color w:val="auto"/>
                <w:w w:val="90"/>
              </w:rPr>
              <w:t>June 30,</w:t>
            </w:r>
          </w:p>
        </w:tc>
      </w:tr>
      <w:tr>
        <w:trPr>
          <w:trHeight w:val="213"/>
        </w:trPr>
        <w:tc>
          <w:tcPr>
            <w:tcW w:w="49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356"/>
              <w:spacing w:after="0"/>
              <w:rPr>
                <w:sz w:val="20"/>
                <w:szCs w:val="20"/>
                <w:color w:val="auto"/>
              </w:rPr>
            </w:pPr>
            <w:r>
              <w:rPr>
                <w:rFonts w:ascii="Arial" w:cs="Arial" w:eastAsia="Arial" w:hAnsi="Arial"/>
                <w:sz w:val="16"/>
                <w:szCs w:val="16"/>
                <w:b w:val="1"/>
                <w:bCs w:val="1"/>
                <w:color w:val="auto"/>
                <w:w w:val="89"/>
              </w:rPr>
              <w:t>2021</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315"/>
              <w:spacing w:after="0"/>
              <w:rPr>
                <w:sz w:val="20"/>
                <w:szCs w:val="20"/>
                <w:color w:val="auto"/>
              </w:rPr>
            </w:pPr>
            <w:r>
              <w:rPr>
                <w:rFonts w:ascii="Arial" w:cs="Arial" w:eastAsia="Arial" w:hAnsi="Arial"/>
                <w:sz w:val="16"/>
                <w:szCs w:val="16"/>
                <w:b w:val="1"/>
                <w:bCs w:val="1"/>
                <w:color w:val="auto"/>
                <w:w w:val="89"/>
              </w:rPr>
              <w:t>2020</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5"/>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95"/>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48.5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options</w:t>
            </w: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48"/>
        </w:trPr>
        <w:tc>
          <w:tcPr>
            <w:tcW w:w="4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stock-based compensation expense</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13"/>
        </w:trPr>
        <w:tc>
          <w:tcPr>
            <w:tcW w:w="11240" w:type="dxa"/>
            <w:vAlign w:val="bottom"/>
            <w:gridSpan w:val="14"/>
          </w:tcPr>
          <w:p>
            <w:pPr>
              <w:jc w:val="right"/>
              <w:ind w:right="195"/>
              <w:spacing w:after="0"/>
              <w:rPr>
                <w:sz w:val="20"/>
                <w:szCs w:val="20"/>
                <w:color w:val="auto"/>
              </w:rPr>
            </w:pPr>
            <w:r>
              <w:rPr>
                <w:rFonts w:ascii="Arial" w:cs="Arial" w:eastAsia="Arial" w:hAnsi="Arial"/>
                <w:sz w:val="18"/>
                <w:szCs w:val="18"/>
                <w:color w:val="auto"/>
                <w:w w:val="95"/>
              </w:rPr>
              <w:t>Total income tax benefit associated with stock-based compensation that is recognized in the condensed consolidated statements of income is as</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follows (in millions):</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1"/>
        </w:trPr>
        <w:tc>
          <w:tcPr>
            <w:tcW w:w="498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795"/>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4980" w:type="dxa"/>
            <w:vAlign w:val="bottom"/>
          </w:tcPr>
          <w:p>
            <w:pPr>
              <w:spacing w:after="0"/>
              <w:rPr>
                <w:sz w:val="13"/>
                <w:szCs w:val="13"/>
                <w:color w:val="auto"/>
              </w:rPr>
            </w:pPr>
          </w:p>
        </w:tc>
        <w:tc>
          <w:tcPr>
            <w:tcW w:w="1080" w:type="dxa"/>
            <w:vAlign w:val="bottom"/>
          </w:tcPr>
          <w:p>
            <w:pPr>
              <w:jc w:val="center"/>
              <w:ind w:left="356"/>
              <w:spacing w:after="0" w:line="158" w:lineRule="exact"/>
              <w:rPr>
                <w:sz w:val="20"/>
                <w:szCs w:val="20"/>
                <w:color w:val="auto"/>
              </w:rPr>
            </w:pPr>
            <w:r>
              <w:rPr>
                <w:rFonts w:ascii="Arial" w:cs="Arial" w:eastAsia="Arial" w:hAnsi="Arial"/>
                <w:sz w:val="16"/>
                <w:szCs w:val="16"/>
                <w:b w:val="1"/>
                <w:bCs w:val="1"/>
                <w:color w:val="auto"/>
                <w:w w:val="87"/>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left="335"/>
              <w:spacing w:after="0" w:line="158" w:lineRule="exact"/>
              <w:rPr>
                <w:sz w:val="20"/>
                <w:szCs w:val="20"/>
                <w:color w:val="auto"/>
              </w:rPr>
            </w:pPr>
            <w:r>
              <w:rPr>
                <w:rFonts w:ascii="Arial" w:cs="Arial" w:eastAsia="Arial" w:hAnsi="Arial"/>
                <w:sz w:val="16"/>
                <w:szCs w:val="16"/>
                <w:b w:val="1"/>
                <w:bCs w:val="1"/>
                <w:color w:val="auto"/>
                <w:w w:val="90"/>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4"/>
          </w:tcPr>
          <w:p>
            <w:pPr>
              <w:jc w:val="center"/>
              <w:ind w:right="400"/>
              <w:spacing w:after="0" w:line="158" w:lineRule="exact"/>
              <w:rPr>
                <w:sz w:val="20"/>
                <w:szCs w:val="20"/>
                <w:color w:val="auto"/>
              </w:rPr>
            </w:pPr>
            <w:r>
              <w:rPr>
                <w:rFonts w:ascii="Arial" w:cs="Arial" w:eastAsia="Arial" w:hAnsi="Arial"/>
                <w:sz w:val="16"/>
                <w:szCs w:val="16"/>
                <w:b w:val="1"/>
                <w:bCs w:val="1"/>
                <w:color w:val="auto"/>
                <w:w w:val="90"/>
              </w:rPr>
              <w:t>June 30,</w:t>
            </w:r>
          </w:p>
        </w:tc>
        <w:tc>
          <w:tcPr>
            <w:tcW w:w="280" w:type="dxa"/>
            <w:vAlign w:val="bottom"/>
          </w:tcPr>
          <w:p>
            <w:pPr>
              <w:spacing w:after="0"/>
              <w:rPr>
                <w:sz w:val="13"/>
                <w:szCs w:val="13"/>
                <w:color w:val="auto"/>
              </w:rPr>
            </w:pPr>
          </w:p>
        </w:tc>
        <w:tc>
          <w:tcPr>
            <w:tcW w:w="1180" w:type="dxa"/>
            <w:vAlign w:val="bottom"/>
          </w:tcPr>
          <w:p>
            <w:pPr>
              <w:jc w:val="center"/>
              <w:ind w:right="195"/>
              <w:spacing w:after="0" w:line="158" w:lineRule="exact"/>
              <w:rPr>
                <w:sz w:val="20"/>
                <w:szCs w:val="20"/>
                <w:color w:val="auto"/>
              </w:rPr>
            </w:pPr>
            <w:r>
              <w:rPr>
                <w:rFonts w:ascii="Arial" w:cs="Arial" w:eastAsia="Arial" w:hAnsi="Arial"/>
                <w:sz w:val="16"/>
                <w:szCs w:val="16"/>
                <w:b w:val="1"/>
                <w:bCs w:val="1"/>
                <w:color w:val="auto"/>
                <w:w w:val="90"/>
              </w:rPr>
              <w:t>June 30,</w:t>
            </w:r>
          </w:p>
        </w:tc>
      </w:tr>
      <w:tr>
        <w:trPr>
          <w:trHeight w:val="213"/>
        </w:trPr>
        <w:tc>
          <w:tcPr>
            <w:tcW w:w="49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356"/>
              <w:spacing w:after="0"/>
              <w:rPr>
                <w:sz w:val="20"/>
                <w:szCs w:val="20"/>
                <w:color w:val="auto"/>
              </w:rPr>
            </w:pPr>
            <w:r>
              <w:rPr>
                <w:rFonts w:ascii="Arial" w:cs="Arial" w:eastAsia="Arial" w:hAnsi="Arial"/>
                <w:sz w:val="16"/>
                <w:szCs w:val="16"/>
                <w:b w:val="1"/>
                <w:bCs w:val="1"/>
                <w:color w:val="auto"/>
                <w:w w:val="89"/>
              </w:rPr>
              <w:t>2021</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315"/>
              <w:spacing w:after="0"/>
              <w:rPr>
                <w:sz w:val="20"/>
                <w:szCs w:val="20"/>
                <w:color w:val="auto"/>
              </w:rPr>
            </w:pPr>
            <w:r>
              <w:rPr>
                <w:rFonts w:ascii="Arial" w:cs="Arial" w:eastAsia="Arial" w:hAnsi="Arial"/>
                <w:sz w:val="16"/>
                <w:szCs w:val="16"/>
                <w:b w:val="1"/>
                <w:bCs w:val="1"/>
                <w:color w:val="auto"/>
                <w:w w:val="89"/>
              </w:rPr>
              <w:t>2020</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95"/>
              <w:spacing w:after="0"/>
              <w:rPr>
                <w:sz w:val="20"/>
                <w:szCs w:val="20"/>
                <w:color w:val="auto"/>
              </w:rPr>
            </w:pPr>
            <w:r>
              <w:rPr>
                <w:rFonts w:ascii="Arial" w:cs="Arial" w:eastAsia="Arial" w:hAnsi="Arial"/>
                <w:sz w:val="16"/>
                <w:szCs w:val="16"/>
                <w:b w:val="1"/>
                <w:bCs w:val="1"/>
                <w:color w:val="auto"/>
                <w:w w:val="95"/>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15"/>
              <w:spacing w:after="0"/>
              <w:rPr>
                <w:sz w:val="20"/>
                <w:szCs w:val="20"/>
                <w:color w:val="auto"/>
              </w:rPr>
            </w:pPr>
            <w:r>
              <w:rPr>
                <w:rFonts w:ascii="Arial" w:cs="Arial" w:eastAsia="Arial" w:hAnsi="Arial"/>
                <w:sz w:val="16"/>
                <w:szCs w:val="16"/>
                <w:b w:val="1"/>
                <w:bCs w:val="1"/>
                <w:color w:val="auto"/>
                <w:w w:val="89"/>
              </w:rPr>
              <w:t>2020</w:t>
            </w: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Income tax benefit associated with stock-based compensation</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bl>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July 2020, under the Share Repurchase Program originally approved by our board of directors in January 2016 (the “Repurchase Program”), our board of directors approved a $500.0 million increase and extended the term to February 28, 2022, bringing the aggregate amount authorized to be repurchased to $3.0 billion. Share repurchases may be made by us from time to time in privately negotiated transactions or in open-market transactions. The Repurchase Program does not require us to purchase a minimum number of shares, and may be suspended, modified or discontinued at any time without prior notice.</w:t>
      </w:r>
    </w:p>
    <w:p>
      <w:pPr>
        <w:spacing w:after="0" w:line="21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During the three and six months ended June 30, 2021, we repurchased 0.5 million shares of common stock under the Repurchase Program in open-market transactions at a weighted-average price of $201.38 per share per share, for an aggregate purchase price of $91.6 million. As of June 30, 2021, $921.1 million remained available for future share repurchases under the Repurchase Program.</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INCOME TAXES</w:t>
      </w:r>
    </w:p>
    <w:p>
      <w:pPr>
        <w:spacing w:after="0" w:line="243" w:lineRule="exact"/>
        <w:rPr>
          <w:sz w:val="20"/>
          <w:szCs w:val="20"/>
          <w:color w:val="auto"/>
        </w:rPr>
      </w:pPr>
    </w:p>
    <w:p>
      <w:pPr>
        <w:ind w:right="20" w:firstLine="648"/>
        <w:spacing w:after="0" w:line="261" w:lineRule="auto"/>
        <w:rPr>
          <w:sz w:val="20"/>
          <w:szCs w:val="20"/>
          <w:color w:val="auto"/>
        </w:rPr>
      </w:pPr>
      <w:r>
        <w:rPr>
          <w:rFonts w:ascii="Arial" w:cs="Arial" w:eastAsia="Arial" w:hAnsi="Arial"/>
          <w:sz w:val="16"/>
          <w:szCs w:val="16"/>
          <w:color w:val="auto"/>
        </w:rPr>
        <w:t>Our effective tax rate was 5% for the three months ended June 30, 2021, compared to an effective tax rate of 8% for the same period last year. Our effective tax rate was 7% for the six months ended June 30, 2021, compared to an effective tax rate of 10% for the same period last year. The effective tax rates for the periods presented are primarily comprised of U.S. federal and state taxes, withholding taxes, foreign taxes, the tax benefit from foreign-derived intangible income deduction (the “FDII deduction”) and excess tax benefits from stock-based compensation expense. The tax rates for the three months ended June 30, 2021 and 2020 were composed of U.S. federal and state taxes, withholding taxes and foreign taxes that amounted to</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$38.0 million and $33.6 million, respectively. The tax rate for the three months ended June 30, 2021 was impacted by a tax benefit of $7.1 million from the FDII deduction, excess tax benefits from stock-based compensation expense of $18.2 million and release of reserves of $5.2 million on uncertain tax positions and the interest due to the expiration of the statute of limitations. The tax rate for the three months ended June 30, 2020 was impacted by a tax benefit of $5.0 million from the FDII deduction, excess tax benefits from stock-based compensation expense of $10.0 million and release of reserves of $8.7 million on uncertain tax positions and the interest due to the expiration of the statute of limitations.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tax rates for the six months ended June 30, 2021 and 2020 were composed of U.S. federal and state taxes, withholding taxes and foreign taxes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that amounted to $75.4 million and $66.7 million, respectively. The tax rate for the six months ended June 30, 2021 was impacted by a tax benefit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$15.2 million from the FDII deduction, excess tax benefits from stock-based compensation expense of $35.3 million and release of reserves of $5.2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uncertain tax positions and the interest due to the expiration of the statute of limitations. The tax rate for the six months ended June 30, 2020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impacted by a tax benefit of $9.6 million from the FDII deduction, excess tax benefits from stock-based compensation expense of $25.2 million and release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reserves of $8.7 million on uncertain tax positions and the interest due to the expiration of the statute of limitations.</w:t>
      </w:r>
    </w:p>
    <w:p>
      <w:pPr>
        <w:spacing w:after="0" w:line="23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June 30, 2021 and December 31, 2020, unrecognized tax benefits were $79.9 million and $77.3 million, respectively. If recognized, $72.7 million of the unrecognized tax benefits would favorably affect our effective tax rate. It is our policy to include accrued interest and penalties related to unrecognized tax benefits in income tax expense. As of June 30, 2021 and December 31, 2020, accrued interest and penalties were $15.4 million and $14.5 million, respectively. It is reasonably possible that our gross unrecognized tax benefits will decrease by up to $12.1 million in the next 12 months, due to the lapse of the statute of limitations. This decrease, if recognized, would favorably impact our effective tax rate, and would be recognized as additional tax benefits.</w:t>
      </w:r>
    </w:p>
    <w:p>
      <w:pPr>
        <w:spacing w:after="0" w:line="21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U.S. state and foreign jurisdictions. Generally, we are no longer subject to U.S. state and foreign income tax examinations by tax authorities for tax years prior to 2010. We are no longer subject to examination by U.S federal income tax authorities for tax years prior to 2015. We currently have ongoing tax audits in the United Kingdom, Canada, Germany and several other foreign jurisdictions. The focus of these audits is the inter-company profit allocation.</w:t>
      </w:r>
    </w:p>
    <w:p>
      <w:pPr>
        <w:spacing w:after="0" w:line="21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6"/>
          <w:szCs w:val="16"/>
          <w:color w:val="auto"/>
        </w:rPr>
        <w:t>The Coronavirus Aid, Relief, and Economic Security Act (the “CARES Act”) was signed into law on March 27, 2020.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technical corrections from prior tax legislation for tax depreciation of certain qualified improvement property and the creation of certain refundable employee retention credits. There is no material tax impact on our condensed consolidated financial statements.</w:t>
      </w:r>
    </w:p>
    <w:p>
      <w:pPr>
        <w:spacing w:after="0" w:line="186" w:lineRule="exact"/>
        <w:rPr>
          <w:sz w:val="20"/>
          <w:szCs w:val="20"/>
          <w:color w:val="auto"/>
        </w:rPr>
      </w:pPr>
    </w:p>
    <w:p>
      <w:pPr>
        <w:ind w:right="20" w:firstLine="648"/>
        <w:spacing w:after="0" w:line="259" w:lineRule="auto"/>
        <w:rPr>
          <w:sz w:val="20"/>
          <w:szCs w:val="20"/>
          <w:color w:val="auto"/>
        </w:rPr>
      </w:pPr>
      <w:r>
        <w:rPr>
          <w:rFonts w:ascii="Arial" w:cs="Arial" w:eastAsia="Arial" w:hAnsi="Arial"/>
          <w:sz w:val="17"/>
          <w:szCs w:val="17"/>
          <w:color w:val="auto"/>
        </w:rPr>
        <w:t>On July 9, 2020, the United States Department of the Treasury (the “U.S. Treasury”) and the Internal Revenue Service (the “IRS”) released final Section 250 regulations, providing guidance on the foreign-derived intangible income deduction and the global intangible low-taxed income. Generally, the final regulations are applicable for taxable years beginning on or after January 1, 2021. However, taxpayers may apply the final regulations for taxable years beginning on or after January 1, 2018. We have elected to apply the final regulations to the year ending December 31, 2020 and included the tax impact from the final regulations on our foreign-derived intangible income deduction calculation.</w:t>
      </w:r>
    </w:p>
    <w:p>
      <w:pPr>
        <w:spacing w:after="0" w:line="19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25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tax-deductible contributions. Our board of directors approved 50% matching contributions on employee contributions up to 4% of each employee’s eligible earnings. Our matching contributions to our 401(k) Plan and the RRSP for the three months ended June 30, 2021 and 2020 were $2.7 million and $2.2 million, respectively. Our matching contributions to our 401(k) Plan and the RRSP for the six months ended June 30, 2021 and 2020 were $5.4 million and $4.4 million, respectively.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05" w:lineRule="exact"/>
        <w:rPr>
          <w:sz w:val="20"/>
          <w:szCs w:val="20"/>
          <w:color w:val="auto"/>
        </w:rPr>
      </w:pPr>
    </w:p>
    <w:p>
      <w:pPr>
        <w:ind w:right="20" w:firstLine="648"/>
        <w:spacing w:after="0" w:line="274" w:lineRule="auto"/>
        <w:rPr>
          <w:sz w:val="20"/>
          <w:szCs w:val="20"/>
          <w:color w:val="auto"/>
        </w:rPr>
      </w:pPr>
      <w:r>
        <w:rPr>
          <w:rFonts w:ascii="Arial" w:cs="Arial" w:eastAsia="Arial" w:hAnsi="Arial"/>
          <w:sz w:val="18"/>
          <w:szCs w:val="18"/>
          <w:color w:val="auto"/>
        </w:rPr>
        <w:t>Revenue by geographic region is based on the billing address of our customers. The following tables set forth revenue and property and equipment —net by geographic region (in millions):</w:t>
      </w: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ind w:left="66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96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Revenue</w:t>
            </w:r>
          </w:p>
        </w:tc>
        <w:tc>
          <w:tcPr>
            <w:tcW w:w="280" w:type="dxa"/>
            <w:vAlign w:val="bottom"/>
          </w:tcPr>
          <w:p>
            <w:pPr>
              <w:spacing w:after="0"/>
              <w:rPr>
                <w:sz w:val="13"/>
                <w:szCs w:val="13"/>
                <w:color w:val="auto"/>
              </w:rPr>
            </w:pPr>
          </w:p>
        </w:tc>
        <w:tc>
          <w:tcPr>
            <w:tcW w:w="1320" w:type="dxa"/>
            <w:vAlign w:val="bottom"/>
            <w:gridSpan w:val="2"/>
          </w:tcPr>
          <w:p>
            <w:pPr>
              <w:ind w:left="180"/>
              <w:spacing w:after="0" w:line="158" w:lineRule="exact"/>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3"/>
                <w:szCs w:val="13"/>
                <w:color w:val="auto"/>
              </w:rPr>
            </w:pPr>
          </w:p>
        </w:tc>
        <w:tc>
          <w:tcPr>
            <w:tcW w:w="1200" w:type="dxa"/>
            <w:vAlign w:val="bottom"/>
          </w:tcPr>
          <w:p>
            <w:pPr>
              <w:jc w:val="right"/>
              <w:ind w:right="352"/>
              <w:spacing w:after="0" w:line="158" w:lineRule="exact"/>
              <w:rPr>
                <w:sz w:val="20"/>
                <w:szCs w:val="20"/>
                <w:color w:val="auto"/>
              </w:rPr>
            </w:pPr>
            <w:r>
              <w:rPr>
                <w:rFonts w:ascii="Arial" w:cs="Arial" w:eastAsia="Arial" w:hAnsi="Arial"/>
                <w:sz w:val="16"/>
                <w:szCs w:val="16"/>
                <w:b w:val="1"/>
                <w:bCs w:val="1"/>
                <w:color w:val="auto"/>
              </w:rPr>
              <w:t>June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220"/>
              <w:spacing w:after="0" w:line="158" w:lineRule="exact"/>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280"/>
              <w:spacing w:after="0" w:line="158" w:lineRule="exact"/>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6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513"/>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472"/>
              <w:spacing w:after="0" w:line="175" w:lineRule="exact"/>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433"/>
              <w:spacing w:after="0" w:line="175" w:lineRule="exact"/>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472"/>
              <w:spacing w:after="0" w:line="175" w:lineRule="exact"/>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Americas: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3"/>
          </w:tcPr>
          <w:p>
            <w:pPr>
              <w:ind w:left="18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201.2</w:t>
            </w:r>
          </w:p>
        </w:tc>
        <w:tc>
          <w:tcPr>
            <w:tcW w:w="3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464.2</w:t>
            </w:r>
          </w:p>
        </w:tc>
        <w:tc>
          <w:tcPr>
            <w:tcW w:w="6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Americas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3"/>
          </w:tcPr>
          <w:p>
            <w:pPr>
              <w:ind w:left="420"/>
              <w:spacing w:after="0"/>
              <w:rPr>
                <w:sz w:val="20"/>
                <w:szCs w:val="20"/>
                <w:color w:val="auto"/>
              </w:rPr>
            </w:pPr>
            <w:r>
              <w:rPr>
                <w:rFonts w:ascii="Arial" w:cs="Arial" w:eastAsia="Arial" w:hAnsi="Arial"/>
                <w:sz w:val="18"/>
                <w:szCs w:val="18"/>
                <w:color w:val="auto"/>
              </w:rPr>
              <w:t>Total Americas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627.9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Europe, Middle East and Africa (“EMEA”)</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Asia Pacific (“APAC”)</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1,511.4</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7"/>
                <w:szCs w:val="17"/>
                <w:color w:val="auto"/>
              </w:rPr>
              <w:t>—</w:t>
            </w:r>
            <w:r>
              <w:rPr>
                <w:rFonts w:ascii="Arial" w:cs="Arial" w:eastAsia="Arial" w:hAnsi="Arial"/>
                <w:sz w:val="16"/>
                <w:szCs w:val="16"/>
                <w:b w:val="1"/>
                <w:bCs w:val="1"/>
                <w:color w:val="auto"/>
              </w:rPr>
              <w:t>net</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4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533"/>
              <w:spacing w:after="0" w:line="175" w:lineRule="exact"/>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512"/>
              <w:spacing w:after="0" w:line="175" w:lineRule="exact"/>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3"/>
          </w:tcPr>
          <w:p>
            <w:pPr>
              <w:ind w:left="20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352.1</w:t>
            </w:r>
          </w:p>
        </w:tc>
        <w:tc>
          <w:tcPr>
            <w:tcW w:w="60" w:type="dxa"/>
            <w:vAlign w:val="bottom"/>
          </w:tcPr>
          <w:p>
            <w:pPr>
              <w:spacing w:after="0"/>
              <w:rPr>
                <w:sz w:val="19"/>
                <w:szCs w:val="19"/>
                <w:color w:val="auto"/>
              </w:rPr>
            </w:pPr>
          </w:p>
        </w:tc>
        <w:tc>
          <w:tcPr>
            <w:tcW w:w="2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Latin America</w:t>
            </w:r>
          </w:p>
        </w:tc>
        <w:tc>
          <w:tcPr>
            <w:tcW w:w="2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 Americas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EMEA</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APAC</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3"/>
          </w:tcPr>
          <w:p>
            <w:pPr>
              <w:ind w:left="440"/>
              <w:spacing w:after="0"/>
              <w:rPr>
                <w:sz w:val="20"/>
                <w:szCs w:val="20"/>
                <w:color w:val="auto"/>
              </w:rPr>
            </w:pPr>
            <w:r>
              <w:rPr>
                <w:rFonts w:ascii="Arial" w:cs="Arial" w:eastAsia="Arial" w:hAnsi="Arial"/>
                <w:sz w:val="18"/>
                <w:szCs w:val="18"/>
                <w:color w:val="auto"/>
              </w:rPr>
              <w:t>Total property and equipment—net</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distributors accounted for 10% or more of our revenue: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2820" w:type="dxa"/>
            <w:vAlign w:val="bottom"/>
            <w:tcBorders>
              <w:bottom w:val="single" w:sz="8" w:color="auto"/>
            </w:tcBorders>
            <w:gridSpan w:val="4"/>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Borders>
              <w:bottom w:val="single" w:sz="8" w:color="auto"/>
            </w:tcBorders>
            <w:gridSpan w:val="3"/>
          </w:tcPr>
          <w:p>
            <w:pPr>
              <w:jc w:val="right"/>
              <w:ind w:right="855"/>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4700" w:type="dxa"/>
            <w:vAlign w:val="bottom"/>
          </w:tcPr>
          <w:p>
            <w:pPr>
              <w:spacing w:after="0"/>
              <w:rPr>
                <w:sz w:val="13"/>
                <w:szCs w:val="13"/>
                <w:color w:val="auto"/>
              </w:rPr>
            </w:pPr>
          </w:p>
        </w:tc>
        <w:tc>
          <w:tcPr>
            <w:tcW w:w="1140" w:type="dxa"/>
            <w:vAlign w:val="bottom"/>
          </w:tcPr>
          <w:p>
            <w:pPr>
              <w:jc w:val="center"/>
              <w:ind w:left="359"/>
              <w:spacing w:after="0" w:line="158" w:lineRule="exact"/>
              <w:rPr>
                <w:sz w:val="20"/>
                <w:szCs w:val="20"/>
                <w:color w:val="auto"/>
              </w:rPr>
            </w:pPr>
            <w:r>
              <w:rPr>
                <w:rFonts w:ascii="Arial" w:cs="Arial" w:eastAsia="Arial" w:hAnsi="Arial"/>
                <w:sz w:val="16"/>
                <w:szCs w:val="16"/>
                <w:b w:val="1"/>
                <w:bCs w:val="1"/>
                <w:color w:val="auto"/>
                <w:w w:val="90"/>
              </w:rPr>
              <w:t>June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379"/>
              <w:spacing w:after="0" w:line="158" w:lineRule="exact"/>
              <w:rPr>
                <w:sz w:val="20"/>
                <w:szCs w:val="20"/>
                <w:color w:val="auto"/>
              </w:rPr>
            </w:pPr>
            <w:r>
              <w:rPr>
                <w:rFonts w:ascii="Arial" w:cs="Arial" w:eastAsia="Arial" w:hAnsi="Arial"/>
                <w:sz w:val="16"/>
                <w:szCs w:val="16"/>
                <w:b w:val="1"/>
                <w:bCs w:val="1"/>
                <w:color w:val="auto"/>
                <w:w w:val="90"/>
              </w:rPr>
              <w:t>June 30,</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ind w:left="460"/>
              <w:spacing w:after="0" w:line="158" w:lineRule="exact"/>
              <w:rPr>
                <w:sz w:val="20"/>
                <w:szCs w:val="20"/>
                <w:color w:val="auto"/>
              </w:rPr>
            </w:pPr>
            <w:r>
              <w:rPr>
                <w:rFonts w:ascii="Arial" w:cs="Arial" w:eastAsia="Arial" w:hAnsi="Arial"/>
                <w:sz w:val="16"/>
                <w:szCs w:val="16"/>
                <w:b w:val="1"/>
                <w:bCs w:val="1"/>
                <w:color w:val="auto"/>
              </w:rPr>
              <w:t>June 30,</w:t>
            </w:r>
          </w:p>
        </w:tc>
        <w:tc>
          <w:tcPr>
            <w:tcW w:w="1540" w:type="dxa"/>
            <w:vAlign w:val="bottom"/>
          </w:tcPr>
          <w:p>
            <w:pPr>
              <w:jc w:val="right"/>
              <w:ind w:right="395"/>
              <w:spacing w:after="0" w:line="158" w:lineRule="exact"/>
              <w:rPr>
                <w:sz w:val="20"/>
                <w:szCs w:val="20"/>
                <w:color w:val="auto"/>
              </w:rPr>
            </w:pPr>
            <w:r>
              <w:rPr>
                <w:rFonts w:ascii="Arial" w:cs="Arial" w:eastAsia="Arial" w:hAnsi="Arial"/>
                <w:sz w:val="16"/>
                <w:szCs w:val="16"/>
                <w:b w:val="1"/>
                <w:bCs w:val="1"/>
                <w:color w:val="auto"/>
              </w:rPr>
              <w:t>June 30,</w:t>
            </w:r>
          </w:p>
        </w:tc>
      </w:tr>
      <w:tr>
        <w:trPr>
          <w:trHeight w:val="213"/>
        </w:trPr>
        <w:tc>
          <w:tcPr>
            <w:tcW w:w="58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168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51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540" w:type="dxa"/>
            <w:vAlign w:val="bottom"/>
          </w:tcPr>
          <w:p>
            <w:pPr>
              <w:jc w:val="right"/>
              <w:ind w:right="515"/>
              <w:spacing w:after="0"/>
              <w:rPr>
                <w:sz w:val="20"/>
                <w:szCs w:val="20"/>
                <w:color w:val="auto"/>
              </w:rPr>
            </w:pPr>
            <w:r>
              <w:rPr>
                <w:rFonts w:ascii="Arial" w:cs="Arial" w:eastAsia="Arial" w:hAnsi="Arial"/>
                <w:sz w:val="16"/>
                <w:szCs w:val="16"/>
                <w:b w:val="1"/>
                <w:bCs w:val="1"/>
                <w:color w:val="auto"/>
              </w:rPr>
              <w:t>2020</w:t>
            </w:r>
          </w:p>
        </w:tc>
      </w:tr>
      <w:tr>
        <w:trPr>
          <w:trHeight w:val="226"/>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Exclusive Networks Group (“Exclusive”)</w:t>
            </w:r>
          </w:p>
        </w:tc>
        <w:tc>
          <w:tcPr>
            <w:tcW w:w="114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31 %</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Ingram Micro, Inc. (“Ingram Micro”)</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12 %</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Represents less than 10%</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distributors accounted for 10% or more of net accounts receivable:</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1160" w:type="dxa"/>
            <w:vAlign w:val="bottom"/>
          </w:tcPr>
          <w:p>
            <w:pPr>
              <w:jc w:val="center"/>
              <w:ind w:left="379"/>
              <w:spacing w:after="0"/>
              <w:rPr>
                <w:sz w:val="20"/>
                <w:szCs w:val="20"/>
                <w:color w:val="auto"/>
              </w:rPr>
            </w:pPr>
            <w:r>
              <w:rPr>
                <w:rFonts w:ascii="Arial" w:cs="Arial" w:eastAsia="Arial" w:hAnsi="Arial"/>
                <w:sz w:val="16"/>
                <w:szCs w:val="16"/>
                <w:b w:val="1"/>
                <w:bCs w:val="1"/>
                <w:color w:val="auto"/>
                <w:w w:val="90"/>
              </w:rPr>
              <w:t>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275"/>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89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ind w:right="575"/>
              <w:spacing w:after="0"/>
              <w:rPr>
                <w:sz w:val="20"/>
                <w:szCs w:val="20"/>
                <w:color w:val="auto"/>
              </w:rPr>
            </w:pPr>
            <w:r>
              <w:rPr>
                <w:rFonts w:ascii="Arial" w:cs="Arial" w:eastAsia="Arial" w:hAnsi="Arial"/>
                <w:sz w:val="16"/>
                <w:szCs w:val="16"/>
                <w:b w:val="1"/>
                <w:bCs w:val="1"/>
                <w:color w:val="auto"/>
              </w:rPr>
              <w:t>2020</w:t>
            </w:r>
          </w:p>
        </w:tc>
      </w:tr>
      <w:tr>
        <w:trPr>
          <w:trHeight w:val="226"/>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Exclusive</w:t>
            </w:r>
          </w:p>
        </w:tc>
        <w:tc>
          <w:tcPr>
            <w:tcW w:w="11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Ingram Micro</w:t>
            </w:r>
          </w:p>
        </w:tc>
        <w:tc>
          <w:tcPr>
            <w:tcW w:w="48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Linksys</w:t>
      </w:r>
    </w:p>
    <w:p>
      <w:pPr>
        <w:spacing w:after="0" w:line="25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As discussed in Note 7, on March 19, 2021 we invested $75.0 million in Linksys. On August 2, 2021, we entered into a share purchase agreement with Linksys (the “Share Purchase Agreement”), whereby we would invest an additional $85.0 million in Linksys (the “Second Tranche Investment”), subject to certain closing conditions. Following the closing of the Second Tranche Investment, we are expected to own 50.8% of the issued and outstanding capital stock of Linksys. We are evaluating the future accounting impact of this additional investment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211" w:lineRule="exact"/>
        <w:rPr>
          <w:sz w:val="20"/>
          <w:szCs w:val="20"/>
          <w:color w:val="auto"/>
        </w:rPr>
      </w:pPr>
    </w:p>
    <w:p>
      <w:pPr>
        <w:ind w:left="1300" w:right="40" w:hanging="644"/>
        <w:spacing w:after="0" w:line="277" w:lineRule="auto"/>
        <w:tabs>
          <w:tab w:leader="none" w:pos="129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the duration and impact of the COVID-19 pandemic, including various COVID-19 variants, and the implementation of “return to office” plans;</w:t>
      </w:r>
    </w:p>
    <w:p>
      <w:pPr>
        <w:spacing w:after="0" w:line="197"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52" w:lineRule="exact"/>
        <w:rPr>
          <w:rFonts w:ascii="Arial" w:cs="Arial" w:eastAsia="Arial" w:hAnsi="Arial"/>
          <w:sz w:val="18"/>
          <w:szCs w:val="18"/>
          <w:i w:val="1"/>
          <w:iCs w:val="1"/>
          <w:color w:val="auto"/>
        </w:rPr>
      </w:pPr>
    </w:p>
    <w:p>
      <w:pPr>
        <w:ind w:left="1300" w:right="460" w:hanging="644"/>
        <w:spacing w:after="0" w:line="277" w:lineRule="auto"/>
        <w:tabs>
          <w:tab w:leader="none" w:pos="129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macro-economic, geopolitical factors and other disruption on our manufacturing or sales, including the impact of the COVID-19 pandemic and other public health issues and natural disasters;</w:t>
      </w:r>
    </w:p>
    <w:p>
      <w:pPr>
        <w:spacing w:after="0" w:line="197" w:lineRule="exact"/>
        <w:rPr>
          <w:rFonts w:ascii="Arial" w:cs="Arial" w:eastAsia="Arial" w:hAnsi="Arial"/>
          <w:sz w:val="18"/>
          <w:szCs w:val="18"/>
          <w:i w:val="1"/>
          <w:iCs w:val="1"/>
          <w:color w:val="auto"/>
        </w:rPr>
      </w:pPr>
    </w:p>
    <w:p>
      <w:pPr>
        <w:ind w:left="1300" w:hanging="644"/>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 and the mix of billings between products and services, and the duration of service contracts;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effects of government regulation, tariffs and other policies;</w:t>
      </w:r>
    </w:p>
    <w:p>
      <w:pPr>
        <w:spacing w:after="0" w:line="252" w:lineRule="exact"/>
        <w:rPr>
          <w:rFonts w:ascii="Arial" w:cs="Arial" w:eastAsia="Arial" w:hAnsi="Arial"/>
          <w:sz w:val="18"/>
          <w:szCs w:val="18"/>
          <w:color w:val="auto"/>
        </w:rPr>
      </w:pPr>
    </w:p>
    <w:p>
      <w:pPr>
        <w:ind w:left="1300" w:right="940" w:hanging="644"/>
        <w:spacing w:after="0" w:line="277" w:lineRule="auto"/>
        <w:tabs>
          <w:tab w:leader="none" w:pos="129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the global chip and component shortages and other factors affecting our manufacturing capacity and inventory management;</w:t>
      </w:r>
    </w:p>
    <w:p>
      <w:pPr>
        <w:spacing w:after="0" w:line="197" w:lineRule="exact"/>
        <w:rPr>
          <w:rFonts w:ascii="Arial" w:cs="Arial" w:eastAsia="Arial" w:hAnsi="Arial"/>
          <w:sz w:val="18"/>
          <w:szCs w:val="18"/>
          <w:i w:val="1"/>
          <w:iCs w:val="1"/>
          <w:color w:val="auto"/>
        </w:rPr>
      </w:pPr>
    </w:p>
    <w:p>
      <w:pPr>
        <w:ind w:left="1300" w:right="560" w:hanging="644"/>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sales productivity, functionality and value in our subscription service offerings;</w:t>
      </w:r>
    </w:p>
    <w:p>
      <w:pPr>
        <w:spacing w:after="0" w:line="197" w:lineRule="exact"/>
        <w:rPr>
          <w:rFonts w:ascii="Arial" w:cs="Arial" w:eastAsia="Arial" w:hAnsi="Arial"/>
          <w:sz w:val="18"/>
          <w:szCs w:val="18"/>
          <w:color w:val="auto"/>
        </w:rPr>
      </w:pPr>
    </w:p>
    <w:p>
      <w:pPr>
        <w:ind w:left="1300" w:right="60" w:hanging="644"/>
        <w:spacing w:after="0" w:line="259"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growing our sales to businesses, service providers and government organizations, our ability to execute these sales and of the complexity of selling to all segments (including the increased competition and unpredictability of timing associated with sales to larger enterprises), the impact of sales to these organizations on our long-term growth, expansion and operating results, and the effectiveness of our sales organization;</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hire properly qualified and effective sales, support and engineering employees;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trends in revenue, cost of revenue and gross margin;</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w:t>
      </w:r>
    </w:p>
    <w:p>
      <w:pPr>
        <w:spacing w:after="0" w:line="197" w:lineRule="exact"/>
        <w:rPr>
          <w:rFonts w:ascii="Arial" w:cs="Arial" w:eastAsia="Arial" w:hAnsi="Arial"/>
          <w:sz w:val="18"/>
          <w:szCs w:val="18"/>
          <w:color w:val="auto"/>
        </w:rPr>
      </w:pPr>
    </w:p>
    <w:p>
      <w:pPr>
        <w:ind w:left="1300" w:right="180" w:hanging="644"/>
        <w:spacing w:after="0" w:line="263" w:lineRule="auto"/>
        <w:tabs>
          <w:tab w:leader="none" w:pos="129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risks and expectations related to acquisitions and equity interests in private companies, including integration issues related to product plans and products, including the acquired technology, and risks of negative impact by such acquisitions and equity investments on our financial results;</w:t>
      </w:r>
    </w:p>
    <w:p>
      <w:pPr>
        <w:spacing w:after="0" w:line="21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our operating expense will increase in absolute dollars during 2021;</w:t>
      </w:r>
    </w:p>
    <w:p>
      <w:pPr>
        <w:spacing w:after="0" w:line="252" w:lineRule="exact"/>
        <w:rPr>
          <w:rFonts w:ascii="Arial" w:cs="Arial" w:eastAsia="Arial" w:hAnsi="Arial"/>
          <w:sz w:val="18"/>
          <w:szCs w:val="18"/>
          <w:i w:val="1"/>
          <w:iCs w:val="1"/>
          <w:color w:val="auto"/>
        </w:rPr>
      </w:pPr>
    </w:p>
    <w:p>
      <w:pPr>
        <w:ind w:left="1300" w:right="80" w:hanging="644"/>
        <w:spacing w:after="0" w:line="277" w:lineRule="auto"/>
        <w:tabs>
          <w:tab w:leader="none" w:pos="129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proceeds from the exercise of stock options in future years will be adversely impacted by the increased mix of restricted stock units versus stock options granted;</w:t>
      </w:r>
    </w:p>
    <w:p>
      <w:pPr>
        <w:spacing w:after="0" w:line="197" w:lineRule="exact"/>
        <w:rPr>
          <w:rFonts w:ascii="Arial" w:cs="Arial" w:eastAsia="Arial" w:hAnsi="Arial"/>
          <w:sz w:val="18"/>
          <w:szCs w:val="18"/>
          <w:i w:val="1"/>
          <w:iCs w:val="1"/>
          <w:color w:val="auto"/>
        </w:rPr>
      </w:pPr>
    </w:p>
    <w:p>
      <w:pPr>
        <w:ind w:left="1300" w:right="260" w:hanging="644"/>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domestic and global tax rates, and the impact of the Tax Cuts and Jobs Act (the “2017 Tax Act</w:t>
      </w:r>
      <w:r>
        <w:rPr>
          <w:rFonts w:ascii="Arial" w:cs="Arial" w:eastAsia="Arial" w:hAnsi="Arial"/>
          <w:sz w:val="18"/>
          <w:szCs w:val="18"/>
          <w:color w:val="auto"/>
        </w:rPr>
        <w:t>”)</w:t>
      </w:r>
      <w:r>
        <w:rPr>
          <w:rFonts w:ascii="Arial" w:cs="Arial" w:eastAsia="Arial" w:hAnsi="Arial"/>
          <w:sz w:val="18"/>
          <w:szCs w:val="18"/>
          <w:i w:val="1"/>
          <w:iCs w:val="1"/>
          <w:color w:val="auto"/>
        </w:rPr>
        <w:t xml:space="preserve"> and the Coronavirus Aid, Relief, and Economic Security Act (the “CARES Act”);</w:t>
      </w: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real estate and other capital expenditures and to the impact on free cash flows;</w:t>
      </w:r>
    </w:p>
    <w:p>
      <w:pPr>
        <w:spacing w:after="0" w:line="252" w:lineRule="exact"/>
        <w:rPr>
          <w:rFonts w:ascii="Arial" w:cs="Arial" w:eastAsia="Arial" w:hAnsi="Arial"/>
          <w:sz w:val="18"/>
          <w:szCs w:val="18"/>
          <w:i w:val="1"/>
          <w:iCs w:val="1"/>
          <w:color w:val="auto"/>
        </w:rPr>
      </w:pPr>
    </w:p>
    <w:p>
      <w:pPr>
        <w:ind w:left="1300" w:right="240" w:hanging="644"/>
        <w:spacing w:after="0" w:line="277" w:lineRule="auto"/>
        <w:tabs>
          <w:tab w:leader="none" w:pos="1295"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estimates of a range of 2021 spending on real estate and other expansion projects and of the anticipated completion timelines for such projects;</w:t>
      </w:r>
    </w:p>
    <w:p>
      <w:pPr>
        <w:spacing w:after="0" w:line="197"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statements regarding expected outcomes and liabilities in litigation;</w:t>
      </w:r>
    </w:p>
    <w:p>
      <w:pPr>
        <w:spacing w:after="0" w:line="252" w:lineRule="exact"/>
        <w:rPr>
          <w:rFonts w:ascii="Arial" w:cs="Arial" w:eastAsia="Arial" w:hAnsi="Arial"/>
          <w:sz w:val="18"/>
          <w:szCs w:val="18"/>
          <w:color w:val="auto"/>
        </w:rPr>
      </w:pPr>
    </w:p>
    <w:p>
      <w:pPr>
        <w:ind w:left="1300" w:right="240" w:hanging="644"/>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our intentions regarding share repurchases and the sufficiency of our existing cash, cash equivalents and investments to meet our cash needs, including our debt servicing requirements, for at least the next 12 months;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adoption and impact of new accounting standards.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Securities and Exchange Commission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52" w:lineRule="exact"/>
        <w:rPr>
          <w:sz w:val="20"/>
          <w:szCs w:val="20"/>
          <w:color w:val="auto"/>
        </w:rPr>
      </w:pPr>
    </w:p>
    <w:p>
      <w:pPr>
        <w:ind w:right="340" w:firstLine="648"/>
        <w:spacing w:after="0" w:line="254" w:lineRule="auto"/>
        <w:rPr>
          <w:sz w:val="20"/>
          <w:szCs w:val="20"/>
          <w:color w:val="auto"/>
        </w:rPr>
      </w:pPr>
      <w:r>
        <w:rPr>
          <w:rFonts w:ascii="Arial" w:cs="Arial" w:eastAsia="Arial" w:hAnsi="Arial"/>
          <w:sz w:val="18"/>
          <w:szCs w:val="18"/>
          <w:color w:val="auto"/>
        </w:rPr>
        <w:t>Fortinet is a global leader in cybersecurity solutions provided to a wide variety of organizations, including enterprises, communication service providers and security service providers, government organizations and small businesses. Our cybersecurity solutions are designed to provide broad visibility and segmentation of the digital attack surface through our integrated Fortinet Security Fabric platform, which features automated protection, detection and response. The Fortinet Security Fabric platform leverages a common operating system or integration to this operating system across our product offerings and helps organizations secure their environments and reduce their security and network complexities. The Fortinet Security Fabric platform has an open architecture designed to connect Fortinet solutions and third-party solutions into a single ecosystem, enabling integration and automation.</w:t>
      </w:r>
    </w:p>
    <w:p>
      <w:pPr>
        <w:spacing w:after="0" w:line="222"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Our product offerings consist of our FortiGate network security products and our non-FortiGate products. Our FortiGate hardware and software licenses are sold with a set of security services in addition to networking features. Our security services are enabled by FortiGuard Labs, which provides threat research and artificial intelligence capabilities from a cloud network to deliver protection services to each FortiGate appliance and virtual machine and each non-FortiGate product that is registered by the end-customer.</w:t>
      </w:r>
    </w:p>
    <w:p>
      <w:pPr>
        <w:spacing w:after="0" w:line="214"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Our FortiOS operating system, associated security and networking functions, and products that run or are integrated with FortiOS are combined to form the Fortinet Security Fabric platform. This approach to security ties discrete security solutions together into an integrated whole that provides centralized management and visibility, automation and intelligence sharing to simplify network and security operations and rapid response to threats.</w:t>
      </w:r>
    </w:p>
    <w:p>
      <w:pPr>
        <w:spacing w:after="0" w:line="176"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Our proprietary Security Processing Units (“SPUs”) are Application-Specific Integrated Circuits that are designed to enhance the security processing capabilities implemented in software by accelerating computationally intensive tasks such as firewall policy enforcement, software-defined wide-area network (“SD-WAN”), network address translation, Intrusion Prevention Systems (“IPS”), threat detection and encryption.</w:t>
      </w:r>
    </w:p>
    <w:p>
      <w:pPr>
        <w:spacing w:after="0" w:line="17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FortiOS provides the foundation for the operation of all FortiGate network security appliances, whether physical, virtual, private- or public-cloud based, and is at the heart of the Fortinet Security Fabric platform. We make regular updates to FortiOS available through our FortiCare support services. The security and networking capabilities of the Fortinet Security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Fabric platform are controlled through FortiOS. FortiOS directs the operations of processors and SPUs and provides system management functions.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focus areas of our business consist of:</w:t>
      </w:r>
    </w:p>
    <w:p>
      <w:pPr>
        <w:spacing w:after="0" w:line="252" w:lineRule="exact"/>
        <w:rPr>
          <w:sz w:val="20"/>
          <w:szCs w:val="20"/>
          <w:color w:val="auto"/>
        </w:rPr>
      </w:pPr>
    </w:p>
    <w:p>
      <w:pPr>
        <w:ind w:left="660" w:hanging="328"/>
        <w:spacing w:after="0" w:line="23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Security-Driven Networking</w:t>
      </w:r>
      <w:r>
        <w:rPr>
          <w:rFonts w:ascii="Arial" w:cs="Arial" w:eastAsia="Arial" w:hAnsi="Arial"/>
          <w:sz w:val="18"/>
          <w:szCs w:val="18"/>
          <w:color w:val="auto"/>
        </w:rPr>
        <w:t>—We derive a majority of product sales from our FortiGate network security appliances. Our FortiGate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appliances include a broad set of built-in security and networking features and functionalities, including firewall, next-generation firewall, secure web gateway, secure sockets layer (“SSL”) inspection, software-defined wide area network (“SD-WAN”), Intrusion Prevention system (“IPS”), sandboxing, data leak prevention, virtual private network (“VPN”), switch and wireless controller and wide area network (“WAN”) edge. Our network security appliances are managed by our FortiOS network operating system, which provides the foundation for FortiGate security functions. We enhance the performance of our network security appliances from branch to data center by designing and implementing Security Processing Units (“SPUs”) technology within our appliances, enabling us to add security and network functionality with minimal impact to network throughput performance.</w:t>
      </w:r>
    </w:p>
    <w:p>
      <w:pPr>
        <w:spacing w:after="0" w:line="207" w:lineRule="exact"/>
        <w:rPr>
          <w:rFonts w:ascii="Arial" w:cs="Arial" w:eastAsia="Arial" w:hAnsi="Arial"/>
          <w:sz w:val="18"/>
          <w:szCs w:val="18"/>
          <w:color w:val="auto"/>
        </w:rPr>
      </w:pPr>
    </w:p>
    <w:p>
      <w:pPr>
        <w:ind w:left="660" w:right="20" w:hanging="328"/>
        <w:spacing w:after="0" w:line="255"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Infrastructure Security</w:t>
      </w:r>
      <w:r>
        <w:rPr>
          <w:rFonts w:ascii="Arial" w:cs="Arial" w:eastAsia="Arial" w:hAnsi="Arial"/>
          <w:sz w:val="17"/>
          <w:szCs w:val="17"/>
          <w:color w:val="auto"/>
        </w:rPr>
        <w:t>—The Fortinet Security Fabric platform extends beyond the network to cover other attack vectors. This includes securing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LAN Edge (Wi-Fi and switch) and enabling and protecting customer cloud on-ramp needs through FortiSASE, our Secure Access Service Edge (SASE) solution that provides cloud-delivered security for remote users. Other infrastructure solutions covered include, Zero Trust Access solutions that enable customers to know and control who and what is on their network, and provide security for work from anywhere (WFA). Zero Trust Access solutions include FortiNAC, FortiAuthenticator, FortiClient and FortiToken.</w:t>
      </w:r>
    </w:p>
    <w:p>
      <w:pPr>
        <w:spacing w:after="0" w:line="203" w:lineRule="exact"/>
        <w:rPr>
          <w:rFonts w:ascii="Arial" w:cs="Arial" w:eastAsia="Arial" w:hAnsi="Arial"/>
          <w:sz w:val="17"/>
          <w:szCs w:val="17"/>
          <w:color w:val="auto"/>
        </w:rPr>
      </w:pPr>
    </w:p>
    <w:p>
      <w:pPr>
        <w:ind w:left="660" w:right="40" w:hanging="328"/>
        <w:spacing w:after="0" w:line="253"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Adaptive Cloud Security</w:t>
      </w:r>
      <w:r>
        <w:rPr>
          <w:rFonts w:ascii="Arial" w:cs="Arial" w:eastAsia="Arial" w:hAnsi="Arial"/>
          <w:sz w:val="17"/>
          <w:szCs w:val="17"/>
          <w:color w:val="auto"/>
        </w:rPr>
        <w:t>—We help customers connect securely to and across their individual, hybrid and multi-cloud environments by offering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security through our virtual firewall and other software products and through integrated capabilities with major cloud platforms. Our public and private cloud security solutions, including virtual appliances and hosted solutions, extend the core capabilities of the Fortinet Security Fabric platform in and across cloud environments, delivering security that follows their applications and data. Our Secure SD-WAN for Multi-Cloud solution automates deployment of an overlay network across different cloud networks and offers visibility, control and centralized management that integrates functionality across multiple cloud environments. Our Cloud Security portfolio also includes securing applications, including email and web. Fortinet cloud security offerings are available for deployment in major public and private cloud environments, including Amazon Web Services, Microsoft Azure, Google Cloud, Oracle Cloud, Alibaba Cloud, IBM Cloud and VMWare Cloud. We also offer managed IPS and web application firewall (“WAF”) rules delivered by FortiGuard Labs as an overlay service to native security offerings offered by Amazon Web Services.</w:t>
      </w:r>
    </w:p>
    <w:p>
      <w:pPr>
        <w:spacing w:after="0" w:line="207" w:lineRule="exact"/>
        <w:rPr>
          <w:rFonts w:ascii="Arial" w:cs="Arial" w:eastAsia="Arial" w:hAnsi="Arial"/>
          <w:sz w:val="17"/>
          <w:szCs w:val="17"/>
          <w:color w:val="auto"/>
        </w:rPr>
      </w:pPr>
    </w:p>
    <w:p>
      <w:pPr>
        <w:ind w:left="660" w:right="40" w:hanging="328"/>
        <w:spacing w:after="0" w:line="25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Endpoint Protection, Internet of Things (“IoT”) and Operational Technology (“OT”) Security</w:t>
      </w:r>
      <w:r>
        <w:rPr>
          <w:rFonts w:ascii="Arial" w:cs="Arial" w:eastAsia="Arial" w:hAnsi="Arial"/>
          <w:sz w:val="18"/>
          <w:szCs w:val="18"/>
          <w:color w:val="auto"/>
        </w:rPr>
        <w:t>—We protect end-customers from advanced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threats that target their devices and the data that reside on them through our advanced endpoint solutions that provide core endpoint protection, advanced threat protection, incident monitoring, and response. Additionally, the proliferation of IoT and OT devices has generated new opportunities for us to grow our business. We offer network access control solutions that provide visibility, control and automated event responses in order to secure IoT devices.</w:t>
      </w:r>
    </w:p>
    <w:p>
      <w:pPr>
        <w:spacing w:after="0" w:line="214" w:lineRule="exact"/>
        <w:rPr>
          <w:rFonts w:ascii="Arial" w:cs="Arial" w:eastAsia="Arial" w:hAnsi="Arial"/>
          <w:sz w:val="18"/>
          <w:szCs w:val="18"/>
          <w:color w:val="auto"/>
        </w:rPr>
      </w:pPr>
    </w:p>
    <w:p>
      <w:pPr>
        <w:ind w:left="660" w:right="20" w:hanging="328"/>
        <w:spacing w:after="0" w:line="294"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AI-Driven Security Operations</w:t>
      </w:r>
      <w:r>
        <w:rPr>
          <w:rFonts w:ascii="Arial" w:cs="Arial" w:eastAsia="Arial" w:hAnsi="Arial"/>
          <w:sz w:val="16"/>
          <w:szCs w:val="16"/>
          <w:color w:val="auto"/>
        </w:rPr>
        <w:t>—We develop and provide Artificial Intelligence (“AI”) driven security operations solutions, including FortiGuard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other security subscription services, endpoint detection and response, and our security orchestration, automation and response (“SOAR”) capabilities and solutions, that can be applied across the entire Fortinet Security Fabric platform. These solutions deliver intelligence and insights.</w:t>
      </w:r>
    </w:p>
    <w:p>
      <w:pPr>
        <w:spacing w:after="0" w:line="17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addition to our security solutions, our customers may purchase FortiGuard and other security subscription services to receive threat intelligence updates and protection updates delivered by FortiGuard Labs, FortiCare technical support services and the support of Technical Account Managers, Resident Engineers and professional service consultants for implementations or training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Correction of Prior Period Financial Data</w:t>
      </w:r>
    </w:p>
    <w:p>
      <w:pPr>
        <w:spacing w:after="0" w:line="252" w:lineRule="exact"/>
        <w:rPr>
          <w:sz w:val="20"/>
          <w:szCs w:val="20"/>
          <w:color w:val="auto"/>
        </w:rPr>
      </w:pPr>
    </w:p>
    <w:p>
      <w:pPr>
        <w:jc w:val="both"/>
        <w:ind w:right="60" w:firstLine="648"/>
        <w:spacing w:after="0" w:line="248" w:lineRule="auto"/>
        <w:rPr>
          <w:sz w:val="20"/>
          <w:szCs w:val="20"/>
          <w:color w:val="auto"/>
        </w:rPr>
      </w:pPr>
      <w:r>
        <w:rPr>
          <w:rFonts w:ascii="Arial" w:cs="Arial" w:eastAsia="Arial" w:hAnsi="Arial"/>
          <w:sz w:val="18"/>
          <w:szCs w:val="18"/>
          <w:color w:val="auto"/>
        </w:rPr>
        <w:t>As discussed in Note 2 of the notes to condensed consolidated financial statements included in Part I, Item 1 of this Quarterly Report on Form 10-Q, we identified an immaterial error related to the commencement of revenue recognition for certain FortiCare support service contracts, which resulted in an understatement of revenue during the three and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correction of this error resulted in an increase to service revenue, gross profit and operating income of $2.1 million and $2.9 million for the three and six months ended June 30, 2020, respectively. Net income increased by $1.7 million and $2.3 million for the three months and six months ended June 30, 2020, respectively.</w:t>
      </w:r>
    </w:p>
    <w:p>
      <w:pPr>
        <w:spacing w:after="0" w:line="211"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We evaluated the effect of this correction on the previous results of operations and determined that it did not materially impact any trends previously disclosed. This correction did not impact net cash provided by operating activities, billings or free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52" w:lineRule="exact"/>
        <w:rPr>
          <w:sz w:val="20"/>
          <w:szCs w:val="20"/>
          <w:color w:val="auto"/>
        </w:rPr>
      </w:pPr>
    </w:p>
    <w:p>
      <w:pPr>
        <w:ind w:left="660" w:right="20" w:hanging="328"/>
        <w:spacing w:after="0" w:line="275"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Total revenue was $801.1 million and $1.51 billion during the three and six months ended June 30, 2021, an increase of 30% and 26%, respectively, compared to $617.6 million and $1.20 billion in the same periods last year. Product revenue was $298.3 million and $539.0 million during the three and six months ended June 30, 2021, an increase of 41% and 33%, respectively, compared to $211.9 million and $404.2 million in the same periods last year. Service revenue was $502.8 million and $972.4 million during the three and six months ended June 30, 2021, an increase of 24% and 23%, respectively, compared to $405.7 million and $791.1 million in the same periods last year.</w:t>
      </w:r>
    </w:p>
    <w:p>
      <w:pPr>
        <w:spacing w:after="0" w:line="203" w:lineRule="exact"/>
        <w:rPr>
          <w:rFonts w:ascii="Arial" w:cs="Arial" w:eastAsia="Arial" w:hAnsi="Arial"/>
          <w:sz w:val="17"/>
          <w:szCs w:val="17"/>
          <w:color w:val="auto"/>
        </w:rPr>
      </w:pPr>
    </w:p>
    <w:p>
      <w:pPr>
        <w:ind w:left="660" w:right="6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gross profit was $614.2 million and $1.17 billion during the three and six months ended June 30, 2021, an increase of 27% and 25%, respectively, compared to $482.5 million and $931.5 million in the same periods last year.</w:t>
      </w:r>
    </w:p>
    <w:p>
      <w:pPr>
        <w:spacing w:after="0" w:line="197" w:lineRule="exact"/>
        <w:rPr>
          <w:rFonts w:ascii="Arial" w:cs="Arial" w:eastAsia="Arial" w:hAnsi="Arial"/>
          <w:sz w:val="18"/>
          <w:szCs w:val="18"/>
          <w:color w:val="auto"/>
        </w:rPr>
      </w:pPr>
    </w:p>
    <w:p>
      <w:pPr>
        <w:jc w:val="both"/>
        <w:ind w:left="660" w:right="280" w:hanging="328"/>
        <w:spacing w:after="0" w:line="25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generated operating income of $147.5 million and $269.1 million during the three and six months ended June 30, 2021, an increase of 24% and 14%, respectively, compared to $118.8 million and $235.5 million in the same periods last year. Operating income during the three months ended June 30, 2021 and 2020 included gains on an intellectual property (“IP”) matter of $1.2 million and $1.1 million, respectively. Operating income during the six ended June 30, 2021 and 2020 included gains on an intellectual property (“IP”) matter of $2.3 million and $37.9 million, respectively.</w:t>
      </w:r>
    </w:p>
    <w:p>
      <w:pPr>
        <w:spacing w:after="0" w:line="21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cash equivalents and investments were $3.36 billion as of June 30, 2021.</w:t>
      </w:r>
    </w:p>
    <w:p>
      <w:pPr>
        <w:spacing w:after="0" w:line="252"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six months ended June 30, 2021, we repurchased 0.5 million shares of common stock under our Share Repurchase Program (the “Repurchase Program”), for a total purchase price of $91.6 million.</w:t>
      </w:r>
    </w:p>
    <w:p>
      <w:pPr>
        <w:spacing w:after="0" w:line="19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March 2021, we issued $1.0 billion of Senior Notes. Long-term debt, net of unamortized discount and debt issuance costs, was $987.5 million as of June 30, 2021. There was no such debt outstanding at December 31, 2020.</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Deferred revenue was $2.91 billion as of June 30, 2021, an increase of $300.1 million, or 12%, from December 31, 2020. Short-term deferred revenue was $1.53 billion as of June 30, 2021, an increase of $140.2 million, or 10%, from December 31, 2020.</w:t>
      </w:r>
    </w:p>
    <w:p>
      <w:pPr>
        <w:spacing w:after="0" w:line="197" w:lineRule="exact"/>
        <w:rPr>
          <w:rFonts w:ascii="Arial" w:cs="Arial" w:eastAsia="Arial" w:hAnsi="Arial"/>
          <w:sz w:val="18"/>
          <w:szCs w:val="18"/>
          <w:color w:val="auto"/>
        </w:rPr>
      </w:pPr>
    </w:p>
    <w:p>
      <w:pPr>
        <w:ind w:left="660" w:right="120" w:hanging="328"/>
        <w:spacing w:after="0" w:line="342"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generated cash flows from operating activities of $734.1 million during the six months ended June 30, 2021, an increase of $167.7 million, or 30%, compared to the same period last year. We generated $50.0 million of proceeds from an IP matter in the first quarter of 2020.</w:t>
      </w:r>
    </w:p>
    <w:p>
      <w:pPr>
        <w:spacing w:after="0" w:line="151"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revenue growth was driven by both product and service revenue. On a geographic basis, revenue continues to be diversified, which remains a key strength of our business. During the three months ended June 30, 2021, the Americas region, the Europe, Middle East and Africa (“EMEA”) region and the Asia Pacific (“APAC”) region contributed 42%, 38% and 20% of our total revenue, respectively, and increased by 29%, 34% and 24% compared to the same periods last year, respectively. During the six months ended June 30, 2021, the Americas region, the EMEA region and the APAC region contributed 41%, 39% and 20% of our total revenue, respectively, and increased by 25%, 29% and 25% compared to the same periods last year, respectively.</w:t>
      </w:r>
    </w:p>
    <w:p>
      <w:pPr>
        <w:spacing w:after="0" w:line="175"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Product revenue grew 41% and 33% during the three and six months ended June 30, 2021, respectively, compared to the same period last year. Product revenue growth was consistent with an elevated cyber threat landscape. FortiGate products accounted for more than half of the product revenue growth during the three months ended June 30, 2021. While Secure SD-WAN contributed to product revenue growth, the main driver was the strong demand for the wide range of other operating system capabilities embedded in the FortiGate products. We experienced strong revenue growth across many of our security fabric platform products, including our OT solutions, secure access products and software licenses. Service revenue growth of 24% and 23% during the three and six months ended June 30, 2021, respectively, compared to the same periods last year, was driven by the strength of our FortiCare technical support and other service revenue which grew 26% and 24%, respectively, and of FortiGuard and other security subscription revenue, which grew 23% and 22%, respectively.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billings were diversified on a geographic basis. During the three months ended June 30, 2021, approximately 50% of our billings in the aggregate were from over 80 countries that individually contributed less than 3% of our billings.</w:t>
      </w:r>
    </w:p>
    <w:p>
      <w:pPr>
        <w:spacing w:after="0" w:line="197"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During the three months ended June 30, 2021 and 2020, we recognized gains of $1.2 million and $1.1 million, respectively, on an IP matter in connection with a mutual covenant-not-to-sue and release agreement with a competitor in the network security industry. Excluding the gains on the IP matter in the second quarter of 2020 and 2021, operating expenses as a percentage of revenue stayed flat during the three months ended June 30, 2021 compared to the same period last year. During the six months ended June 30, 2021 and 2020, we recognized gains of $2.3 million and $37.9 million, respectively, on an IP matter in connection with a mutual covenant-not-to-sue and release agreement with a competitor in the network security industry. Excluding the gains on the IP matter in the first and second quarter of 2020 and 2021, operating expenses as a percentage of revenue decreased by 0.8 percentage points during the six months ended June 30, 2021 compared to the same period last year. Headcount increased to 9,043 employees and contractors as of June 30, 2021, a 5% increase compared to 8,615 as of March 31, 2021 and a 10% increase compared to 8,238 as of December 31,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Update</w:t>
      </w:r>
    </w:p>
    <w:p>
      <w:pPr>
        <w:spacing w:after="0" w:line="239" w:lineRule="exact"/>
        <w:rPr>
          <w:sz w:val="20"/>
          <w:szCs w:val="20"/>
          <w:color w:val="auto"/>
        </w:rPr>
      </w:pPr>
    </w:p>
    <w:p>
      <w:pPr>
        <w:ind w:right="60" w:firstLine="405"/>
        <w:spacing w:after="0" w:line="228" w:lineRule="auto"/>
        <w:rPr>
          <w:sz w:val="20"/>
          <w:szCs w:val="20"/>
          <w:color w:val="auto"/>
        </w:rPr>
      </w:pPr>
      <w:r>
        <w:rPr>
          <w:rFonts w:ascii="Arial" w:cs="Arial" w:eastAsia="Arial" w:hAnsi="Arial"/>
          <w:sz w:val="18"/>
          <w:szCs w:val="18"/>
          <w:color w:val="212529"/>
        </w:rPr>
        <w:t>The United States and the global community we serve are facing unprecedented challenges posed by the COVID-19 pandemic, including the various COVID-19 variants. In response to the pandemic, we undertook a number of actions to protect our employees, including restricting travel and directing many of our employees to work from home. In certain geographies, we have started to t</w:t>
      </w:r>
      <w:r>
        <w:rPr>
          <w:rFonts w:ascii="Arial" w:cs="Arial" w:eastAsia="Arial" w:hAnsi="Arial"/>
          <w:sz w:val="18"/>
          <w:szCs w:val="18"/>
          <w:color w:val="000000"/>
        </w:rPr>
        <w:t>ransition back to an in-person working mode,</w:t>
      </w:r>
      <w:r>
        <w:rPr>
          <w:rFonts w:ascii="Arial" w:cs="Arial" w:eastAsia="Arial" w:hAnsi="Arial"/>
          <w:sz w:val="18"/>
          <w:szCs w:val="18"/>
          <w:color w:val="212529"/>
        </w:rPr>
        <w:t xml:space="preserve"> allowing more employees to work from our offices. We intend to continue to monitor and abide by l</w:t>
      </w:r>
      <w:r>
        <w:rPr>
          <w:rFonts w:ascii="Arial" w:cs="Arial" w:eastAsia="Arial" w:hAnsi="Arial"/>
          <w:sz w:val="18"/>
          <w:szCs w:val="18"/>
          <w:color w:val="000000"/>
        </w:rPr>
        <w:t>ocal employee health and safety protocols and other regulations as</w:t>
      </w:r>
      <w:r>
        <w:rPr>
          <w:rFonts w:ascii="Arial" w:cs="Arial" w:eastAsia="Arial" w:hAnsi="Arial"/>
          <w:sz w:val="18"/>
          <w:szCs w:val="18"/>
          <w:color w:val="212529"/>
        </w:rPr>
        <w:t xml:space="preserve"> </w:t>
      </w:r>
      <w:r>
        <w:rPr>
          <w:rFonts w:ascii="Arial" w:cs="Arial" w:eastAsia="Arial" w:hAnsi="Arial"/>
          <w:sz w:val="18"/>
          <w:szCs w:val="18"/>
          <w:color w:val="000000"/>
        </w:rPr>
        <w:t>applicable to each local office.</w:t>
      </w:r>
    </w:p>
    <w:p>
      <w:pPr>
        <w:spacing w:after="0" w:line="21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212529"/>
        </w:rPr>
        <w:t xml:space="preserve">While the broader implications of the COVID-19 pandemic on our employees and overall financial performance continue to evolve, we have seen certain impacts on our business and operations, results of operations, financial condition, cash flows, liquidity and capital and financial resources as of and during the three and </w:t>
      </w:r>
      <w:r>
        <w:rPr>
          <w:rFonts w:ascii="Arial" w:cs="Arial" w:eastAsia="Arial" w:hAnsi="Arial"/>
          <w:sz w:val="18"/>
          <w:szCs w:val="18"/>
          <w:color w:val="000000"/>
        </w:rPr>
        <w:t>six</w:t>
      </w:r>
      <w:r>
        <w:rPr>
          <w:rFonts w:ascii="Arial" w:cs="Arial" w:eastAsia="Arial" w:hAnsi="Arial"/>
          <w:sz w:val="18"/>
          <w:szCs w:val="18"/>
          <w:color w:val="212529"/>
        </w:rPr>
        <w:t xml:space="preserve"> months ended </w:t>
      </w:r>
      <w:r>
        <w:rPr>
          <w:rFonts w:ascii="Arial" w:cs="Arial" w:eastAsia="Arial" w:hAnsi="Arial"/>
          <w:sz w:val="18"/>
          <w:szCs w:val="18"/>
          <w:color w:val="000000"/>
        </w:rPr>
        <w:t>June 30, 2021</w:t>
      </w:r>
      <w:r>
        <w:rPr>
          <w:rFonts w:ascii="Arial" w:cs="Arial" w:eastAsia="Arial" w:hAnsi="Arial"/>
          <w:sz w:val="18"/>
          <w:szCs w:val="18"/>
          <w:color w:val="212529"/>
        </w:rPr>
        <w:t xml:space="preserve">. Conversely, some aspects of our business do not appear to have been significantly affected. During the three and </w:t>
      </w:r>
      <w:r>
        <w:rPr>
          <w:rFonts w:ascii="Arial" w:cs="Arial" w:eastAsia="Arial" w:hAnsi="Arial"/>
          <w:sz w:val="18"/>
          <w:szCs w:val="18"/>
          <w:color w:val="000000"/>
        </w:rPr>
        <w:t>six</w:t>
      </w:r>
      <w:r>
        <w:rPr>
          <w:rFonts w:ascii="Arial" w:cs="Arial" w:eastAsia="Arial" w:hAnsi="Arial"/>
          <w:sz w:val="18"/>
          <w:szCs w:val="18"/>
          <w:color w:val="212529"/>
        </w:rPr>
        <w:t xml:space="preserve"> months ended </w:t>
      </w:r>
      <w:r>
        <w:rPr>
          <w:rFonts w:ascii="Arial" w:cs="Arial" w:eastAsia="Arial" w:hAnsi="Arial"/>
          <w:sz w:val="18"/>
          <w:szCs w:val="18"/>
          <w:color w:val="000000"/>
        </w:rPr>
        <w:t>June 30, 2021</w:t>
      </w:r>
      <w:r>
        <w:rPr>
          <w:rFonts w:ascii="Arial" w:cs="Arial" w:eastAsia="Arial" w:hAnsi="Arial"/>
          <w:sz w:val="18"/>
          <w:szCs w:val="18"/>
          <w:color w:val="212529"/>
        </w:rPr>
        <w:t>, we have observed the following:</w:t>
      </w:r>
    </w:p>
    <w:p>
      <w:pPr>
        <w:spacing w:after="0" w:line="200" w:lineRule="exact"/>
        <w:rPr>
          <w:sz w:val="20"/>
          <w:szCs w:val="20"/>
          <w:color w:val="auto"/>
        </w:rPr>
      </w:pPr>
    </w:p>
    <w:p>
      <w:pPr>
        <w:ind w:left="660" w:right="20" w:hanging="328"/>
        <w:spacing w:after="0" w:line="266" w:lineRule="auto"/>
        <w:tabs>
          <w:tab w:leader="none" w:pos="655" w:val="left"/>
        </w:tabs>
        <w:numPr>
          <w:ilvl w:val="0"/>
          <w:numId w:val="24"/>
        </w:numPr>
        <w:rPr>
          <w:rFonts w:ascii="Arial" w:cs="Arial" w:eastAsia="Arial" w:hAnsi="Arial"/>
          <w:sz w:val="16"/>
          <w:szCs w:val="16"/>
          <w:color w:val="212529"/>
        </w:rPr>
      </w:pPr>
      <w:r>
        <w:rPr>
          <w:rFonts w:ascii="Arial" w:cs="Arial" w:eastAsia="Arial" w:hAnsi="Arial"/>
          <w:sz w:val="16"/>
          <w:szCs w:val="16"/>
          <w:color w:val="auto"/>
        </w:rPr>
        <w:t>In most countries, our employees’ ability to travel has been reduced. In-person sales and marketing events or meetings that would normally have been held were canceled, postponed or converted into virtual events. However, as certain country’s restrictions start to ease, we have started to see an increase in expenses related to travel and marketing events. Although we cannot predict if or when such expenses will return to pre-pandemic levels, as of June 30, 2021 we have started to see an increase in such expenses as compared to the same period last year.</w:t>
      </w:r>
    </w:p>
    <w:p>
      <w:pPr>
        <w:spacing w:after="0" w:line="196" w:lineRule="exact"/>
        <w:rPr>
          <w:rFonts w:ascii="Arial" w:cs="Arial" w:eastAsia="Arial" w:hAnsi="Arial"/>
          <w:sz w:val="16"/>
          <w:szCs w:val="16"/>
          <w:color w:val="212529"/>
        </w:rPr>
      </w:pPr>
    </w:p>
    <w:p>
      <w:pPr>
        <w:ind w:left="660" w:right="40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countries and geographic regions in which we experienced the fastest billings growth in the second quarter of 2021, as compared to the second quarter of 2020, were countries and geographic regions in which the COVID-19 pandemic is generally considered to currently have a comparatively shorter or less severe impact on the local population and economy.</w:t>
      </w:r>
    </w:p>
    <w:p>
      <w:pPr>
        <w:spacing w:after="0" w:line="237" w:lineRule="exact"/>
        <w:rPr>
          <w:rFonts w:ascii="Arial" w:cs="Arial" w:eastAsia="Arial" w:hAnsi="Arial"/>
          <w:sz w:val="18"/>
          <w:szCs w:val="18"/>
          <w:color w:val="auto"/>
        </w:rPr>
      </w:pPr>
    </w:p>
    <w:p>
      <w:pPr>
        <w:ind w:left="660" w:right="140" w:hanging="328"/>
        <w:spacing w:after="0" w:line="24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COVID-19 pandemic we noted that, for some of our customers, sales cycles appeared to lengthen. More recently, it may be that sales cycles for some customers have accelerated.</w:t>
      </w:r>
    </w:p>
    <w:p>
      <w:pPr>
        <w:spacing w:after="0" w:line="210"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average service contract duration increased by approximately two months in the second quarter of 2021 as compared to the second quarter of 2020.</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order to mitigate supply chain risk and in anticipation of future demand, we worked to increase our on-hand stock of certain products.</w:t>
      </w:r>
    </w:p>
    <w:p>
      <w:pPr>
        <w:spacing w:after="0" w:line="263" w:lineRule="exact"/>
        <w:rPr>
          <w:rFonts w:ascii="Arial" w:cs="Arial" w:eastAsia="Arial" w:hAnsi="Arial"/>
          <w:sz w:val="17"/>
          <w:szCs w:val="17"/>
          <w:color w:val="auto"/>
        </w:rPr>
      </w:pPr>
    </w:p>
    <w:p>
      <w:pPr>
        <w:ind w:left="660" w:hanging="328"/>
        <w:spacing w:after="0" w:line="311" w:lineRule="auto"/>
        <w:tabs>
          <w:tab w:leader="none" w:pos="655" w:val="left"/>
        </w:tabs>
        <w:numPr>
          <w:ilvl w:val="0"/>
          <w:numId w:val="24"/>
        </w:numPr>
        <w:rPr>
          <w:rFonts w:ascii="Arial" w:cs="Arial" w:eastAsia="Arial" w:hAnsi="Arial"/>
          <w:sz w:val="16"/>
          <w:szCs w:val="16"/>
          <w:color w:val="212529"/>
        </w:rPr>
      </w:pPr>
      <w:r>
        <w:rPr>
          <w:rFonts w:ascii="Arial" w:cs="Arial" w:eastAsia="Arial" w:hAnsi="Arial"/>
          <w:sz w:val="16"/>
          <w:szCs w:val="16"/>
          <w:color w:val="auto"/>
        </w:rPr>
        <w:t>The yield on investment-grade debt has decreased, and while the risk of credit losses on our investments and cash equivalents has not changed significantly, as the debt securities in our portfolio have matured, they have been replaced by securities with lower effective interest rates. This has contributed to a decrease in our interest income during the three and six months ended June 30, 2021, compared to the same period last year.</w:t>
      </w:r>
    </w:p>
    <w:p>
      <w:pPr>
        <w:spacing w:after="0" w:line="175" w:lineRule="exact"/>
        <w:rPr>
          <w:rFonts w:ascii="Arial" w:cs="Arial" w:eastAsia="Arial" w:hAnsi="Arial"/>
          <w:sz w:val="16"/>
          <w:szCs w:val="16"/>
          <w:color w:val="212529"/>
        </w:rPr>
      </w:pPr>
    </w:p>
    <w:p>
      <w:pPr>
        <w:ind w:left="660" w:right="400" w:hanging="328"/>
        <w:spacing w:after="0" w:line="244"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accordance with the CARES Act, we have deferred the deposit and payment of our employer’s share of Social Security taxes. This did not materially affect net cash provided by operating activities during the period.</w:t>
      </w:r>
    </w:p>
    <w:p>
      <w:pPr>
        <w:ind w:right="580" w:firstLine="405"/>
        <w:spacing w:after="0" w:line="258" w:lineRule="auto"/>
        <w:rPr>
          <w:sz w:val="20"/>
          <w:szCs w:val="20"/>
          <w:color w:val="auto"/>
        </w:rPr>
      </w:pPr>
      <w:r>
        <w:rPr>
          <w:rFonts w:ascii="Arial" w:cs="Arial" w:eastAsia="Arial" w:hAnsi="Arial"/>
          <w:sz w:val="18"/>
          <w:szCs w:val="18"/>
          <w:color w:val="212529"/>
        </w:rPr>
        <w:t>T</w:t>
      </w:r>
      <w:r>
        <w:rPr>
          <w:rFonts w:ascii="Arial" w:cs="Arial" w:eastAsia="Arial" w:hAnsi="Arial"/>
          <w:sz w:val="18"/>
          <w:szCs w:val="18"/>
          <w:color w:val="000000"/>
        </w:rPr>
        <w:t>hrough the filing of this Quarterly Report on Form 10-Q, t</w:t>
      </w:r>
      <w:r>
        <w:rPr>
          <w:rFonts w:ascii="Arial" w:cs="Arial" w:eastAsia="Arial" w:hAnsi="Arial"/>
          <w:sz w:val="18"/>
          <w:szCs w:val="18"/>
          <w:color w:val="212529"/>
        </w:rPr>
        <w:t>here have been no material changes to the trends described above. Going forward, however, the situation remains uncertain, rapidly changing and hard to predict, and the COVID-19</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212529"/>
        </w:rPr>
        <w:t>pandemic may have a material negative impact on our future periods. If we experience significant changes in our billings growth rates, it will impact product revenue in the current quarter and FortiGuard and FortiCare service revenues in subsequent quarters, as we sell annual and multi-year service contracts that are recognized ratably over the contractual service term. In addition, the broader implications of the pandemic on our business and operations and our financial results, including the extent to which the effects of the pandemic will impact future results and growth in the cybersecurity industry, remain uncertain. The extent of the impact of the COVID-19 pandemic on our operational and financial performance will depend on ongoing developments, including the duration and spread of the virus and its variants, the impact on our end-customers’ spending, the volume of sales and length of our sales cycles, the impact on our partners, suppliers, and employees, actions that may be taken by governmental authorities and other factors identified in Part II, Item 1A “Risk Factors” in this Form 10-Q. Given the dynamic nature of these circumstances, the full impact of the COVID-19 pandemic on our business and operations, results of operations, financial condition, cash flows, liquidity and capital and financial resources cannot be reasonably estimated at this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52" w:lineRule="exact"/>
        <w:rPr>
          <w:sz w:val="20"/>
          <w:szCs w:val="20"/>
          <w:color w:val="auto"/>
        </w:rPr>
      </w:pPr>
    </w:p>
    <w:p>
      <w:pPr>
        <w:ind w:right="260" w:firstLine="648"/>
        <w:spacing w:after="0" w:line="239" w:lineRule="auto"/>
        <w:rPr>
          <w:sz w:val="20"/>
          <w:szCs w:val="20"/>
          <w:color w:val="auto"/>
        </w:rPr>
      </w:pPr>
      <w:r>
        <w:rPr>
          <w:rFonts w:ascii="Arial" w:cs="Arial" w:eastAsia="Arial" w:hAnsi="Arial"/>
          <w:sz w:val="18"/>
          <w:szCs w:val="18"/>
          <w:color w:val="auto"/>
        </w:rPr>
        <w:t>We typically sell our security solutions to distributors that sell to networking security focused resellers and to service providers and managed security service providers (“MSSPs”), who, in turn, sell to end-customers. At times, we also sell directly to large service providers and major systems integrators who may sell to our end-customers or use our products and services to provided hosted solutions to other enterprises. Our end-customers are located in over 80 countries and include small, medium and large enterprises and government organizations across a wide range of industries, including telecommunications, government, financial services, retail, technology, education, manufacturing and healthcare. An end-customer deployment may involve as few as one or as many as thousands of appliances and other Fortinet Security Fabric platform products, depending on the end-customer’s size and security requirements.</w:t>
      </w:r>
    </w:p>
    <w:p>
      <w:pPr>
        <w:spacing w:after="0" w:line="2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also offer our products through major cloud providers, and have recognized revenue on a usage basis from Amazon Web Services, Microsoft Azure, Google Cloud, Alibaba Cloud, Oracle Cloud and IBM Cloud. We have also recognized revenue from customers who deploy our products in a bring-your-own-license (“BYOL”) arrangement in private clouds or at cloud providers. In a BYOL arrangement, a customer purchases a software license from us through our channel partners and deploys the software in a cloud provider’s environment. Similarly, customers may purchase such a license from us and deploy in third-party clouds or in their private cloud.</w:t>
      </w:r>
    </w:p>
    <w:p>
      <w:pPr>
        <w:spacing w:after="0" w:line="215"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Our customers purchase our hardware products and software licenses, as well as our FortiGuard and other security subscription and FortiCare technical support services. We generally invoice at the time of our sale for the total price of the products and security and technical support services. Standard payment terms are generally no more than 60 days, though we continue to offer extended payment terms to certain distributor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52" w:lineRule="exact"/>
        <w:rPr>
          <w:sz w:val="20"/>
          <w:szCs w:val="20"/>
          <w:color w:val="auto"/>
        </w:rPr>
      </w:pPr>
    </w:p>
    <w:p>
      <w:pPr>
        <w:ind w:right="320" w:firstLine="648"/>
        <w:spacing w:after="0" w:line="275" w:lineRule="auto"/>
        <w:rPr>
          <w:sz w:val="20"/>
          <w:szCs w:val="20"/>
          <w:color w:val="auto"/>
        </w:rPr>
      </w:pPr>
      <w:r>
        <w:rPr>
          <w:rFonts w:ascii="Arial" w:cs="Arial" w:eastAsia="Arial" w:hAnsi="Arial"/>
          <w:sz w:val="17"/>
          <w:szCs w:val="17"/>
          <w:color w:val="auto"/>
        </w:rPr>
        <w:t>We monitor a number of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“Results of Operations,” and we discuss net cash provided by operating activities below under “—Liquidity and Capital Resources.” Deferred revenue, billings (non-GAAP), and free cash flow (non-GAAP) are discussed immediately below the following table:</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6"/>
                <w:szCs w:val="16"/>
                <w:b w:val="1"/>
                <w:bCs w:val="1"/>
                <w:color w:val="auto"/>
              </w:rPr>
              <w:t>Three Months Ended Or As Of</w:t>
            </w:r>
          </w:p>
        </w:tc>
      </w:tr>
      <w:tr>
        <w:trPr>
          <w:trHeight w:val="210"/>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7"/>
              </w:rPr>
              <w:t>June 30, 2021</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7"/>
              </w:rPr>
              <w:t>June 30, 2020</w:t>
            </w:r>
          </w:p>
        </w:tc>
      </w:tr>
      <w:tr>
        <w:trPr>
          <w:trHeight w:val="226"/>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3"/>
          </w:tcPr>
          <w:p>
            <w:pPr>
              <w:jc w:val="right"/>
              <w:ind w:right="1012"/>
              <w:spacing w:after="0"/>
              <w:rPr>
                <w:sz w:val="20"/>
                <w:szCs w:val="20"/>
                <w:color w:val="auto"/>
              </w:rPr>
            </w:pPr>
            <w:r>
              <w:rPr>
                <w:rFonts w:ascii="Arial" w:cs="Arial" w:eastAsia="Arial" w:hAnsi="Arial"/>
                <w:sz w:val="18"/>
                <w:szCs w:val="18"/>
                <w:b w:val="1"/>
                <w:bCs w:val="1"/>
                <w:color w:val="auto"/>
              </w:rPr>
              <w:t>(in millions)</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801.1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2,905.4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2,293.1</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Billings (non-GAAP)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960.9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418.2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247.0</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394.7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r>
    </w:tbl>
    <w:p>
      <w:pPr>
        <w:spacing w:after="0" w:line="32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our deferred revenue balance consists of the unrecognized portion of service revenue from FortiGuard and other security subscription and FortiCare technical support service contracts, which is recognized as revenue ratably over the contractual service period. We monitor our deferred revenue balance, deferred revenue growth and the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mix of short-term and long-term deferred revenue because deferred revenue represents a significant portion of free cash flow and of revenue to be recognized in future periods. Deferred revenue was $2.91 billion as of June 30, 2021, an increase of $300.1 million, or 12%, from December 31, 2020.</w:t>
      </w:r>
    </w:p>
    <w:p>
      <w:pPr>
        <w:spacing w:after="0" w:line="15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Billings (non-GAAP). </w:t>
      </w:r>
      <w:r>
        <w:rPr>
          <w:rFonts w:ascii="Arial" w:cs="Arial" w:eastAsia="Arial" w:hAnsi="Arial"/>
          <w:sz w:val="17"/>
          <w:szCs w:val="17"/>
          <w:color w:val="auto"/>
        </w:rPr>
        <w:t>We define billings as revenue recognized in accordance with GAAP plus the change in deferred revenue from the beginning</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end of the period,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$960.9 million for the three months ended June 30, 2021, an increase of 35% compared to $711.5 million in the same period last year.</w:t>
      </w:r>
    </w:p>
    <w:p>
      <w:pPr>
        <w:spacing w:after="0" w:line="205" w:lineRule="exact"/>
        <w:rPr>
          <w:sz w:val="20"/>
          <w:szCs w:val="20"/>
          <w:color w:val="auto"/>
        </w:rPr>
      </w:pPr>
    </w:p>
    <w:p>
      <w:pPr>
        <w:ind w:right="380" w:firstLine="648"/>
        <w:spacing w:after="0" w:line="274" w:lineRule="auto"/>
        <w:rPr>
          <w:sz w:val="20"/>
          <w:szCs w:val="20"/>
          <w:color w:val="auto"/>
        </w:rPr>
      </w:pPr>
      <w:r>
        <w:rPr>
          <w:rFonts w:ascii="Arial" w:cs="Arial" w:eastAsia="Arial" w:hAnsi="Arial"/>
          <w:sz w:val="18"/>
          <w:szCs w:val="18"/>
          <w:color w:val="auto"/>
        </w:rPr>
        <w:t>A reconciliation of revenue, the most directly comparable financial measure calculated and presented in accordance with GAAP, to billings is provided below:</w:t>
      </w: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June 30, 2021</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7"/>
              </w:rPr>
              <w:t>June 30, 2020</w:t>
            </w:r>
          </w:p>
        </w:tc>
      </w:tr>
      <w:tr>
        <w:trPr>
          <w:trHeight w:val="226"/>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4"/>
          </w:tcPr>
          <w:p>
            <w:pPr>
              <w:jc w:val="right"/>
              <w:ind w:right="1012"/>
              <w:spacing w:after="0"/>
              <w:rPr>
                <w:sz w:val="20"/>
                <w:szCs w:val="20"/>
                <w:color w:val="auto"/>
              </w:rPr>
            </w:pPr>
            <w:r>
              <w:rPr>
                <w:rFonts w:ascii="Arial" w:cs="Arial" w:eastAsia="Arial" w:hAnsi="Arial"/>
                <w:sz w:val="18"/>
                <w:szCs w:val="18"/>
                <w:b w:val="1"/>
                <w:bCs w:val="1"/>
                <w:color w:val="auto"/>
              </w:rPr>
              <w:t>(in millions)</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Billings: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801.1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617.6</w:t>
            </w:r>
          </w:p>
        </w:tc>
      </w:tr>
      <w:tr>
        <w:trPr>
          <w:trHeight w:val="230"/>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Change in deferred revenue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Total billings (non-GAAP)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711.5</w:t>
            </w:r>
          </w:p>
        </w:tc>
      </w:tr>
      <w:tr>
        <w:trPr>
          <w:trHeight w:val="21"/>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 xml:space="preserve">Free cash flow (non-GAAP). </w:t>
      </w:r>
      <w:r>
        <w:rPr>
          <w:rFonts w:ascii="Arial" w:cs="Arial" w:eastAsia="Arial" w:hAnsi="Arial"/>
          <w:sz w:val="17"/>
          <w:szCs w:val="17"/>
          <w:color w:val="auto"/>
        </w:rPr>
        <w:t>We define free cash flow as net cash provided by operating activities minus purchases of property and equipment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any significant non-recurring items.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investing activities other than capital expenditures and cash flows from financing activities. Management accounts for this limitation by providing information about our capital expenditures and other investing and financing activities on the face of the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June 30, 2021</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7"/>
              </w:rPr>
              <w:t>June 30, 2020</w:t>
            </w:r>
          </w:p>
        </w:tc>
      </w:tr>
      <w:tr>
        <w:trPr>
          <w:trHeight w:val="226"/>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4"/>
          </w:tcPr>
          <w:p>
            <w:pPr>
              <w:jc w:val="right"/>
              <w:ind w:right="1012"/>
              <w:spacing w:after="0"/>
              <w:rPr>
                <w:sz w:val="20"/>
                <w:szCs w:val="20"/>
                <w:color w:val="auto"/>
              </w:rPr>
            </w:pPr>
            <w:r>
              <w:rPr>
                <w:rFonts w:ascii="Arial" w:cs="Arial" w:eastAsia="Arial" w:hAnsi="Arial"/>
                <w:sz w:val="18"/>
                <w:szCs w:val="18"/>
                <w:b w:val="1"/>
                <w:bCs w:val="1"/>
                <w:color w:val="auto"/>
              </w:rPr>
              <w:t>(in millions)</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418.2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247.0</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Less: Purchases of property and equipment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Free cash flow (non-GAAP)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60" w:type="dxa"/>
            <w:vAlign w:val="bottom"/>
          </w:tcPr>
          <w:p>
            <w:pPr>
              <w:spacing w:after="0" w:line="203" w:lineRule="exact"/>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(168.9)</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w:t>
      </w: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circumstances. To the extent that there are material differences between these estimates and our actual results, our future financial statements will be affected.</w:t>
      </w:r>
    </w:p>
    <w:p>
      <w:pPr>
        <w:spacing w:after="0" w:line="19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Except for the update to the range of useful lives for property and equipment discussed in Note 6 and our policy election for how we account for our share of financial results for a specific investment in privately held companies on a three-month lag basis as discussed in Note 7, there were no material changes to our critical accounting policies and estimates as of and for the three and six months ended June 30, 2021, as compared to the critical accounting policies and estimates described in our Annual Report on Form 10-K filed with the SEC on February 19, 2021 (the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See Note 1 of the notes to condensed consolidated financial statements included in Part I, Item 1 of this Quarterly Report on Form 10-Q for information regarding recent accounting pronouncements.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and June 30,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left="673"/>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jc w:val="center"/>
              <w:ind w:left="733"/>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713"/>
              <w:spacing w:after="0"/>
              <w:rPr>
                <w:sz w:val="20"/>
                <w:szCs w:val="20"/>
                <w:color w:val="auto"/>
              </w:rPr>
            </w:pPr>
            <w:r>
              <w:rPr>
                <w:rFonts w:ascii="Arial" w:cs="Arial" w:eastAsia="Arial" w:hAnsi="Arial"/>
                <w:sz w:val="16"/>
                <w:szCs w:val="16"/>
                <w:b w:val="1"/>
                <w:bCs w:val="1"/>
                <w:color w:val="auto"/>
                <w:w w:val="89"/>
              </w:rPr>
              <w:t>2020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10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6"/>
                <w:szCs w:val="16"/>
                <w:color w:val="auto"/>
              </w:rPr>
            </w:pPr>
          </w:p>
        </w:tc>
        <w:tc>
          <w:tcPr>
            <w:tcW w:w="144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10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6"/>
                <w:szCs w:val="16"/>
                <w:color w:val="auto"/>
              </w:rPr>
            </w:pPr>
          </w:p>
        </w:tc>
        <w:tc>
          <w:tcPr>
            <w:tcW w:w="9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10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10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6"/>
                <w:szCs w:val="16"/>
                <w:b w:val="1"/>
                <w:bCs w:val="1"/>
                <w:color w:val="auto"/>
                <w:w w:val="86"/>
              </w:rPr>
              <w:t>Revenue</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8"/>
              </w:rPr>
              <w:t>(in millions, except percentages)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48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86.4</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41 %</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30 %</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 by geography:</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480"/>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76.0</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29 %</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EMEA</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APAC</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420" w:type="dxa"/>
            <w:vAlign w:val="bottom"/>
            <w:tcBorders>
              <w:bottom w:val="single" w:sz="8" w:color="CCEEFF"/>
            </w:tcBorders>
          </w:tcPr>
          <w:p>
            <w:pPr>
              <w:ind w:left="10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4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2"/>
              </w:rPr>
              <w:t>30 %</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firstLine="648"/>
        <w:spacing w:after="0" w:line="231" w:lineRule="auto"/>
        <w:rPr>
          <w:sz w:val="20"/>
          <w:szCs w:val="20"/>
          <w:color w:val="auto"/>
        </w:rPr>
      </w:pPr>
      <w:r>
        <w:rPr>
          <w:rFonts w:ascii="Arial" w:cs="Arial" w:eastAsia="Arial" w:hAnsi="Arial"/>
          <w:sz w:val="18"/>
          <w:szCs w:val="18"/>
          <w:color w:val="auto"/>
        </w:rPr>
        <w:t>Total revenue increased by $183.5 million, or 30%, during the three months ended June 30, 2021 compared to the same period last year. We continued to experience largely organic revenue growth (i.e. revenue growth excluding attribution from recent acquisitions) with diversification of revenue geographically, and across both customer and industry segments. Revenue from all regions grew, with EMEA contributing the largest portion of the increase on an absolute dollar basis and on a percentage basis.</w:t>
      </w:r>
    </w:p>
    <w:p>
      <w:pPr>
        <w:spacing w:after="0" w:line="202" w:lineRule="exact"/>
        <w:rPr>
          <w:sz w:val="20"/>
          <w:szCs w:val="20"/>
          <w:color w:val="auto"/>
        </w:rPr>
      </w:pPr>
    </w:p>
    <w:p>
      <w:pPr>
        <w:ind w:right="40" w:firstLine="648"/>
        <w:spacing w:after="0" w:line="242" w:lineRule="auto"/>
        <w:rPr>
          <w:sz w:val="20"/>
          <w:szCs w:val="20"/>
          <w:color w:val="auto"/>
        </w:rPr>
      </w:pPr>
      <w:r>
        <w:rPr>
          <w:rFonts w:ascii="Arial" w:cs="Arial" w:eastAsia="Arial" w:hAnsi="Arial"/>
          <w:sz w:val="17"/>
          <w:szCs w:val="17"/>
          <w:color w:val="auto"/>
        </w:rPr>
        <w:t>Product revenue increased by $86.4 million, or 41%, during the three months ended June 30, 2021 compared to the same period last year. Product revenue growth was consistent with an elevated cyber threat landscape. FortiGate products accounted for more than half of the product revenue growth in the three months ended June 30, 2021. While Secure SD-WAN contributed to product revenue growth, the main driver was the strong demand for the wide range of other operating system capabilities embedded in the FortiGate products. We also experienced strong revenue growth across many of our security fabric platform products, including OT solutions, secure access products and software licenses.</w:t>
      </w:r>
    </w:p>
    <w:p>
      <w:pPr>
        <w:spacing w:after="0" w:line="202" w:lineRule="exact"/>
        <w:rPr>
          <w:sz w:val="20"/>
          <w:szCs w:val="20"/>
          <w:color w:val="auto"/>
        </w:rPr>
      </w:pPr>
    </w:p>
    <w:p>
      <w:pPr>
        <w:ind w:right="240" w:firstLine="648"/>
        <w:spacing w:after="0" w:line="242" w:lineRule="auto"/>
        <w:rPr>
          <w:sz w:val="20"/>
          <w:szCs w:val="20"/>
          <w:color w:val="auto"/>
        </w:rPr>
      </w:pPr>
      <w:r>
        <w:rPr>
          <w:rFonts w:ascii="Arial" w:cs="Arial" w:eastAsia="Arial" w:hAnsi="Arial"/>
          <w:sz w:val="17"/>
          <w:szCs w:val="17"/>
          <w:color w:val="auto"/>
        </w:rPr>
        <w:t>Service revenue increased by $97.1 million, or 24%, during the three months ended June 30, 2021 compared to the same period last year. FortiGuard security subscription and FortiCare technical support and other revenues increased by $50.3 million, or 23%, and by $46.8 million, or 26%, respectively, during the three months ended June 30, 2021 compared to the same period last year. The increases were primarily due to the recognition of revenue from our growing deferred revenue balance related to FortiGuard and other security subscriptions delivered to on-premise and cloud based environment as well as FortiCare technical support, including our customers moving to higher-tier support offerings.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Of the service revenue recognized during the three months ended June 30, 2021, 89% was included in the deferred revenue balance as of March 31,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32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restart"/>
          </w:tcPr>
          <w:p>
            <w:pPr>
              <w:jc w:val="right"/>
              <w:ind w:right="33"/>
              <w:spacing w:after="0"/>
              <w:rPr>
                <w:sz w:val="20"/>
                <w:szCs w:val="20"/>
                <w:color w:val="auto"/>
              </w:rPr>
            </w:pPr>
            <w:r>
              <w:rPr>
                <w:rFonts w:ascii="Arial" w:cs="Arial" w:eastAsia="Arial" w:hAnsi="Arial"/>
                <w:sz w:val="16"/>
                <w:szCs w:val="16"/>
                <w:b w:val="1"/>
                <w:bCs w:val="1"/>
                <w:color w:val="auto"/>
              </w:rPr>
              <w:t>Change</w:t>
            </w:r>
          </w:p>
        </w:tc>
        <w:tc>
          <w:tcPr>
            <w:tcW w:w="500" w:type="dxa"/>
            <w:vAlign w:val="bottom"/>
          </w:tcPr>
          <w:p>
            <w:pPr>
              <w:spacing w:after="0"/>
              <w:rPr>
                <w:sz w:val="16"/>
                <w:szCs w:val="16"/>
                <w:color w:val="auto"/>
              </w:rPr>
            </w:pPr>
          </w:p>
        </w:tc>
        <w:tc>
          <w:tcPr>
            <w:tcW w:w="2040" w:type="dxa"/>
            <w:vAlign w:val="bottom"/>
            <w:vMerge w:val="restart"/>
          </w:tcPr>
          <w:p>
            <w:pPr>
              <w:ind w:left="7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126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4"/>
          </w:tcPr>
          <w:p>
            <w:pPr>
              <w:ind w:left="780"/>
              <w:spacing w:after="0"/>
              <w:rPr>
                <w:sz w:val="20"/>
                <w:szCs w:val="20"/>
                <w:color w:val="auto"/>
              </w:rPr>
            </w:pPr>
            <w:r>
              <w:rPr>
                <w:rFonts w:ascii="Arial" w:cs="Arial" w:eastAsia="Arial" w:hAnsi="Arial"/>
                <w:sz w:val="16"/>
                <w:szCs w:val="16"/>
                <w:b w:val="1"/>
                <w:bCs w:val="1"/>
                <w:color w:val="auto"/>
                <w:w w:val="99"/>
              </w:rPr>
              <w:t>(in millions, except percentages)</w:t>
            </w:r>
          </w:p>
        </w:tc>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1260" w:type="dxa"/>
            <w:vAlign w:val="bottom"/>
          </w:tcPr>
          <w:p>
            <w:pPr>
              <w:jc w:val="right"/>
              <w:ind w:right="1055"/>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88"/>
              </w:rPr>
              <w:t>115.6</w:t>
            </w:r>
          </w:p>
        </w:tc>
        <w:tc>
          <w:tcPr>
            <w:tcW w:w="100" w:type="dxa"/>
            <w:vAlign w:val="bottom"/>
          </w:tcPr>
          <w:p>
            <w:pPr>
              <w:spacing w:after="0"/>
              <w:rPr>
                <w:sz w:val="19"/>
                <w:szCs w:val="19"/>
                <w:color w:val="auto"/>
              </w:rPr>
            </w:pPr>
          </w:p>
        </w:tc>
        <w:tc>
          <w:tcPr>
            <w:tcW w:w="1260" w:type="dxa"/>
            <w:vAlign w:val="bottom"/>
          </w:tcPr>
          <w:p>
            <w:pPr>
              <w:jc w:val="right"/>
              <w:ind w:right="107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19"/>
                <w:szCs w:val="19"/>
                <w:color w:val="auto"/>
              </w:rPr>
            </w:pPr>
          </w:p>
        </w:tc>
        <w:tc>
          <w:tcPr>
            <w:tcW w:w="1240" w:type="dxa"/>
            <w:vAlign w:val="bottom"/>
          </w:tcPr>
          <w:p>
            <w:pPr>
              <w:jc w:val="right"/>
              <w:ind w:right="105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31.2</w:t>
            </w:r>
          </w:p>
        </w:tc>
        <w:tc>
          <w:tcPr>
            <w:tcW w:w="2040" w:type="dxa"/>
            <w:vAlign w:val="bottom"/>
          </w:tcPr>
          <w:p>
            <w:pPr>
              <w:ind w:left="1640"/>
              <w:spacing w:after="0"/>
              <w:rPr>
                <w:sz w:val="20"/>
                <w:szCs w:val="20"/>
                <w:color w:val="auto"/>
              </w:rPr>
            </w:pPr>
            <w:r>
              <w:rPr>
                <w:rFonts w:ascii="Arial" w:cs="Arial" w:eastAsia="Arial" w:hAnsi="Arial"/>
                <w:sz w:val="18"/>
                <w:szCs w:val="18"/>
                <w:color w:val="auto"/>
                <w:w w:val="92"/>
              </w:rPr>
              <w:t>37 %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4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Total cost of revenue</w:t>
            </w:r>
          </w:p>
        </w:tc>
        <w:tc>
          <w:tcPr>
            <w:tcW w:w="1260" w:type="dxa"/>
            <w:vAlign w:val="bottom"/>
            <w:tcBorders>
              <w:bottom w:val="single" w:sz="8" w:color="auto"/>
            </w:tcBorders>
          </w:tcPr>
          <w:p>
            <w:pPr>
              <w:jc w:val="right"/>
              <w:ind w:right="105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8"/>
              </w:rPr>
              <w:t>186.9</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07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8"/>
              </w:rPr>
              <w:t>135.1</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5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2040" w:type="dxa"/>
            <w:vAlign w:val="bottom"/>
          </w:tcPr>
          <w:p>
            <w:pPr>
              <w:ind w:left="1640"/>
              <w:spacing w:after="0"/>
              <w:rPr>
                <w:sz w:val="20"/>
                <w:szCs w:val="20"/>
                <w:color w:val="auto"/>
              </w:rPr>
            </w:pPr>
            <w:r>
              <w:rPr>
                <w:rFonts w:ascii="Arial" w:cs="Arial" w:eastAsia="Arial" w:hAnsi="Arial"/>
                <w:sz w:val="18"/>
                <w:szCs w:val="18"/>
                <w:color w:val="auto"/>
                <w:w w:val="92"/>
              </w:rPr>
              <w:t>38 %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 (%):</w:t>
            </w: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61.2 %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60.2 %</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Total gross margin</w:t>
            </w:r>
          </w:p>
        </w:tc>
        <w:tc>
          <w:tcPr>
            <w:tcW w:w="1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76.7 %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78.1 %</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Total gross margin decreased by 1.4 percentage points during the three months ended June 30, 2021 compared to the same period last year, driven by change in revenue mix to lower margin product revenue from higher margin service revenue year over year.</w:t>
      </w:r>
    </w:p>
    <w:p>
      <w:pPr>
        <w:spacing w:after="0" w:line="210"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Product gross margin increased by 1.0 percentage points during the three months ended June 30, 2021 compared to the same period last year. Product gross margin benefited from lower indirect costs of goods sold as a percentage of product revenue. Cost of product revenue was comprised primarily of third-party contract manufacturers’ costs and the costs of materials used in production.</w:t>
      </w:r>
    </w:p>
    <w:p>
      <w:pPr>
        <w:spacing w:after="0" w:line="211"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Service gross margin decreased by 1.7 percentage points during the three months ended June 30, 2021 compared to the same period last year. Cost of service revenue was comprised primarily of personnel costs and data center costs. The decrease in service gross margin was primarily due to foreign currency fluctuations and the increased costs associated with an expansion in our data centers.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left="673"/>
              <w:spacing w:after="0"/>
              <w:rPr>
                <w:sz w:val="20"/>
                <w:szCs w:val="20"/>
                <w:color w:val="auto"/>
              </w:rPr>
            </w:pPr>
            <w:r>
              <w:rPr>
                <w:rFonts w:ascii="Arial" w:cs="Arial" w:eastAsia="Arial" w:hAnsi="Arial"/>
                <w:sz w:val="16"/>
                <w:szCs w:val="16"/>
                <w:b w:val="1"/>
                <w:bCs w:val="1"/>
                <w:color w:val="auto"/>
                <w:w w:val="90"/>
              </w:rPr>
              <w:t>June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left="734"/>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2021</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734"/>
              <w:spacing w:after="0"/>
              <w:rPr>
                <w:sz w:val="20"/>
                <w:szCs w:val="20"/>
                <w:color w:val="auto"/>
              </w:rPr>
            </w:pPr>
            <w:r>
              <w:rPr>
                <w:rFonts w:ascii="Arial" w:cs="Arial" w:eastAsia="Arial" w:hAnsi="Arial"/>
                <w:sz w:val="16"/>
                <w:szCs w:val="16"/>
                <w:b w:val="1"/>
                <w:bCs w:val="1"/>
                <w:color w:val="auto"/>
                <w:w w:val="95"/>
              </w:rPr>
              <w:t>2020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0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6"/>
                <w:szCs w:val="16"/>
                <w:color w:val="auto"/>
              </w:rPr>
            </w:pPr>
          </w:p>
        </w:tc>
        <w:tc>
          <w:tcPr>
            <w:tcW w:w="144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6"/>
                <w:szCs w:val="16"/>
                <w:color w:val="auto"/>
              </w:rPr>
            </w:pPr>
          </w:p>
        </w:tc>
        <w:tc>
          <w:tcPr>
            <w:tcW w:w="9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jc w:val="right"/>
              <w:ind w:right="19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10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w w:val="89"/>
              </w:rPr>
              <w:t>Revenue</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10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8"/>
              </w:rPr>
              <w:t>(in millions, except percentages)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24.5</w:t>
            </w:r>
          </w:p>
        </w:tc>
        <w:tc>
          <w:tcPr>
            <w:tcW w:w="142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330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IP matter</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42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Research and development expense increased by $24.5 million, or 30%, during the three months ended June 30, 2021 compared to the same period last year, primarily due to an increase of $20.4 million in personnel-related costs as a result of increased headcount to support the development of new products and continued enhancements to our existing products. In addition, product development costs, such as third-party testing and prototypes, increased by $4.3 million. We currently intend to continue to invest in our research and development organization, and expect research and development expense to increase in absolute dollars during the remainder of 2021.</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39" w:lineRule="exact"/>
        <w:rPr>
          <w:sz w:val="20"/>
          <w:szCs w:val="20"/>
          <w:color w:val="auto"/>
        </w:rPr>
      </w:pPr>
    </w:p>
    <w:p>
      <w:pPr>
        <w:ind w:right="180" w:firstLine="648"/>
        <w:spacing w:after="0" w:line="242" w:lineRule="auto"/>
        <w:rPr>
          <w:sz w:val="20"/>
          <w:szCs w:val="20"/>
          <w:color w:val="auto"/>
        </w:rPr>
      </w:pPr>
      <w:r>
        <w:rPr>
          <w:rFonts w:ascii="Arial" w:cs="Arial" w:eastAsia="Arial" w:hAnsi="Arial"/>
          <w:sz w:val="17"/>
          <w:szCs w:val="17"/>
          <w:color w:val="auto"/>
        </w:rPr>
        <w:t>Sales and marketing expense increased by $73.1 million, or 29%, during the three months ended June 30, 2021 compared to the same period last year, primarily due to an increase of $55.8 million in personnel-related costs as a result of increases to sales and marketing headcount in order to drive global market revenue increases and foreign currency fluctuations. In addition, marketing-related expense increased by $10.9 million and travel expense increased by $2.4 million. We currently intend to continue to make investments in sales and marketing resources, which are critical to support our future growth, and expect sales and marketing expense to increase in absolute dollars during the remainder of 2021.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52"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General and administrative expense increased by $5.5 million, or 19%, during the three months ended June 30, 2021 compared to the same period last year, primarily due to an increase in professional services costs of $3.0 million and an increase in personnel-related costs of $2.8 million. We currently expect general and administrative expense to increase in absolute dollars during the remainder of 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Gain on IP matter</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January 2020, we entered into an agreement with a competitor in the network security industry, whereby, in February 2020, the competitor party paid us a lump sum of $50.0 million for a mutual covenant-not-to-sue for patent claims. During the three months ended June 30, 2021, we recorded $1.2 million in amortization of the deferred component as a gain on IP matter in our condensed consolidated statements of income. During the three months ended June 30, 2020, we recorded $1.1 million in amortization of the deferred component as a gain on IP matter in our condensed consolidated statements of income. See Note 13 of the notes to condensed consolidated financial statements included in Part I, Item 1 of this Quarterly Report on Form 10-Q for additional information regarding the gain on IP matter.</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 and margin</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generated operating income of $147.5 million during the three months ended June 30, 2021, an increase of $28.7 million, or 24%, compared to $118.8 million in the same period last year. Operating income as a percentage of revenue decreased to 18% during the three months ended June 30, 2021 compared to 19% in the same period last year. The decrease in operating margin is primarily due to 1.4 percentage point decrease in gross margin, partially offset by 0.4 percentage point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decrease in general and administrative expense and 0.3 percentage point decrease in sales and marketing as percentage of revenue,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3"/>
          </w:tcPr>
          <w:p>
            <w:pPr>
              <w:jc w:val="right"/>
              <w:ind w:right="1015"/>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center"/>
              <w:ind w:right="335"/>
              <w:spacing w:after="0"/>
              <w:rPr>
                <w:sz w:val="20"/>
                <w:szCs w:val="20"/>
                <w:color w:val="auto"/>
              </w:rPr>
            </w:pPr>
            <w:r>
              <w:rPr>
                <w:rFonts w:ascii="Arial" w:cs="Arial" w:eastAsia="Arial" w:hAnsi="Arial"/>
                <w:sz w:val="16"/>
                <w:szCs w:val="16"/>
                <w:b w:val="1"/>
                <w:bCs w:val="1"/>
                <w:color w:val="auto"/>
                <w:w w:val="90"/>
              </w:rPr>
              <w:t>June 30,</w:t>
            </w:r>
          </w:p>
        </w:tc>
        <w:tc>
          <w:tcPr>
            <w:tcW w:w="400" w:type="dxa"/>
            <w:vAlign w:val="bottom"/>
          </w:tcPr>
          <w:p>
            <w:pPr>
              <w:spacing w:after="0"/>
              <w:rPr>
                <w:sz w:val="16"/>
                <w:szCs w:val="16"/>
                <w:color w:val="auto"/>
              </w:rPr>
            </w:pPr>
          </w:p>
        </w:tc>
        <w:tc>
          <w:tcPr>
            <w:tcW w:w="1440" w:type="dxa"/>
            <w:vAlign w:val="bottom"/>
          </w:tcPr>
          <w:p>
            <w:pPr>
              <w:jc w:val="right"/>
              <w:ind w:right="535"/>
              <w:spacing w:after="0"/>
              <w:rPr>
                <w:sz w:val="20"/>
                <w:szCs w:val="20"/>
                <w:color w:val="auto"/>
              </w:rPr>
            </w:pPr>
            <w:r>
              <w:rPr>
                <w:rFonts w:ascii="Arial" w:cs="Arial" w:eastAsia="Arial" w:hAnsi="Arial"/>
                <w:sz w:val="16"/>
                <w:szCs w:val="16"/>
                <w:b w:val="1"/>
                <w:bCs w:val="1"/>
                <w:color w:val="auto"/>
              </w:rPr>
              <w:t>June 30,</w:t>
            </w:r>
          </w:p>
        </w:tc>
        <w:tc>
          <w:tcPr>
            <w:tcW w:w="460" w:type="dxa"/>
            <w:vAlign w:val="bottom"/>
          </w:tcPr>
          <w:p>
            <w:pPr>
              <w:spacing w:after="0"/>
              <w:rPr>
                <w:sz w:val="16"/>
                <w:szCs w:val="16"/>
                <w:color w:val="auto"/>
              </w:rPr>
            </w:pPr>
          </w:p>
        </w:tc>
        <w:tc>
          <w:tcPr>
            <w:tcW w:w="1780" w:type="dxa"/>
            <w:vAlign w:val="bottom"/>
            <w:vMerge w:val="restart"/>
          </w:tcPr>
          <w:p>
            <w:pPr>
              <w:jc w:val="right"/>
              <w:ind w:right="892"/>
              <w:spacing w:after="0"/>
              <w:rPr>
                <w:sz w:val="20"/>
                <w:szCs w:val="20"/>
                <w:color w:val="auto"/>
              </w:rPr>
            </w:pPr>
            <w:r>
              <w:rPr>
                <w:rFonts w:ascii="Arial" w:cs="Arial" w:eastAsia="Arial" w:hAnsi="Arial"/>
                <w:sz w:val="16"/>
                <w:szCs w:val="16"/>
                <w:b w:val="1"/>
                <w:bCs w:val="1"/>
                <w:color w:val="auto"/>
              </w:rPr>
              <w:t>Change</w:t>
            </w:r>
          </w:p>
        </w:tc>
        <w:tc>
          <w:tcPr>
            <w:tcW w:w="170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95"/>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80" w:type="dxa"/>
            <w:vAlign w:val="bottom"/>
            <w:gridSpan w:val="3"/>
          </w:tcPr>
          <w:p>
            <w:pPr>
              <w:jc w:val="right"/>
              <w:ind w:right="912"/>
              <w:spacing w:after="0"/>
              <w:rPr>
                <w:sz w:val="20"/>
                <w:szCs w:val="20"/>
                <w:color w:val="auto"/>
              </w:rPr>
            </w:pPr>
            <w:r>
              <w:rPr>
                <w:rFonts w:ascii="Arial" w:cs="Arial" w:eastAsia="Arial" w:hAnsi="Arial"/>
                <w:sz w:val="16"/>
                <w:szCs w:val="16"/>
                <w:b w:val="1"/>
                <w:bCs w:val="1"/>
                <w:color w:val="auto"/>
              </w:rPr>
              <w:t>(in millions, except percentages)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center"/>
              <w:ind w:left="895"/>
              <w:spacing w:after="0"/>
              <w:rPr>
                <w:sz w:val="20"/>
                <w:szCs w:val="20"/>
                <w:color w:val="auto"/>
              </w:rPr>
            </w:pPr>
            <w:r>
              <w:rPr>
                <w:rFonts w:ascii="Arial" w:cs="Arial" w:eastAsia="Arial" w:hAnsi="Arial"/>
                <w:sz w:val="18"/>
                <w:szCs w:val="18"/>
                <w:color w:val="auto"/>
                <w:w w:val="87"/>
              </w:rPr>
              <w:t>1.2</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(2.8)</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center"/>
              <w:ind w:left="875"/>
              <w:spacing w:after="0"/>
              <w:rPr>
                <w:sz w:val="20"/>
                <w:szCs w:val="20"/>
                <w:color w:val="auto"/>
              </w:rPr>
            </w:pPr>
            <w:r>
              <w:rPr>
                <w:rFonts w:ascii="Arial" w:cs="Arial" w:eastAsia="Arial" w:hAnsi="Arial"/>
                <w:sz w:val="18"/>
                <w:szCs w:val="18"/>
                <w:color w:val="auto"/>
                <w:w w:val="97"/>
              </w:rPr>
              <w:t>(4.5)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92"/>
              <w:spacing w:after="0"/>
              <w:rPr>
                <w:sz w:val="20"/>
                <w:szCs w:val="20"/>
                <w:color w:val="auto"/>
              </w:rPr>
            </w:pPr>
            <w:r>
              <w:rPr>
                <w:rFonts w:ascii="Arial" w:cs="Arial" w:eastAsia="Arial" w:hAnsi="Arial"/>
                <w:sz w:val="18"/>
                <w:szCs w:val="18"/>
                <w:color w:val="auto"/>
              </w:rPr>
              <w:t>(4.5)</w:t>
            </w:r>
          </w:p>
        </w:tc>
        <w:tc>
          <w:tcPr>
            <w:tcW w:w="17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income—net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center"/>
              <w:ind w:left="895"/>
              <w:spacing w:after="0"/>
              <w:rPr>
                <w:sz w:val="20"/>
                <w:szCs w:val="20"/>
                <w:color w:val="auto"/>
              </w:rPr>
            </w:pPr>
            <w:r>
              <w:rPr>
                <w:rFonts w:ascii="Arial" w:cs="Arial" w:eastAsia="Arial" w:hAnsi="Arial"/>
                <w:sz w:val="18"/>
                <w:szCs w:val="18"/>
                <w:color w:val="auto"/>
                <w:w w:val="87"/>
              </w:rPr>
              <w:t>0.8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(0.1)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Interest income decreased by $2.8 million during the three months ended June 30, 2021 compared to the same period last year, as a result of lower interest rates. Interest income varies depending on our average investment balances during the period, types and mix of investments, and market interest rates. Interest expense increased by $4.5 million during the three months ended June 30, 2021 compared to the same period last year, primarily due to the senior notes issued in the first quarter of 2021. Other income—net during the three months ended June 30, 2021 was flat compared to the same period last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540" w:type="dxa"/>
            <w:vAlign w:val="bottom"/>
          </w:tcPr>
          <w:p>
            <w:pPr>
              <w:spacing w:after="0"/>
              <w:rPr>
                <w:sz w:val="18"/>
                <w:szCs w:val="18"/>
                <w:color w:val="auto"/>
              </w:rPr>
            </w:pPr>
          </w:p>
        </w:tc>
        <w:tc>
          <w:tcPr>
            <w:tcW w:w="326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300" w:type="dxa"/>
            <w:vAlign w:val="bottom"/>
          </w:tcPr>
          <w:p>
            <w:pPr>
              <w:jc w:val="center"/>
              <w:ind w:left="477"/>
              <w:spacing w:after="0"/>
              <w:rPr>
                <w:sz w:val="20"/>
                <w:szCs w:val="20"/>
                <w:color w:val="auto"/>
              </w:rPr>
            </w:pPr>
            <w:r>
              <w:rPr>
                <w:rFonts w:ascii="Arial" w:cs="Arial" w:eastAsia="Arial" w:hAnsi="Arial"/>
                <w:sz w:val="16"/>
                <w:szCs w:val="16"/>
                <w:b w:val="1"/>
                <w:bCs w:val="1"/>
                <w:color w:val="auto"/>
                <w:w w:val="90"/>
              </w:rPr>
              <w:t>June 30,</w:t>
            </w:r>
          </w:p>
        </w:tc>
        <w:tc>
          <w:tcPr>
            <w:tcW w:w="600" w:type="dxa"/>
            <w:vAlign w:val="bottom"/>
          </w:tcPr>
          <w:p>
            <w:pPr>
              <w:spacing w:after="0"/>
              <w:rPr>
                <w:sz w:val="16"/>
                <w:szCs w:val="16"/>
                <w:color w:val="auto"/>
              </w:rPr>
            </w:pPr>
          </w:p>
        </w:tc>
        <w:tc>
          <w:tcPr>
            <w:tcW w:w="1360" w:type="dxa"/>
            <w:vAlign w:val="bottom"/>
          </w:tcPr>
          <w:p>
            <w:pPr>
              <w:ind w:left="680"/>
              <w:spacing w:after="0"/>
              <w:rPr>
                <w:sz w:val="20"/>
                <w:szCs w:val="20"/>
                <w:color w:val="auto"/>
              </w:rPr>
            </w:pPr>
            <w:r>
              <w:rPr>
                <w:rFonts w:ascii="Arial" w:cs="Arial" w:eastAsia="Arial" w:hAnsi="Arial"/>
                <w:sz w:val="16"/>
                <w:szCs w:val="16"/>
                <w:b w:val="1"/>
                <w:bCs w:val="1"/>
                <w:color w:val="auto"/>
              </w:rPr>
              <w:t>June 30,</w:t>
            </w:r>
          </w:p>
        </w:tc>
        <w:tc>
          <w:tcPr>
            <w:tcW w:w="540" w:type="dxa"/>
            <w:vAlign w:val="bottom"/>
          </w:tcPr>
          <w:p>
            <w:pPr>
              <w:spacing w:after="0"/>
              <w:rPr>
                <w:sz w:val="16"/>
                <w:szCs w:val="16"/>
                <w:color w:val="auto"/>
              </w:rPr>
            </w:pPr>
          </w:p>
        </w:tc>
        <w:tc>
          <w:tcPr>
            <w:tcW w:w="1340" w:type="dxa"/>
            <w:vAlign w:val="bottom"/>
            <w:vMerge w:val="restart"/>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820" w:type="dxa"/>
            <w:vAlign w:val="bottom"/>
          </w:tcPr>
          <w:p>
            <w:pPr>
              <w:spacing w:after="0"/>
              <w:rPr>
                <w:sz w:val="16"/>
                <w:szCs w:val="16"/>
                <w:color w:val="auto"/>
              </w:rPr>
            </w:pPr>
          </w:p>
        </w:tc>
        <w:tc>
          <w:tcPr>
            <w:tcW w:w="1680" w:type="dxa"/>
            <w:vAlign w:val="bottom"/>
            <w:vMerge w:val="restart"/>
          </w:tcPr>
          <w:p>
            <w:pPr>
              <w:jc w:val="right"/>
              <w:ind w:right="49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40" w:type="dxa"/>
            <w:vAlign w:val="bottom"/>
          </w:tcPr>
          <w:p>
            <w:pPr>
              <w:spacing w:after="0"/>
              <w:rPr>
                <w:sz w:val="18"/>
                <w:szCs w:val="18"/>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40" w:type="dxa"/>
            <w:vAlign w:val="bottom"/>
            <w:gridSpan w:val="3"/>
          </w:tcPr>
          <w:p>
            <w:pPr>
              <w:ind w:left="820"/>
              <w:spacing w:after="0"/>
              <w:rPr>
                <w:sz w:val="20"/>
                <w:szCs w:val="20"/>
                <w:color w:val="auto"/>
              </w:rPr>
            </w:pPr>
            <w:r>
              <w:rPr>
                <w:rFonts w:ascii="Arial" w:cs="Arial" w:eastAsia="Arial" w:hAnsi="Arial"/>
                <w:sz w:val="16"/>
                <w:szCs w:val="16"/>
                <w:b w:val="1"/>
                <w:bCs w:val="1"/>
                <w:color w:val="auto"/>
                <w:w w:val="96"/>
              </w:rPr>
              <w:t>(in millions, except percentages)</w:t>
            </w: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300" w:type="dxa"/>
            <w:vAlign w:val="bottom"/>
            <w:shd w:val="clear" w:color="auto" w:fill="CCEEFF"/>
          </w:tcPr>
          <w:p>
            <w:pPr>
              <w:jc w:val="right"/>
              <w:ind w:right="1097"/>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7.5</w:t>
            </w:r>
          </w:p>
        </w:tc>
        <w:tc>
          <w:tcPr>
            <w:tcW w:w="1360" w:type="dxa"/>
            <w:vAlign w:val="bottom"/>
            <w:shd w:val="clear" w:color="auto" w:fill="CCEEFF"/>
          </w:tcPr>
          <w:p>
            <w:pPr>
              <w:jc w:val="right"/>
              <w:ind w:right="111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w:t>
            </w:r>
          </w:p>
        </w:tc>
        <w:tc>
          <w:tcPr>
            <w:tcW w:w="1340" w:type="dxa"/>
            <w:vAlign w:val="bottom"/>
            <w:shd w:val="clear" w:color="auto" w:fill="CCEEFF"/>
          </w:tcPr>
          <w:p>
            <w:pPr>
              <w:jc w:val="right"/>
              <w:ind w:right="103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1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5 %</w:t>
            </w:r>
          </w:p>
        </w:tc>
        <w:tc>
          <w:tcPr>
            <w:tcW w:w="1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8 %</w:t>
            </w: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firstLine="648"/>
        <w:spacing w:after="0" w:line="228" w:lineRule="auto"/>
        <w:rPr>
          <w:sz w:val="20"/>
          <w:szCs w:val="20"/>
          <w:color w:val="auto"/>
        </w:rPr>
      </w:pPr>
      <w:r>
        <w:rPr>
          <w:rFonts w:ascii="Arial" w:cs="Arial" w:eastAsia="Arial" w:hAnsi="Arial"/>
          <w:sz w:val="18"/>
          <w:szCs w:val="18"/>
          <w:color w:val="auto"/>
        </w:rPr>
        <w:t>Our effective tax rate was 5% for the three months ended June 30, 2021 compared to an effective tax rate of 8% for the same period last year. The provision for income taxes for the three months ended June 30, 2021 was primarily comprised of U.S. federal and state taxes, withholding taxes and foreign taxes that were $38.0 million. This tax provision for income taxes was favorably affected by a tax benefit of $7.1 million from the foreign-derived intangible income deduction, excess tax benefits from stock-based compensation expense of $18.2 million and release of reserves of $5.2 million on uncertain tax positions and the interest due to the expiration of the statute of limitations.</w:t>
      </w:r>
    </w:p>
    <w:p>
      <w:pPr>
        <w:spacing w:after="0" w:line="218"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The provision for income taxes for the three months ended June 30, 2020 was comprised of U.S. federal and state taxes, withholding taxes, and foreign taxes that were $33.6 million, which were offset by a tax benefit of $5.0 million from the FDII deduction, excess tax benefits from stock-based compensation expense of $10.0 million and release of reserves of $8.7 million on uncertain tax positions and the interest due to the expiration of the statute of limitations.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and June 30,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ind w:left="380"/>
              <w:spacing w:after="0"/>
              <w:rPr>
                <w:sz w:val="20"/>
                <w:szCs w:val="20"/>
                <w:color w:val="auto"/>
              </w:rPr>
            </w:pPr>
            <w:r>
              <w:rPr>
                <w:rFonts w:ascii="Arial" w:cs="Arial" w:eastAsia="Arial" w:hAnsi="Arial"/>
                <w:sz w:val="16"/>
                <w:szCs w:val="16"/>
                <w:b w:val="1"/>
                <w:bCs w:val="1"/>
                <w:color w:val="auto"/>
              </w:rPr>
              <w:t>Six Months Ended</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left="673"/>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left="733"/>
              <w:spacing w:after="0"/>
              <w:rPr>
                <w:sz w:val="20"/>
                <w:szCs w:val="20"/>
                <w:color w:val="auto"/>
              </w:rPr>
            </w:pPr>
            <w:r>
              <w:rPr>
                <w:rFonts w:ascii="Arial" w:cs="Arial" w:eastAsia="Arial" w:hAnsi="Arial"/>
                <w:sz w:val="16"/>
                <w:szCs w:val="16"/>
                <w:b w:val="1"/>
                <w:bCs w:val="1"/>
                <w:color w:val="auto"/>
                <w:w w:val="90"/>
              </w:rPr>
              <w:t>June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753"/>
              <w:spacing w:after="0"/>
              <w:rPr>
                <w:sz w:val="20"/>
                <w:szCs w:val="20"/>
                <w:color w:val="auto"/>
              </w:rPr>
            </w:pPr>
            <w:r>
              <w:rPr>
                <w:rFonts w:ascii="Arial" w:cs="Arial" w:eastAsia="Arial" w:hAnsi="Arial"/>
                <w:sz w:val="16"/>
                <w:szCs w:val="16"/>
                <w:b w:val="1"/>
                <w:bCs w:val="1"/>
                <w:color w:val="auto"/>
                <w:w w:val="89"/>
              </w:rPr>
              <w:t>2020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0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6"/>
                <w:szCs w:val="16"/>
                <w:color w:val="auto"/>
              </w:rPr>
            </w:pPr>
          </w:p>
        </w:tc>
        <w:tc>
          <w:tcPr>
            <w:tcW w:w="144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6"/>
                <w:szCs w:val="16"/>
                <w:color w:val="auto"/>
              </w:rPr>
            </w:pPr>
          </w:p>
        </w:tc>
        <w:tc>
          <w:tcPr>
            <w:tcW w:w="94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10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10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9"/>
              </w:rPr>
              <w:t>(in millions, except percentages)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134.8</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33 %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26 %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 by geography:</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124.3</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25 %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EMEA</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APAC</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420" w:type="dxa"/>
            <w:vAlign w:val="bottom"/>
            <w:tcBorders>
              <w:bottom w:val="single" w:sz="8" w:color="CCEEFF"/>
            </w:tcBorders>
          </w:tcPr>
          <w:p>
            <w:pPr>
              <w:ind w:left="10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4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2"/>
              </w:rPr>
              <w:t>26 %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Total revenue increased by $316.1 million, or 26%, during the six months ended June 30, 2021 compared to the same period last year. We continued to experience largely organic revenue growth (i.e. revenue growth excluding attribution from acquisitions) with diversification of revenue geographically, and across both customer and industry segments. Revenue from all regions grew, with EMEA contributing the largest portion of the increase on an absolute dollar basis and on a percentage basis.</w:t>
      </w:r>
    </w:p>
    <w:p>
      <w:pPr>
        <w:spacing w:after="0" w:line="214"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Product revenue increased by $134.8 million, or 33%, during the six months ended June 30, 2021 compared to the same period last year. We experienced revenue growth across many of our products primarily due to an increase in product revenue from our security fabric platform products, including our SD-WAN solutions, and software licenses.</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Service revenue increased by $181.3 million, or 23%, during the six months ended June 30, 2021 compared to the same period last year. FortiGuard security subscription and FortiCare technical support and other revenues increased by $94.2 million, or 22%, and by $87.1 million, or 24%, respectively, during the six months ended June 30, 2021 compared to the same period last year. The increases were primarily due to the recognition of revenue from our growing deferred revenue balance related to FortiGuard and other security subscriptions and FortiCare technical support, including our customers moving to higher-tier support offerings.</w:t>
      </w:r>
    </w:p>
    <w:p>
      <w:pPr>
        <w:spacing w:after="0" w:line="215"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Of the service revenue recognized during the six months ended June 30, 2021, 81% was included in the deferred revenue balance as of December 31,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83" w:right="4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6"/>
                <w:szCs w:val="16"/>
                <w:b w:val="1"/>
                <w:bCs w:val="1"/>
                <w:color w:val="auto"/>
                <w:w w:val="95"/>
              </w:rPr>
              <w:t>Six Months Ended</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restart"/>
          </w:tcPr>
          <w:p>
            <w:pPr>
              <w:jc w:val="right"/>
              <w:ind w:right="33"/>
              <w:spacing w:after="0"/>
              <w:rPr>
                <w:sz w:val="20"/>
                <w:szCs w:val="20"/>
                <w:color w:val="auto"/>
              </w:rPr>
            </w:pPr>
            <w:r>
              <w:rPr>
                <w:rFonts w:ascii="Arial" w:cs="Arial" w:eastAsia="Arial" w:hAnsi="Arial"/>
                <w:sz w:val="16"/>
                <w:szCs w:val="16"/>
                <w:b w:val="1"/>
                <w:bCs w:val="1"/>
                <w:color w:val="auto"/>
              </w:rPr>
              <w:t>Change</w:t>
            </w:r>
          </w:p>
        </w:tc>
        <w:tc>
          <w:tcPr>
            <w:tcW w:w="500" w:type="dxa"/>
            <w:vAlign w:val="bottom"/>
          </w:tcPr>
          <w:p>
            <w:pPr>
              <w:spacing w:after="0"/>
              <w:rPr>
                <w:sz w:val="16"/>
                <w:szCs w:val="16"/>
                <w:color w:val="auto"/>
              </w:rPr>
            </w:pPr>
          </w:p>
        </w:tc>
        <w:tc>
          <w:tcPr>
            <w:tcW w:w="204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126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4"/>
          </w:tcPr>
          <w:p>
            <w:pPr>
              <w:ind w:left="780"/>
              <w:spacing w:after="0"/>
              <w:rPr>
                <w:sz w:val="20"/>
                <w:szCs w:val="20"/>
                <w:color w:val="auto"/>
              </w:rPr>
            </w:pPr>
            <w:r>
              <w:rPr>
                <w:rFonts w:ascii="Arial" w:cs="Arial" w:eastAsia="Arial" w:hAnsi="Arial"/>
                <w:sz w:val="16"/>
                <w:szCs w:val="16"/>
                <w:b w:val="1"/>
                <w:bCs w:val="1"/>
                <w:color w:val="auto"/>
                <w:w w:val="99"/>
              </w:rPr>
              <w:t>(in millions, except percentages)</w:t>
            </w:r>
          </w:p>
        </w:tc>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1260" w:type="dxa"/>
            <w:vAlign w:val="bottom"/>
          </w:tcPr>
          <w:p>
            <w:pPr>
              <w:jc w:val="right"/>
              <w:ind w:right="1055"/>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51"/>
              <w:spacing w:after="0"/>
              <w:rPr>
                <w:sz w:val="20"/>
                <w:szCs w:val="20"/>
                <w:color w:val="auto"/>
              </w:rPr>
            </w:pPr>
            <w:r>
              <w:rPr>
                <w:rFonts w:ascii="Arial" w:cs="Arial" w:eastAsia="Arial" w:hAnsi="Arial"/>
                <w:sz w:val="18"/>
                <w:szCs w:val="18"/>
                <w:color w:val="auto"/>
                <w:w w:val="88"/>
              </w:rPr>
              <w:t>206.9</w:t>
            </w:r>
          </w:p>
        </w:tc>
        <w:tc>
          <w:tcPr>
            <w:tcW w:w="100" w:type="dxa"/>
            <w:vAlign w:val="bottom"/>
          </w:tcPr>
          <w:p>
            <w:pPr>
              <w:spacing w:after="0"/>
              <w:rPr>
                <w:sz w:val="19"/>
                <w:szCs w:val="19"/>
                <w:color w:val="auto"/>
              </w:rPr>
            </w:pPr>
          </w:p>
        </w:tc>
        <w:tc>
          <w:tcPr>
            <w:tcW w:w="1260" w:type="dxa"/>
            <w:vAlign w:val="bottom"/>
          </w:tcPr>
          <w:p>
            <w:pPr>
              <w:jc w:val="right"/>
              <w:ind w:right="107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88"/>
              </w:rPr>
              <w:t>160.7</w:t>
            </w:r>
          </w:p>
        </w:tc>
        <w:tc>
          <w:tcPr>
            <w:tcW w:w="120" w:type="dxa"/>
            <w:vAlign w:val="bottom"/>
          </w:tcPr>
          <w:p>
            <w:pPr>
              <w:spacing w:after="0"/>
              <w:rPr>
                <w:sz w:val="19"/>
                <w:szCs w:val="19"/>
                <w:color w:val="auto"/>
              </w:rPr>
            </w:pPr>
          </w:p>
        </w:tc>
        <w:tc>
          <w:tcPr>
            <w:tcW w:w="1240" w:type="dxa"/>
            <w:vAlign w:val="bottom"/>
          </w:tcPr>
          <w:p>
            <w:pPr>
              <w:jc w:val="right"/>
              <w:ind w:right="105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46.2</w:t>
            </w:r>
          </w:p>
        </w:tc>
        <w:tc>
          <w:tcPr>
            <w:tcW w:w="204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88"/>
              </w:rPr>
              <w:t>136.6</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8"/>
              </w:rPr>
              <w:t>103.1</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Total cost of revenue</w:t>
            </w:r>
          </w:p>
        </w:tc>
        <w:tc>
          <w:tcPr>
            <w:tcW w:w="1260" w:type="dxa"/>
            <w:vAlign w:val="bottom"/>
            <w:tcBorders>
              <w:bottom w:val="single" w:sz="8" w:color="auto"/>
            </w:tcBorders>
          </w:tcPr>
          <w:p>
            <w:pPr>
              <w:jc w:val="right"/>
              <w:ind w:right="105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88"/>
              </w:rPr>
              <w:t>343.5</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07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8"/>
              </w:rPr>
              <w:t>263.8</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5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204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 (%):</w:t>
            </w: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61.6 %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60.2 %</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Total gross margin</w:t>
            </w:r>
          </w:p>
        </w:tc>
        <w:tc>
          <w:tcPr>
            <w:tcW w:w="1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77.3 %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77.9 %</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Total gross margin decreased by 0.6 percentage points during the six months ended June 30, 2021 compared to the same period last year, driven by change in revenue to lower margin product revenue from higher margin service revenue.</w:t>
      </w:r>
    </w:p>
    <w:p>
      <w:pPr>
        <w:spacing w:after="0" w:line="210"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Product gross margin increased by 1.4 percentage points during the six months ended June 30, 2021 compared to the same period last year. Product gross margin benefited from lower direct and indirect product costs as a percentage of product revenue. Cost of product revenue was comprised primarily of third-party contract manufacturers’ costs and the costs of materials used in production.</w:t>
      </w:r>
    </w:p>
    <w:p>
      <w:pPr>
        <w:spacing w:after="0" w:line="211"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Service gross margin decreased by 1.0 percentage points during the six months ended June 30, 2021 compared to the same period last year. Cost of service revenue was comprised primarily of personnel costs and data center costs. The decrease in service gross margin was primarily due to foreign currency fluctuations and increased costs associated with an expansion in our data centers.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ind w:left="380"/>
              <w:spacing w:after="0"/>
              <w:rPr>
                <w:sz w:val="20"/>
                <w:szCs w:val="20"/>
                <w:color w:val="auto"/>
              </w:rPr>
            </w:pPr>
            <w:r>
              <w:rPr>
                <w:rFonts w:ascii="Arial" w:cs="Arial" w:eastAsia="Arial" w:hAnsi="Arial"/>
                <w:sz w:val="16"/>
                <w:szCs w:val="16"/>
                <w:b w:val="1"/>
                <w:bCs w:val="1"/>
                <w:color w:val="auto"/>
              </w:rPr>
              <w:t>Six Months Ended</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left="673"/>
              <w:spacing w:after="0"/>
              <w:rPr>
                <w:sz w:val="20"/>
                <w:szCs w:val="20"/>
                <w:color w:val="auto"/>
              </w:rPr>
            </w:pPr>
            <w:r>
              <w:rPr>
                <w:rFonts w:ascii="Arial" w:cs="Arial" w:eastAsia="Arial" w:hAnsi="Arial"/>
                <w:sz w:val="16"/>
                <w:szCs w:val="16"/>
                <w:b w:val="1"/>
                <w:bCs w:val="1"/>
                <w:color w:val="auto"/>
                <w:w w:val="90"/>
              </w:rPr>
              <w:t>June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left="734"/>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2021</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734"/>
              <w:spacing w:after="0"/>
              <w:rPr>
                <w:sz w:val="20"/>
                <w:szCs w:val="20"/>
                <w:color w:val="auto"/>
              </w:rPr>
            </w:pPr>
            <w:r>
              <w:rPr>
                <w:rFonts w:ascii="Arial" w:cs="Arial" w:eastAsia="Arial" w:hAnsi="Arial"/>
                <w:sz w:val="16"/>
                <w:szCs w:val="16"/>
                <w:b w:val="1"/>
                <w:bCs w:val="1"/>
                <w:color w:val="auto"/>
                <w:w w:val="95"/>
              </w:rPr>
              <w:t>2020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0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6"/>
                <w:szCs w:val="16"/>
                <w:color w:val="auto"/>
              </w:rPr>
            </w:pPr>
          </w:p>
        </w:tc>
        <w:tc>
          <w:tcPr>
            <w:tcW w:w="144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6"/>
                <w:szCs w:val="16"/>
                <w:color w:val="auto"/>
              </w:rPr>
            </w:pPr>
          </w:p>
        </w:tc>
        <w:tc>
          <w:tcPr>
            <w:tcW w:w="9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10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w w:val="89"/>
              </w:rPr>
              <w:t>Revenue</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10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8"/>
              </w:rPr>
              <w:t>(in millions, except percentages)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41.4</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25 %</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1420" w:type="dxa"/>
            <w:vAlign w:val="bottom"/>
          </w:tcPr>
          <w:p>
            <w:pPr>
              <w:ind w:left="10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IP matter</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4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29 %</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Percentages have been rounded for presentation purposes and may differ from unrounded results.</w:t>
      </w: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Research and development expense increased by $41.4 million, or 25%, during the six months ended June 30, 2021 compared to the same period last year, primarily due to an increase of $34.6 million in personnel-related costs as a result of increased headcount to support the development of new products and continued enhancements to our existing products. In addition, product development costs, such as third-party testing and prototypes, increased by $7.3 million. We currently intend to continue to invest in our research and development organization, and expect research and development expense to increase in absolute dollars during the remainder of 2021.</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Sales and marketing expense increased by $117.1 million, or 23%, during the six months ended June 30, 2021 compared to the same period last year, primarily due to an increase of $104.3 million in personnel-related costs as a result of increases to sales and marketing headcount in order to drive global market revenue increases and foreign currency fluctuations. Marketing-related expense increased by $11.2 million. We currently intend to continue to make investments in sales and marketing resources, which are critical to support our future growth, and expect sales and marketing expense to increase in absolute dollars during the remainder of 2021.</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General and administrative expense increased by $8.7 million, or 15%, during the six months ended June 30, 2021 compared to the same period last year, primarily due to an increase in personnel-related costs of $5.3 million and an increase in professional services fee of $3.4 million, partially offset by a decrease of $1.2 million in the provision for expected credit losses. We currently expect general and administrative expense to increase in absolute dollars during the remainder of 2021.</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Gain on IP matter</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January 2020, we entered into an agreement with a competitor in the network security industry, whereby, in February 2020, the competitor party paid us a lump sum of $50.0 million for a mutual covenant-not-to-sue for patent claims. During the six months ended June 30, 2021, we recorded $2.3 million in amortization of the deferred component as a gain on IP matter in our condensed consolidated statements of income. During the six months ended June 30, 2020, we recorded $36.0 million upfront and additional $1.9 million in amortization of the deferred component as a gain on IP matter in our condensed consolidated statements of income. See Note 13 of the notes to condensed consolidated financial statements included in Part I, Item 1 of this Quarterly Report on Form 10-Q for additional information regarding the gain on IP matter.</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 and margin</w:t>
      </w:r>
    </w:p>
    <w:p>
      <w:pPr>
        <w:spacing w:after="0" w:line="25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generated operating income of $269.1 million during the six months ended June 30, 2021, an increase of $33.6 million, or 14%, compared to $235.5 million in the same period last year. Operating income as a percentage of revenue decreased to 18% during the six months ended June 30, 2021 compared to 20% in the same period last year. During the six months ended June 30, 2020, we recorded $36.0 million upfront and additional $1.9 million in amortization of the deferred component as a gain on IP matter, which increased our operating margin by 3.2 percentage point. Excluding the impact of this gain, our operating margin increased 1.2 percentage point primarily due to 1.3 percentage point and 0.4 percentage point decrease in sales and marketing expense and general and administrative expense as percentage of revenue, respectively, partially offset by 0.6 percentage point decrease in gross margin.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Six Months Ended</w:t>
            </w:r>
          </w:p>
        </w:tc>
        <w:tc>
          <w:tcPr>
            <w:tcW w:w="120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jc w:val="right"/>
              <w:ind w:right="535"/>
              <w:spacing w:after="0"/>
              <w:rPr>
                <w:sz w:val="20"/>
                <w:szCs w:val="20"/>
                <w:color w:val="auto"/>
              </w:rPr>
            </w:pPr>
            <w:r>
              <w:rPr>
                <w:rFonts w:ascii="Arial" w:cs="Arial" w:eastAsia="Arial" w:hAnsi="Arial"/>
                <w:sz w:val="16"/>
                <w:szCs w:val="16"/>
                <w:b w:val="1"/>
                <w:bCs w:val="1"/>
                <w:color w:val="auto"/>
                <w:w w:val="87"/>
              </w:rPr>
              <w:t>June 30,</w:t>
            </w:r>
          </w:p>
        </w:tc>
        <w:tc>
          <w:tcPr>
            <w:tcW w:w="460" w:type="dxa"/>
            <w:vAlign w:val="bottom"/>
          </w:tcPr>
          <w:p>
            <w:pPr>
              <w:spacing w:after="0"/>
              <w:rPr>
                <w:sz w:val="16"/>
                <w:szCs w:val="16"/>
                <w:color w:val="auto"/>
              </w:rPr>
            </w:pPr>
          </w:p>
        </w:tc>
        <w:tc>
          <w:tcPr>
            <w:tcW w:w="1780" w:type="dxa"/>
            <w:vAlign w:val="bottom"/>
            <w:vMerge w:val="restart"/>
          </w:tcPr>
          <w:p>
            <w:pPr>
              <w:jc w:val="right"/>
              <w:ind w:right="892"/>
              <w:spacing w:after="0"/>
              <w:rPr>
                <w:sz w:val="20"/>
                <w:szCs w:val="20"/>
                <w:color w:val="auto"/>
              </w:rPr>
            </w:pPr>
            <w:r>
              <w:rPr>
                <w:rFonts w:ascii="Arial" w:cs="Arial" w:eastAsia="Arial" w:hAnsi="Arial"/>
                <w:sz w:val="16"/>
                <w:szCs w:val="16"/>
                <w:b w:val="1"/>
                <w:bCs w:val="1"/>
                <w:color w:val="auto"/>
              </w:rPr>
              <w:t>Change</w:t>
            </w:r>
          </w:p>
        </w:tc>
        <w:tc>
          <w:tcPr>
            <w:tcW w:w="170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18"/>
                <w:szCs w:val="18"/>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40" w:type="dxa"/>
            <w:vAlign w:val="bottom"/>
            <w:gridSpan w:val="3"/>
          </w:tcPr>
          <w:p>
            <w:pPr>
              <w:jc w:val="right"/>
              <w:ind w:right="912"/>
              <w:spacing w:after="0"/>
              <w:rPr>
                <w:sz w:val="20"/>
                <w:szCs w:val="20"/>
                <w:color w:val="auto"/>
              </w:rPr>
            </w:pPr>
            <w:r>
              <w:rPr>
                <w:rFonts w:ascii="Arial" w:cs="Arial" w:eastAsia="Arial" w:hAnsi="Arial"/>
                <w:sz w:val="16"/>
                <w:szCs w:val="16"/>
                <w:b w:val="1"/>
                <w:bCs w:val="1"/>
                <w:color w:val="auto"/>
                <w:w w:val="97"/>
              </w:rPr>
              <w:t>(in millions, except percentages)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180" w:type="dxa"/>
            <w:vAlign w:val="bottom"/>
            <w:shd w:val="clear" w:color="auto" w:fill="CCEEFF"/>
          </w:tcPr>
          <w:p>
            <w:pPr>
              <w:jc w:val="right"/>
              <w:ind w:right="99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7"/>
              </w:rPr>
              <w:t>2.3</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(10.9)</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180" w:type="dxa"/>
            <w:vAlign w:val="bottom"/>
          </w:tcPr>
          <w:p>
            <w:pPr>
              <w:jc w:val="right"/>
              <w:ind w:right="994"/>
              <w:spacing w:after="0"/>
              <w:rPr>
                <w:sz w:val="20"/>
                <w:szCs w:val="20"/>
                <w:color w:val="auto"/>
              </w:rPr>
            </w:pPr>
            <w:r>
              <w:rPr>
                <w:rFonts w:ascii="Arial" w:cs="Arial" w:eastAsia="Arial" w:hAnsi="Arial"/>
                <w:sz w:val="18"/>
                <w:szCs w:val="18"/>
                <w:color w:val="auto"/>
                <w:w w:val="79"/>
              </w:rPr>
              <w:t>$</w:t>
            </w:r>
          </w:p>
        </w:tc>
        <w:tc>
          <w:tcPr>
            <w:tcW w:w="660" w:type="dxa"/>
            <w:vAlign w:val="bottom"/>
          </w:tcPr>
          <w:p>
            <w:pPr>
              <w:jc w:val="center"/>
              <w:ind w:left="52"/>
              <w:spacing w:after="0"/>
              <w:rPr>
                <w:sz w:val="20"/>
                <w:szCs w:val="20"/>
                <w:color w:val="auto"/>
              </w:rPr>
            </w:pPr>
            <w:r>
              <w:rPr>
                <w:rFonts w:ascii="Arial" w:cs="Arial" w:eastAsia="Arial" w:hAnsi="Arial"/>
                <w:sz w:val="18"/>
                <w:szCs w:val="18"/>
                <w:color w:val="auto"/>
                <w:w w:val="97"/>
              </w:rPr>
              <w:t>(5.8)</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92"/>
              <w:spacing w:after="0"/>
              <w:rPr>
                <w:sz w:val="20"/>
                <w:szCs w:val="20"/>
                <w:color w:val="auto"/>
              </w:rPr>
            </w:pPr>
            <w:r>
              <w:rPr>
                <w:rFonts w:ascii="Arial" w:cs="Arial" w:eastAsia="Arial" w:hAnsi="Arial"/>
                <w:sz w:val="18"/>
                <w:szCs w:val="18"/>
                <w:color w:val="auto"/>
              </w:rPr>
              <w:t>(5.8)</w:t>
            </w:r>
          </w:p>
        </w:tc>
        <w:tc>
          <w:tcPr>
            <w:tcW w:w="17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c>
          <w:tcPr>
            <w:tcW w:w="1180" w:type="dxa"/>
            <w:vAlign w:val="bottom"/>
            <w:shd w:val="clear" w:color="auto" w:fill="CCEEFF"/>
          </w:tcPr>
          <w:p>
            <w:pPr>
              <w:jc w:val="right"/>
              <w:ind w:right="99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7"/>
              </w:rPr>
              <w:t>(1.2)</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5.9</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Interest income decreased by $10.9 million during the six months ended June 30, 2021 compared to the same period last year, primarily as a result of lower interest rates. Interest income varies depending on our average investment balances during the period, types and mix of investments, and market interest rates. Interest expense increased by $5.8 million during the six months ended June 30, 2021 compared to the same period last year, primarily due to the senior notes issued in the first quarter of 2021. The change in other expense—net during the six months ended June 30, 2021 compared to the same period last year was the result of a $4.3 million impairment charge on an investment in a privately held company during the first quarter of 2020. In addition, foreign currency exchange gain increased by $1.4 million compared to the same period last year.</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56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right"/>
              <w:ind w:right="577"/>
              <w:spacing w:after="0"/>
              <w:rPr>
                <w:sz w:val="20"/>
                <w:szCs w:val="20"/>
                <w:color w:val="auto"/>
              </w:rPr>
            </w:pPr>
            <w:r>
              <w:rPr>
                <w:rFonts w:ascii="Arial" w:cs="Arial" w:eastAsia="Arial" w:hAnsi="Arial"/>
                <w:sz w:val="16"/>
                <w:szCs w:val="16"/>
                <w:b w:val="1"/>
                <w:bCs w:val="1"/>
                <w:color w:val="auto"/>
                <w:w w:val="92"/>
              </w:rPr>
              <w:t>Six Months Ended</w:t>
            </w:r>
          </w:p>
        </w:tc>
        <w:tc>
          <w:tcPr>
            <w:tcW w:w="600" w:type="dxa"/>
            <w:vAlign w:val="bottom"/>
            <w:tcBorders>
              <w:bottom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1240" w:type="dxa"/>
            <w:vAlign w:val="bottom"/>
          </w:tcPr>
          <w:p>
            <w:pPr>
              <w:jc w:val="center"/>
              <w:ind w:left="496"/>
              <w:spacing w:after="0"/>
              <w:rPr>
                <w:sz w:val="20"/>
                <w:szCs w:val="20"/>
                <w:color w:val="auto"/>
              </w:rPr>
            </w:pPr>
            <w:r>
              <w:rPr>
                <w:rFonts w:ascii="Arial" w:cs="Arial" w:eastAsia="Arial" w:hAnsi="Arial"/>
                <w:sz w:val="16"/>
                <w:szCs w:val="16"/>
                <w:b w:val="1"/>
                <w:bCs w:val="1"/>
                <w:color w:val="auto"/>
                <w:w w:val="90"/>
              </w:rPr>
              <w:t>June 30,</w:t>
            </w:r>
          </w:p>
        </w:tc>
        <w:tc>
          <w:tcPr>
            <w:tcW w:w="640" w:type="dxa"/>
            <w:vAlign w:val="bottom"/>
          </w:tcPr>
          <w:p>
            <w:pPr>
              <w:spacing w:after="0"/>
              <w:rPr>
                <w:sz w:val="16"/>
                <w:szCs w:val="16"/>
                <w:color w:val="auto"/>
              </w:rPr>
            </w:pPr>
          </w:p>
        </w:tc>
        <w:tc>
          <w:tcPr>
            <w:tcW w:w="1320" w:type="dxa"/>
            <w:vAlign w:val="bottom"/>
          </w:tcPr>
          <w:p>
            <w:pPr>
              <w:ind w:left="700"/>
              <w:spacing w:after="0"/>
              <w:rPr>
                <w:sz w:val="20"/>
                <w:szCs w:val="20"/>
                <w:color w:val="auto"/>
              </w:rPr>
            </w:pPr>
            <w:r>
              <w:rPr>
                <w:rFonts w:ascii="Arial" w:cs="Arial" w:eastAsia="Arial" w:hAnsi="Arial"/>
                <w:sz w:val="16"/>
                <w:szCs w:val="16"/>
                <w:b w:val="1"/>
                <w:bCs w:val="1"/>
                <w:color w:val="auto"/>
                <w:w w:val="93"/>
              </w:rPr>
              <w:t>June 30,</w:t>
            </w:r>
          </w:p>
        </w:tc>
        <w:tc>
          <w:tcPr>
            <w:tcW w:w="600" w:type="dxa"/>
            <w:vAlign w:val="bottom"/>
          </w:tcPr>
          <w:p>
            <w:pPr>
              <w:spacing w:after="0"/>
              <w:rPr>
                <w:sz w:val="16"/>
                <w:szCs w:val="16"/>
                <w:color w:val="auto"/>
              </w:rPr>
            </w:pPr>
          </w:p>
        </w:tc>
        <w:tc>
          <w:tcPr>
            <w:tcW w:w="1340" w:type="dxa"/>
            <w:vAlign w:val="bottom"/>
            <w:vMerge w:val="restart"/>
          </w:tcPr>
          <w:p>
            <w:pPr>
              <w:jc w:val="right"/>
              <w:ind w:right="35"/>
              <w:spacing w:after="0"/>
              <w:rPr>
                <w:sz w:val="20"/>
                <w:szCs w:val="20"/>
                <w:color w:val="auto"/>
              </w:rPr>
            </w:pPr>
            <w:r>
              <w:rPr>
                <w:rFonts w:ascii="Arial" w:cs="Arial" w:eastAsia="Arial" w:hAnsi="Arial"/>
                <w:sz w:val="16"/>
                <w:szCs w:val="16"/>
                <w:b w:val="1"/>
                <w:bCs w:val="1"/>
                <w:color w:val="auto"/>
              </w:rPr>
              <w:t>Change</w:t>
            </w:r>
          </w:p>
        </w:tc>
        <w:tc>
          <w:tcPr>
            <w:tcW w:w="800" w:type="dxa"/>
            <w:vAlign w:val="bottom"/>
          </w:tcPr>
          <w:p>
            <w:pPr>
              <w:spacing w:after="0"/>
              <w:rPr>
                <w:sz w:val="16"/>
                <w:szCs w:val="16"/>
                <w:color w:val="auto"/>
              </w:rPr>
            </w:pPr>
          </w:p>
        </w:tc>
        <w:tc>
          <w:tcPr>
            <w:tcW w:w="1680" w:type="dxa"/>
            <w:vAlign w:val="bottom"/>
            <w:vMerge w:val="restart"/>
          </w:tcPr>
          <w:p>
            <w:pPr>
              <w:jc w:val="right"/>
              <w:ind w:right="49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60" w:type="dxa"/>
            <w:vAlign w:val="bottom"/>
            <w:gridSpan w:val="3"/>
          </w:tcPr>
          <w:p>
            <w:pPr>
              <w:ind w:left="820"/>
              <w:spacing w:after="0"/>
              <w:rPr>
                <w:sz w:val="20"/>
                <w:szCs w:val="20"/>
                <w:color w:val="auto"/>
              </w:rPr>
            </w:pPr>
            <w:r>
              <w:rPr>
                <w:rFonts w:ascii="Arial" w:cs="Arial" w:eastAsia="Arial" w:hAnsi="Arial"/>
                <w:sz w:val="16"/>
                <w:szCs w:val="16"/>
                <w:b w:val="1"/>
                <w:bCs w:val="1"/>
                <w:color w:val="auto"/>
                <w:w w:val="97"/>
              </w:rPr>
              <w:t>(in millions, except percentages)</w:t>
            </w: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19.7</w:t>
            </w:r>
          </w:p>
        </w:tc>
        <w:tc>
          <w:tcPr>
            <w:tcW w:w="1320" w:type="dxa"/>
            <w:vAlign w:val="bottom"/>
            <w:shd w:val="clear" w:color="auto" w:fill="CCEEFF"/>
          </w:tcPr>
          <w:p>
            <w:pPr>
              <w:jc w:val="right"/>
              <w:ind w:right="105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23.2</w:t>
            </w:r>
          </w:p>
        </w:tc>
        <w:tc>
          <w:tcPr>
            <w:tcW w:w="1340" w:type="dxa"/>
            <w:vAlign w:val="bottom"/>
            <w:shd w:val="clear" w:color="auto" w:fill="CCEEFF"/>
          </w:tcPr>
          <w:p>
            <w:pPr>
              <w:jc w:val="right"/>
              <w:ind w:right="105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(3.5)</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1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7 %</w:t>
            </w:r>
          </w:p>
        </w:tc>
        <w:tc>
          <w:tcPr>
            <w:tcW w:w="1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10 %</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20" w:firstLine="648"/>
        <w:spacing w:after="0" w:line="228" w:lineRule="auto"/>
        <w:rPr>
          <w:sz w:val="20"/>
          <w:szCs w:val="20"/>
          <w:color w:val="auto"/>
        </w:rPr>
      </w:pPr>
      <w:r>
        <w:rPr>
          <w:rFonts w:ascii="Arial" w:cs="Arial" w:eastAsia="Arial" w:hAnsi="Arial"/>
          <w:sz w:val="18"/>
          <w:szCs w:val="18"/>
          <w:color w:val="auto"/>
        </w:rPr>
        <w:t>Our effective tax rate was 7% for the six months ended June 30, 2021 compared to an effective tax rate of 10% for the same period last year. The provision for income taxes for the six months ended June 30, 2021 was primarily comprised of U.S. federal and state taxes, withholding taxes and foreign taxes that were $75.4 million. This tax provision for income taxes was favorably affected by a tax benefit of $15.2 million from the foreign-derived intangible income deduction, excess tax benefits from stock-based compensation expense of $35.3 million and release of reserves of $5.2 million on uncertain tax positions and the interest due to the expiration of the statute of limitations.</w:t>
      </w:r>
    </w:p>
    <w:p>
      <w:pPr>
        <w:spacing w:after="0" w:line="205" w:lineRule="exact"/>
        <w:rPr>
          <w:sz w:val="20"/>
          <w:szCs w:val="20"/>
          <w:color w:val="auto"/>
        </w:rPr>
      </w:pPr>
    </w:p>
    <w:p>
      <w:pPr>
        <w:ind w:right="40" w:firstLine="648"/>
        <w:spacing w:after="0" w:line="231" w:lineRule="auto"/>
        <w:rPr>
          <w:sz w:val="20"/>
          <w:szCs w:val="20"/>
          <w:color w:val="auto"/>
        </w:rPr>
      </w:pPr>
      <w:r>
        <w:rPr>
          <w:rFonts w:ascii="Arial" w:cs="Arial" w:eastAsia="Arial" w:hAnsi="Arial"/>
          <w:sz w:val="18"/>
          <w:szCs w:val="18"/>
          <w:color w:val="auto"/>
        </w:rPr>
        <w:t>The provision for income taxes for the six months ended June 30, 2020 was comprised of U.S. federal and state taxes, withholding taxes, and foreign taxes that were $66.7 million, which were offset by a tax benefit of $9.6 million from the FDII deduction, excess tax benefits from stock-based compensation expense of $25.2 million and release of reserves of $8.7 million on uncertain tax positions and the interest due to the expiration of the statute of limitations.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935"/>
              <w:spacing w:after="0"/>
              <w:rPr>
                <w:sz w:val="20"/>
                <w:szCs w:val="20"/>
                <w:color w:val="auto"/>
              </w:rPr>
            </w:pPr>
            <w:r>
              <w:rPr>
                <w:rFonts w:ascii="Arial" w:cs="Arial" w:eastAsia="Arial" w:hAnsi="Arial"/>
                <w:sz w:val="16"/>
                <w:szCs w:val="16"/>
                <w:b w:val="1"/>
                <w:bCs w:val="1"/>
                <w:color w:val="auto"/>
                <w:w w:val="89"/>
              </w:rPr>
              <w:t>As of</w:t>
            </w:r>
          </w:p>
        </w:tc>
        <w:tc>
          <w:tcPr>
            <w:tcW w:w="1300" w:type="dxa"/>
            <w:vAlign w:val="bottom"/>
            <w:tcBorders>
              <w:bottom w:val="single" w:sz="8" w:color="auto"/>
            </w:tcBorders>
          </w:tcPr>
          <w:p>
            <w:pPr>
              <w:spacing w:after="0"/>
              <w:rPr>
                <w:sz w:val="18"/>
                <w:szCs w:val="18"/>
                <w:color w:val="auto"/>
              </w:rPr>
            </w:pPr>
          </w:p>
        </w:tc>
      </w:tr>
      <w:tr>
        <w:trPr>
          <w:trHeight w:val="158"/>
        </w:trPr>
        <w:tc>
          <w:tcPr>
            <w:tcW w:w="8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w w:val="90"/>
              </w:rPr>
              <w:t>June 30,</w:t>
            </w:r>
          </w:p>
        </w:tc>
        <w:tc>
          <w:tcPr>
            <w:tcW w:w="220" w:type="dxa"/>
            <w:vAlign w:val="bottom"/>
          </w:tcPr>
          <w:p>
            <w:pPr>
              <w:spacing w:after="0"/>
              <w:rPr>
                <w:sz w:val="13"/>
                <w:szCs w:val="13"/>
                <w:color w:val="auto"/>
              </w:rPr>
            </w:pPr>
          </w:p>
        </w:tc>
        <w:tc>
          <w:tcPr>
            <w:tcW w:w="1300" w:type="dxa"/>
            <w:vAlign w:val="bottom"/>
          </w:tcPr>
          <w:p>
            <w:pPr>
              <w:jc w:val="center"/>
              <w:ind w:right="113"/>
              <w:spacing w:after="0" w:line="158" w:lineRule="exact"/>
              <w:rPr>
                <w:sz w:val="20"/>
                <w:szCs w:val="20"/>
                <w:color w:val="auto"/>
              </w:rPr>
            </w:pPr>
            <w:r>
              <w:rPr>
                <w:rFonts w:ascii="Arial" w:cs="Arial" w:eastAsia="Arial" w:hAnsi="Arial"/>
                <w:sz w:val="16"/>
                <w:szCs w:val="16"/>
                <w:b w:val="1"/>
                <w:bCs w:val="1"/>
                <w:color w:val="auto"/>
                <w:w w:val="90"/>
              </w:rPr>
              <w:t>December 31,</w:t>
            </w:r>
          </w:p>
        </w:tc>
      </w:tr>
      <w:tr>
        <w:trPr>
          <w:trHeight w:val="213"/>
        </w:trPr>
        <w:tc>
          <w:tcPr>
            <w:tcW w:w="8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15"/>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89"/>
              </w:rPr>
              <w:t>2020</w:t>
            </w:r>
          </w:p>
        </w:tc>
      </w:tr>
      <w:tr>
        <w:trPr>
          <w:trHeight w:val="210"/>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4"/>
          </w:tcPr>
          <w:p>
            <w:pPr>
              <w:jc w:val="center"/>
              <w:ind w:right="213"/>
              <w:spacing w:after="0"/>
              <w:rPr>
                <w:sz w:val="20"/>
                <w:szCs w:val="20"/>
                <w:color w:val="auto"/>
              </w:rPr>
            </w:pPr>
            <w:r>
              <w:rPr>
                <w:rFonts w:ascii="Arial" w:cs="Arial" w:eastAsia="Arial" w:hAnsi="Arial"/>
                <w:sz w:val="16"/>
                <w:szCs w:val="16"/>
                <w:b w:val="1"/>
                <w:bCs w:val="1"/>
                <w:color w:val="auto"/>
                <w:w w:val="91"/>
              </w:rPr>
              <w:t>(in millions)</w:t>
            </w:r>
          </w:p>
        </w:tc>
      </w:tr>
      <w:tr>
        <w:trPr>
          <w:trHeight w:val="23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1,061.8</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893.8</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investments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60" w:type="dxa"/>
            <w:vAlign w:val="bottom"/>
          </w:tcPr>
          <w:p>
            <w:pPr>
              <w:ind w:left="20"/>
              <w:spacing w:after="0" w:line="203" w:lineRule="exact"/>
              <w:rPr>
                <w:sz w:val="20"/>
                <w:szCs w:val="20"/>
                <w:color w:val="auto"/>
              </w:rPr>
            </w:pPr>
            <w:r>
              <w:rPr>
                <w:rFonts w:ascii="Arial" w:cs="Arial" w:eastAsia="Arial" w:hAnsi="Arial"/>
                <w:sz w:val="18"/>
                <w:szCs w:val="18"/>
                <w:color w:val="auto"/>
              </w:rPr>
              <w:t>Working capital</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1,909.7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910.9</w:t>
            </w:r>
          </w:p>
        </w:tc>
      </w:tr>
      <w:tr>
        <w:trPr>
          <w:trHeight w:val="20"/>
        </w:trPr>
        <w:tc>
          <w:tcPr>
            <w:tcW w:w="8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436"/>
        </w:trPr>
        <w:tc>
          <w:tcPr>
            <w:tcW w:w="8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center"/>
              <w:ind w:right="193"/>
              <w:spacing w:after="0"/>
              <w:rPr>
                <w:sz w:val="20"/>
                <w:szCs w:val="20"/>
                <w:color w:val="auto"/>
              </w:rPr>
            </w:pPr>
            <w:r>
              <w:rPr>
                <w:rFonts w:ascii="Arial" w:cs="Arial" w:eastAsia="Arial" w:hAnsi="Arial"/>
                <w:sz w:val="16"/>
                <w:szCs w:val="16"/>
                <w:b w:val="1"/>
                <w:bCs w:val="1"/>
                <w:color w:val="auto"/>
                <w:w w:val="92"/>
              </w:rPr>
              <w:t>Six Months Ended</w:t>
            </w:r>
          </w:p>
        </w:tc>
      </w:tr>
      <w:tr>
        <w:trPr>
          <w:trHeight w:val="159"/>
        </w:trPr>
        <w:tc>
          <w:tcPr>
            <w:tcW w:w="8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w w:val="90"/>
              </w:rPr>
              <w:t>June 30,</w:t>
            </w:r>
          </w:p>
        </w:tc>
        <w:tc>
          <w:tcPr>
            <w:tcW w:w="220" w:type="dxa"/>
            <w:vAlign w:val="bottom"/>
          </w:tcPr>
          <w:p>
            <w:pPr>
              <w:spacing w:after="0"/>
              <w:rPr>
                <w:sz w:val="13"/>
                <w:szCs w:val="13"/>
                <w:color w:val="auto"/>
              </w:rPr>
            </w:pPr>
          </w:p>
        </w:tc>
        <w:tc>
          <w:tcPr>
            <w:tcW w:w="1300" w:type="dxa"/>
            <w:vAlign w:val="bottom"/>
          </w:tcPr>
          <w:p>
            <w:pPr>
              <w:jc w:val="center"/>
              <w:ind w:right="113"/>
              <w:spacing w:after="0" w:line="158" w:lineRule="exact"/>
              <w:rPr>
                <w:sz w:val="20"/>
                <w:szCs w:val="20"/>
                <w:color w:val="auto"/>
              </w:rPr>
            </w:pPr>
            <w:r>
              <w:rPr>
                <w:rFonts w:ascii="Arial" w:cs="Arial" w:eastAsia="Arial" w:hAnsi="Arial"/>
                <w:sz w:val="16"/>
                <w:szCs w:val="16"/>
                <w:b w:val="1"/>
                <w:bCs w:val="1"/>
                <w:color w:val="auto"/>
                <w:w w:val="90"/>
              </w:rPr>
              <w:t>June 30,</w:t>
            </w:r>
          </w:p>
        </w:tc>
      </w:tr>
      <w:tr>
        <w:trPr>
          <w:trHeight w:val="213"/>
        </w:trPr>
        <w:tc>
          <w:tcPr>
            <w:tcW w:w="8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15"/>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89"/>
              </w:rPr>
              <w:t>2020</w:t>
            </w:r>
          </w:p>
        </w:tc>
      </w:tr>
      <w:tr>
        <w:trPr>
          <w:trHeight w:val="209"/>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4"/>
          </w:tcPr>
          <w:p>
            <w:pPr>
              <w:jc w:val="center"/>
              <w:ind w:right="213"/>
              <w:spacing w:after="0"/>
              <w:rPr>
                <w:sz w:val="20"/>
                <w:szCs w:val="20"/>
                <w:color w:val="auto"/>
              </w:rPr>
            </w:pPr>
            <w:r>
              <w:rPr>
                <w:rFonts w:ascii="Arial" w:cs="Arial" w:eastAsia="Arial" w:hAnsi="Arial"/>
                <w:sz w:val="16"/>
                <w:szCs w:val="16"/>
                <w:b w:val="1"/>
                <w:bCs w:val="1"/>
                <w:color w:val="auto"/>
                <w:w w:val="91"/>
              </w:rPr>
              <w:t>(in millions)</w:t>
            </w:r>
          </w:p>
        </w:tc>
      </w:tr>
      <w:tr>
        <w:trPr>
          <w:trHeight w:val="23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216.8</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(1,089.3)</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w:t>
            </w:r>
          </w:p>
        </w:tc>
      </w:tr>
      <w:tr>
        <w:trPr>
          <w:trHeight w:val="20"/>
        </w:trPr>
        <w:tc>
          <w:tcPr>
            <w:tcW w:w="8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Liquidity and capital resources may be impacted by our operating activities, as well as by our stock repurchases, proceeds from the issuance of common stock, investment grade debt issuance and payment of taxes in connection with the net settlement of equity awards, real estate and other capital expenditures and business acquisitions.</w:t>
      </w:r>
    </w:p>
    <w:p>
      <w:pPr>
        <w:spacing w:after="0" w:line="197" w:lineRule="exact"/>
        <w:rPr>
          <w:sz w:val="20"/>
          <w:szCs w:val="20"/>
          <w:color w:val="auto"/>
        </w:rPr>
      </w:pPr>
    </w:p>
    <w:p>
      <w:pPr>
        <w:ind w:right="20" w:firstLine="648"/>
        <w:spacing w:after="0" w:line="228" w:lineRule="auto"/>
        <w:rPr>
          <w:sz w:val="20"/>
          <w:szCs w:val="20"/>
          <w:color w:val="auto"/>
        </w:rPr>
      </w:pPr>
      <w:r>
        <w:rPr>
          <w:rFonts w:ascii="Arial" w:cs="Arial" w:eastAsia="Arial" w:hAnsi="Arial"/>
          <w:sz w:val="18"/>
          <w:szCs w:val="18"/>
          <w:color w:val="auto"/>
        </w:rPr>
        <w:t>In recent years, we have received significant capital resources from our billings to customers, issuance of investment grade debt and, to some extent, from the exercise of stock options by our employees. Additional increases in billings may depend on a number of factors, including demand for our products and services, competition, market or industry changes, macroeconomic events such as the COVID-19 pandemic and our ability to execute. We expect proceeds from the exercise of stock options in future years to be impacted by the increased mix of restricted stock units versus stock options granted to our employees and to vary based on our share price.</w:t>
      </w:r>
    </w:p>
    <w:p>
      <w:pPr>
        <w:spacing w:after="0" w:line="21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February 2020, we received a cash payment of $50.0 million pursuant to a mutual covenant-not-to-sue and release agreement with a competitor in the network security industry.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July 2020, our board of directors approved a $500.0 million increase in the authorized stock repurchase amount under the Repurchase Program and extended the term of the Repurchase Program to February 28, 2022, bringing the aggregate amount authorized to be repurchased to $3.0 billion. During the six months ended June 30, 2021, we repurchased 0.5 million shares of common stock under the Repurchase Program. As of June 30, 2021, $921.1 million remained available for future share repurchases under the Repurchase Program.</w:t>
      </w:r>
    </w:p>
    <w:p>
      <w:pPr>
        <w:spacing w:after="0" w:line="214"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In March 2021, we issued $1.0 billion aggregate principal amount of senior notes, consisting of $500.0 million aggregate principal amount of 1.0% notes due March 15, 2026 and $500.0 million aggregate principal amount of 2.2% notes due March 15, 2031, in an underwritten registered public offering.</w:t>
      </w:r>
    </w:p>
    <w:p>
      <w:pPr>
        <w:spacing w:after="0" w:line="21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believe that our cash provided by operating activities, together with our existing cash, cash equivalents and investments will be sufficient to meet our anticipated cash needs and do not intend to retire these Notes early. Refer to Note 12. Debt in Part I, Item 1 of this Quarterly Report on Form 10-Q for information on the Notes. As of June 30, 2021, the long-term debt, net of unamortized discount and debt issuance costs, was $987.5 million.</w:t>
      </w:r>
    </w:p>
    <w:p>
      <w:pPr>
        <w:spacing w:after="0" w:line="162" w:lineRule="exact"/>
        <w:rPr>
          <w:sz w:val="20"/>
          <w:szCs w:val="20"/>
          <w:color w:val="auto"/>
        </w:rPr>
      </w:pPr>
    </w:p>
    <w:p>
      <w:pPr>
        <w:ind w:right="80" w:firstLine="648"/>
        <w:spacing w:after="0" w:line="253" w:lineRule="auto"/>
        <w:rPr>
          <w:sz w:val="20"/>
          <w:szCs w:val="20"/>
          <w:color w:val="auto"/>
        </w:rPr>
      </w:pPr>
      <w:r>
        <w:rPr>
          <w:rFonts w:ascii="Arial" w:cs="Arial" w:eastAsia="Arial" w:hAnsi="Arial"/>
          <w:sz w:val="17"/>
          <w:szCs w:val="17"/>
          <w:color w:val="auto"/>
        </w:rPr>
        <w:t>Construction of a second building at our headquarters campus started in the fourth quarter of 2018 and was completed in the second quarter of 2021. We estimate the remaining cash payment on the second building of our headquarters campus project to be approximately $30.0 million in the second half of 2021. We estimate the full year capital expenditures to be between $175.0 and $200.0 million.</w:t>
      </w:r>
    </w:p>
    <w:p>
      <w:pPr>
        <w:spacing w:after="0" w:line="20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June 30, 2021, our cash, cash equivalents and investments of $3.36 billion were invested primarily in deposit accounts, money market funds, corporate debt securities, commercial paper, certificates of deposit and term deposits and U.S. government securities. It is our investment policy to invest excess cash in a manner that preserves capital, provides liquidity and generates return without significantly increasing risk. We do not enter into investments for trading or speculative purposes.</w:t>
      </w:r>
    </w:p>
    <w:p>
      <w:pPr>
        <w:spacing w:after="0" w:line="21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amount of cash, cash equivalents and investments held by our international subsidiaries was $117.8 million as of June 30, 2021 and $119.8 million as of December 31, 2020.</w:t>
      </w:r>
    </w:p>
    <w:p>
      <w:pPr>
        <w:spacing w:after="0" w:line="19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believe that our existing cash and cash equivalents will be sufficient to meet our anticipated cash needs for at least the next 12 months. Our future capital requirements will depend on many factors, including our growth rate, the timing and amount of our share repurchases, the expansion of sales and marketing activities, the introduction of new and enhanced products and services offerings, the continuing market acceptance of our products, the timing and extent of spending to support development efforts, our investments in purchasing or leasing real estate and macroeconomic impacts such as the COVID-19 pandemic.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stock-based compensation, amortization of deferred contract costs and depreciation and amortization. Changes in operating assets and liabilities consist primarily of changes in deferred revenue, accounts receivable and deferred contract costs.</w:t>
      </w:r>
    </w:p>
    <w:p>
      <w:pPr>
        <w:spacing w:after="0" w:line="215" w:lineRule="exact"/>
        <w:rPr>
          <w:sz w:val="20"/>
          <w:szCs w:val="20"/>
          <w:color w:val="auto"/>
        </w:rPr>
      </w:pPr>
    </w:p>
    <w:p>
      <w:pPr>
        <w:jc w:val="both"/>
        <w:ind w:right="160" w:firstLine="648"/>
        <w:spacing w:after="0" w:line="301" w:lineRule="auto"/>
        <w:rPr>
          <w:sz w:val="20"/>
          <w:szCs w:val="20"/>
          <w:color w:val="auto"/>
        </w:rPr>
      </w:pPr>
      <w:r>
        <w:rPr>
          <w:rFonts w:ascii="Arial" w:cs="Arial" w:eastAsia="Arial" w:hAnsi="Arial"/>
          <w:sz w:val="16"/>
          <w:szCs w:val="16"/>
          <w:color w:val="auto"/>
        </w:rPr>
        <w:t>Our operating activities during the six months ended June 30, 2021 provided cash flows of $734.1 million as a result of the continued growth of our business and our ability to successfully manage our working capital. Changes in operating assets and liabilities primarily resulted from an increase in sales of our FortiGuard and other security subscription services and FortiCare technical support services to new and existing customers, as reflected by an increase in our deferred revenue. Our total deferred revenue balance grew $300.1 million, or 12%, during the six months ended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and purchases of property and equipment. Historically, in making a lease versus ownership decision related to our larger facilities, we have considered various factors including financial metrics and the impact on our engineers and other employees. In certain cases, we have elected to own a facility if we believed that ownership rather than leasing is more in line with our long-term strategy. We expect to make similar decisions in the future. We may also make cash payments in connection with future business combinations.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During the six months ended June 30, 2021, cash used in investing activities was $751.7 million, driven by $590.8 million spent for purchases of investments, net of maturities and sales of investments, $75.6 million of purchases of property and equipment, a large portion of which relates to our headquarters building construction, $75.0 million used for purchases of investment in a privately held company and $10.3 million used for the acquisition of ShieldX Networks, Inc. (“ShieldX”), net of cash acquisition.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changes in cash flows from financing activities primarily relate to repurchase and retirement of common stock, taxes paid related to net share settlement of equity awards, net of proceeds from the issuance of common stock under the Amended and Restated Fortinet, Inc. 2009 Equity Incentive Plan and the issuance of long-term notes, net of discount and underwriting.</w:t>
      </w:r>
    </w:p>
    <w:p>
      <w:pPr>
        <w:spacing w:after="0" w:line="21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During the six months ended June 30, 2021, cash provided by financing activities was $835.1 million, primarily driven by $989.4 million in cash proceeds from long-term investment grade debt, net of discount and underwriting fees, partially offset by $91.6 million used to repurchase shares of our common stock and $60.2 million used to pay tax withholding, net of proceeds from the issuance of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52" w:lineRule="exact"/>
        <w:rPr>
          <w:sz w:val="20"/>
          <w:szCs w:val="20"/>
          <w:color w:val="auto"/>
        </w:rPr>
      </w:pPr>
    </w:p>
    <w:p>
      <w:pPr>
        <w:ind w:right="180" w:firstLine="177"/>
        <w:spacing w:after="0" w:line="259" w:lineRule="auto"/>
        <w:rPr>
          <w:sz w:val="20"/>
          <w:szCs w:val="20"/>
          <w:color w:val="auto"/>
        </w:rPr>
      </w:pPr>
      <w:r>
        <w:rPr>
          <w:rFonts w:ascii="Arial" w:cs="Arial" w:eastAsia="Arial" w:hAnsi="Arial"/>
          <w:sz w:val="18"/>
          <w:szCs w:val="18"/>
          <w:color w:val="auto"/>
        </w:rPr>
        <w:t>There were no material changes outside the ordinary course of business during the six months ended June 30, 2021 to the contractual obligations and commitments disclosed in Management’s Discussion and Analysis of Financial Condition and Results of Operations, set forth in Part II, Item 7, of the Form 10-K. See Note 14 of the notes to condensed consolidated financial statements included in Part I, Item 1 of this Quarterly Report on Form 10-Q for additional information regarding contractual obligations and commitments.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As of June 30, 2021,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0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There were no material changes in our market risk during the six months ended June 30, 2021 compared to the disclosures in Part II, Item 7A of the Form 10-K.</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June 30, 2021.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19" w:lineRule="exact"/>
        <w:rPr>
          <w:sz w:val="20"/>
          <w:szCs w:val="20"/>
          <w:color w:val="auto"/>
        </w:rPr>
      </w:pPr>
    </w:p>
    <w:p>
      <w:pPr>
        <w:ind w:right="420" w:firstLine="648"/>
        <w:spacing w:after="0" w:line="257" w:lineRule="auto"/>
        <w:rPr>
          <w:sz w:val="20"/>
          <w:szCs w:val="20"/>
          <w:color w:val="auto"/>
        </w:rPr>
      </w:pPr>
      <w:r>
        <w:rPr>
          <w:rFonts w:ascii="Arial" w:cs="Arial" w:eastAsia="Arial" w:hAnsi="Arial"/>
          <w:sz w:val="18"/>
          <w:szCs w:val="18"/>
          <w:color w:val="auto"/>
        </w:rPr>
        <w:t xml:space="preserve">Based on that evaluation, our chief executive officer and chief financial officer concluded that our disclosure controls and procedures were effective as of June 30, 2021 to provide reasonable assurance that information we are required to disclose in reports that we file or submit under the Exchange Act is recorded, processed, summarized and reported within the time periods specified in </w:t>
      </w:r>
      <w:r>
        <w:rPr>
          <w:rFonts w:ascii="Arial" w:cs="Arial" w:eastAsia="Arial" w:hAnsi="Arial"/>
          <w:sz w:val="18"/>
          <w:szCs w:val="18"/>
          <w:i w:val="1"/>
          <w:iCs w:val="1"/>
          <w:color w:val="auto"/>
        </w:rPr>
        <w:t>SEC</w:t>
      </w:r>
      <w:r>
        <w:rPr>
          <w:rFonts w:ascii="Arial" w:cs="Arial" w:eastAsia="Arial" w:hAnsi="Arial"/>
          <w:sz w:val="18"/>
          <w:szCs w:val="18"/>
          <w:color w:val="auto"/>
        </w:rPr>
        <w:t xml:space="preserve"> rules and forms, and that such information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or 15d-15(f) under the Exchange Act) during the six months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83" w:right="41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Some of the material risks that we face include:</w:t>
      </w:r>
    </w:p>
    <w:p>
      <w:pPr>
        <w:spacing w:after="0" w:line="22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Our operating results are likely to vary significantly and be unpredictable.</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Adverse economic conditions or reduced information technology spending may adversely impact our business.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Our billings, revenue, operating margin and free cash flow growth may slow or may not continue.</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COVID-19 pandemic, including the Delta variant and other variants, could adversely affect our business in a material way.</w:t>
      </w:r>
    </w:p>
    <w:p>
      <w:pPr>
        <w:spacing w:after="0" w:line="255" w:lineRule="exact"/>
        <w:rPr>
          <w:rFonts w:ascii="Arial" w:cs="Arial" w:eastAsia="Arial" w:hAnsi="Arial"/>
          <w:sz w:val="22"/>
          <w:szCs w:val="22"/>
          <w:color w:val="auto"/>
        </w:rPr>
      </w:pPr>
    </w:p>
    <w:p>
      <w:pPr>
        <w:ind w:left="660" w:right="10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We rely on third-party channel partners for substantially all of our revenue and a small number of distributors represents a large percentage of our revenue and gross accounts receivable.</w:t>
      </w:r>
    </w:p>
    <w:p>
      <w:pPr>
        <w:spacing w:after="0" w:line="232"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1"/>
          <w:szCs w:val="21"/>
          <w:color w:val="auto"/>
        </w:rPr>
      </w:pPr>
      <w:r>
        <w:rPr>
          <w:rFonts w:ascii="Arial" w:cs="Arial" w:eastAsia="Arial" w:hAnsi="Arial"/>
          <w:sz w:val="17"/>
          <w:szCs w:val="17"/>
          <w:color w:val="auto"/>
        </w:rPr>
        <w:t>Reliance on a concentration of shipments at the end of the quarter could cause our billings and revenue to fall below expected levels.</w:t>
      </w:r>
    </w:p>
    <w:p>
      <w:pPr>
        <w:spacing w:after="0" w:line="255" w:lineRule="exact"/>
        <w:rPr>
          <w:rFonts w:ascii="Arial" w:cs="Arial" w:eastAsia="Arial" w:hAnsi="Arial"/>
          <w:sz w:val="21"/>
          <w:szCs w:val="21"/>
          <w:color w:val="auto"/>
        </w:rPr>
      </w:pPr>
    </w:p>
    <w:p>
      <w:pPr>
        <w:ind w:left="660" w:right="12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We rely significantly on revenue from FortiGuard security subscription and FortiCare technical support services, and revenue from these services may decline or fluctuate.</w:t>
      </w:r>
    </w:p>
    <w:p>
      <w:pPr>
        <w:spacing w:after="0" w:line="243" w:lineRule="exact"/>
        <w:rPr>
          <w:rFonts w:ascii="Arial" w:cs="Arial" w:eastAsia="Arial" w:hAnsi="Arial"/>
          <w:sz w:val="22"/>
          <w:szCs w:val="22"/>
          <w:color w:val="auto"/>
        </w:rPr>
      </w:pPr>
    </w:p>
    <w:p>
      <w:pPr>
        <w:ind w:left="660" w:right="68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We are dependent on the continued services and performance of our senior management, as well as our ability to hire, retain and motivate qualified personnel, particularly for our sales organization.</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We generate a majority of revenue from sales outside of the United States.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We may not be successful in executing our strategy to increase our sales to large- and medium-sized end-customers.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A portion of our revenue is generated by sales to government organizations, which are subject to a number of challenges and risks.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right="180" w:hanging="328"/>
        <w:spacing w:after="0" w:line="277" w:lineRule="auto"/>
        <w:tabs>
          <w:tab w:leader="none" w:pos="655" w:val="left"/>
        </w:tabs>
        <w:numPr>
          <w:ilvl w:val="0"/>
          <w:numId w:val="26"/>
        </w:numPr>
        <w:rPr>
          <w:rFonts w:ascii="Arial" w:cs="Arial" w:eastAsia="Arial" w:hAnsi="Arial"/>
          <w:sz w:val="19"/>
          <w:szCs w:val="19"/>
          <w:color w:val="auto"/>
        </w:rPr>
      </w:pPr>
      <w:r>
        <w:rPr>
          <w:rFonts w:ascii="Arial" w:cs="Arial" w:eastAsia="Arial" w:hAnsi="Arial"/>
          <w:sz w:val="16"/>
          <w:szCs w:val="16"/>
          <w:color w:val="auto"/>
        </w:rPr>
        <w:t>Our industry is highly competitive and we must accurately predict, prepare for and respond promptly to technological and market developments and changing end-customer needs, including by introducing products and product enhancements and innovations that address a fast-changing technology and threat landscape and that achieve sufficient market acceptance, in order to maintain or improve our competitive position.</w:t>
      </w:r>
    </w:p>
    <w:p>
      <w:pPr>
        <w:spacing w:after="0" w:line="173" w:lineRule="exact"/>
        <w:rPr>
          <w:rFonts w:ascii="Arial" w:cs="Arial" w:eastAsia="Arial" w:hAnsi="Arial"/>
          <w:sz w:val="19"/>
          <w:szCs w:val="19"/>
          <w:color w:val="auto"/>
        </w:rPr>
      </w:pPr>
    </w:p>
    <w:p>
      <w:pPr>
        <w:ind w:left="660" w:right="360" w:hanging="328"/>
        <w:spacing w:after="0" w:line="235"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Insufficient inventory or components, including component or inventory shortages based on the COVID-19 pandemic, chip or component shortages, contract manufacturer’s capacity or other factors affecting the global supply chain or costs, may result in lost sales opportunities or delayed revenue, while excess inventory may harm our gross margins.</w:t>
      </w:r>
    </w:p>
    <w:p>
      <w:pPr>
        <w:spacing w:after="0" w:line="242" w:lineRule="exact"/>
        <w:rPr>
          <w:rFonts w:ascii="Arial" w:cs="Arial" w:eastAsia="Arial" w:hAnsi="Arial"/>
          <w:sz w:val="18"/>
          <w:szCs w:val="18"/>
          <w:color w:val="auto"/>
        </w:rPr>
      </w:pPr>
    </w:p>
    <w:p>
      <w:pPr>
        <w:ind w:left="660" w:right="18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We depend on several third-party manufacturers to build our products and are susceptible to manufacturing delays, capacity constraints and cost increases.</w:t>
      </w:r>
    </w:p>
    <w:p>
      <w:pPr>
        <w:spacing w:after="0" w:line="243" w:lineRule="exact"/>
        <w:rPr>
          <w:rFonts w:ascii="Arial" w:cs="Arial" w:eastAsia="Arial" w:hAnsi="Arial"/>
          <w:sz w:val="22"/>
          <w:szCs w:val="22"/>
          <w:color w:val="auto"/>
        </w:rPr>
      </w:pPr>
    </w:p>
    <w:p>
      <w:pPr>
        <w:ind w:left="660" w:right="10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We are susceptible to supply shortages and disruptions, long lead times for components and supply changes because some of the key components in our products come from limited sources of supply.</w:t>
      </w:r>
    </w:p>
    <w:p>
      <w:pPr>
        <w:spacing w:after="0" w:line="243" w:lineRule="exact"/>
        <w:rPr>
          <w:rFonts w:ascii="Arial" w:cs="Arial" w:eastAsia="Arial" w:hAnsi="Arial"/>
          <w:sz w:val="22"/>
          <w:szCs w:val="22"/>
          <w:color w:val="auto"/>
        </w:rPr>
      </w:pPr>
    </w:p>
    <w:p>
      <w:pPr>
        <w:ind w:left="660" w:right="8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We are susceptible to defects or vulnerabilities in our products or services, as well as reputational harm from the failure or misuse of our products or services.</w:t>
      </w:r>
    </w:p>
    <w:p>
      <w:pPr>
        <w:spacing w:after="0" w:line="216" w:lineRule="exact"/>
        <w:rPr>
          <w:rFonts w:ascii="Arial" w:cs="Arial" w:eastAsia="Arial" w:hAnsi="Arial"/>
          <w:sz w:val="22"/>
          <w:szCs w:val="22"/>
          <w:color w:val="auto"/>
        </w:rPr>
      </w:pPr>
    </w:p>
    <w:p>
      <w:pPr>
        <w:ind w:left="660" w:right="14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and our suppliers are susceptible to cyber threats and to exploits of vulnerabilities that could affect our systems, as well as the security of our products and services and of our customers’ infrastructure.</w:t>
      </w:r>
    </w:p>
    <w:p>
      <w:pPr>
        <w:spacing w:after="0" w:line="21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21"/>
          <w:szCs w:val="21"/>
          <w:color w:val="auto"/>
        </w:rPr>
      </w:pPr>
      <w:r>
        <w:rPr>
          <w:rFonts w:ascii="Arial" w:cs="Arial" w:eastAsia="Arial" w:hAnsi="Arial"/>
          <w:sz w:val="17"/>
          <w:szCs w:val="17"/>
          <w:color w:val="auto"/>
        </w:rPr>
        <w:t>Our proprietary rights may be difficult to enforce and we may be subject to claims by others that we infringe their proprietary technology.</w:t>
      </w:r>
    </w:p>
    <w:p>
      <w:pPr>
        <w:spacing w:after="0" w:line="255" w:lineRule="exact"/>
        <w:rPr>
          <w:rFonts w:ascii="Arial" w:cs="Arial" w:eastAsia="Arial" w:hAnsi="Arial"/>
          <w:sz w:val="21"/>
          <w:szCs w:val="21"/>
          <w:color w:val="auto"/>
        </w:rPr>
      </w:pPr>
    </w:p>
    <w:p>
      <w:pPr>
        <w:ind w:left="660" w:right="10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Global economic uncertainty and weakening product demand caused by political instability, changes in trade agreements and other conflict could adversely affect our business and financial performance.</w:t>
      </w:r>
    </w:p>
    <w:p>
      <w:pPr>
        <w:spacing w:after="0" w:line="243" w:lineRule="exact"/>
        <w:rPr>
          <w:rFonts w:ascii="Arial" w:cs="Arial" w:eastAsia="Arial" w:hAnsi="Arial"/>
          <w:sz w:val="22"/>
          <w:szCs w:val="22"/>
          <w:color w:val="auto"/>
        </w:rPr>
      </w:pPr>
    </w:p>
    <w:p>
      <w:pPr>
        <w:ind w:left="660" w:right="40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Our inability to successfully acquire and integrate other businesses, products or technologies, or to successfully invest in and form successful strategic alliances with other businesses, could seriously harm our competitive position.</w:t>
      </w:r>
    </w:p>
    <w:p>
      <w:pPr>
        <w:spacing w:after="0" w:line="243"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19"/>
          <w:szCs w:val="19"/>
          <w:color w:val="auto"/>
        </w:rPr>
      </w:pPr>
      <w:r>
        <w:rPr>
          <w:rFonts w:ascii="Arial" w:cs="Arial" w:eastAsia="Arial" w:hAnsi="Arial"/>
          <w:sz w:val="16"/>
          <w:szCs w:val="16"/>
          <w:color w:val="auto"/>
        </w:rPr>
        <w:t>The trading price of our common stock may be volatile, which volatility may be exacerbated by share repurchases under our Repurchase Program.</w:t>
      </w:r>
    </w:p>
    <w:p>
      <w:pPr>
        <w:spacing w:after="0" w:line="267" w:lineRule="exact"/>
        <w:rPr>
          <w:rFonts w:ascii="Arial" w:cs="Arial" w:eastAsia="Arial" w:hAnsi="Arial"/>
          <w:sz w:val="19"/>
          <w:szCs w:val="19"/>
          <w:color w:val="auto"/>
        </w:rPr>
      </w:pPr>
    </w:p>
    <w:p>
      <w:pPr>
        <w:ind w:left="660" w:right="10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Anti-takeover provisions contained in our certificate of incorporation and bylaws, as well as provisions of Delaware law, could impair a takeover attempt.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Financial Position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and retain new end-customers or sell additional products and services to our existing end-customers;</w:t>
      </w:r>
    </w:p>
    <w:p>
      <w:pPr>
        <w:spacing w:after="0" w:line="238" w:lineRule="exact"/>
        <w:rPr>
          <w:rFonts w:ascii="Arial" w:cs="Arial" w:eastAsia="Arial" w:hAnsi="Arial"/>
          <w:sz w:val="18"/>
          <w:szCs w:val="18"/>
          <w:color w:val="auto"/>
        </w:rPr>
      </w:pPr>
    </w:p>
    <w:p>
      <w:pPr>
        <w:ind w:left="1300" w:right="560" w:hanging="644"/>
        <w:spacing w:after="0" w:line="261"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 and may be impacted by the COVID-19 pandemic and supply chain constraints in ways that we are not able to foresee;</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timing of channel partner and end-customer orders, and our reliance on a concentration of shipments at the end of each quarter;</w:t>
      </w:r>
    </w:p>
    <w:p>
      <w:pPr>
        <w:spacing w:after="0" w:line="261" w:lineRule="exact"/>
        <w:rPr>
          <w:rFonts w:ascii="Arial" w:cs="Arial" w:eastAsia="Arial" w:hAnsi="Arial"/>
          <w:sz w:val="16"/>
          <w:szCs w:val="16"/>
          <w:color w:val="auto"/>
        </w:rPr>
      </w:pPr>
    </w:p>
    <w:p>
      <w:pPr>
        <w:ind w:left="1300" w:right="80" w:hanging="644"/>
        <w:spacing w:after="0" w:line="261"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to our business, the global economy, disruption of global supply chains and creation of significant volatility and disruption of the financial markets due to the COVID-19 pandemic;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2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new products on schedule and our ability to accurately forecast inventory requirements;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38" w:lineRule="exact"/>
        <w:rPr>
          <w:rFonts w:ascii="Arial" w:cs="Arial" w:eastAsia="Arial" w:hAnsi="Arial"/>
          <w:sz w:val="18"/>
          <w:szCs w:val="18"/>
          <w:color w:val="auto"/>
        </w:rPr>
      </w:pPr>
    </w:p>
    <w:p>
      <w:pPr>
        <w:ind w:left="1300" w:hanging="644"/>
        <w:spacing w:after="0" w:line="270" w:lineRule="auto"/>
        <w:tabs>
          <w:tab w:leader="none" w:pos="1295"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component, including chips and other components, and product inventory shortages, including those caused by factors outside of our control such as the COVID-19 pandemic, international trade disputes or tariffs, natural disasters, health emergencies, power outages, civil unrest, labor disruption, international conflicts, terrorism, wars and critical infrastructure attacks;</w:t>
      </w:r>
    </w:p>
    <w:p>
      <w:pPr>
        <w:spacing w:after="0" w:line="190" w:lineRule="exact"/>
        <w:rPr>
          <w:rFonts w:ascii="Arial" w:cs="Arial" w:eastAsia="Arial" w:hAnsi="Arial"/>
          <w:sz w:val="17"/>
          <w:szCs w:val="17"/>
          <w:color w:val="auto"/>
        </w:rPr>
      </w:pPr>
    </w:p>
    <w:p>
      <w:pPr>
        <w:ind w:left="1300" w:right="12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mix of products sold and the mix of revenue between products and services, as well as the degree to which products and services are bundled and sold together for a package price;</w:t>
      </w:r>
    </w:p>
    <w:p>
      <w:pPr>
        <w:spacing w:after="0" w:line="197" w:lineRule="exact"/>
        <w:rPr>
          <w:rFonts w:ascii="Arial" w:cs="Arial" w:eastAsia="Arial" w:hAnsi="Arial"/>
          <w:sz w:val="18"/>
          <w:szCs w:val="18"/>
          <w:color w:val="auto"/>
        </w:rPr>
      </w:pPr>
    </w:p>
    <w:p>
      <w:pPr>
        <w:ind w:left="1300" w:right="48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 including the effect of the end of product refresh cycles;</w:t>
      </w:r>
    </w:p>
    <w:p>
      <w:pPr>
        <w:spacing w:after="0" w:line="197" w:lineRule="exact"/>
        <w:rPr>
          <w:rFonts w:ascii="Arial" w:cs="Arial" w:eastAsia="Arial" w:hAnsi="Arial"/>
          <w:sz w:val="18"/>
          <w:szCs w:val="18"/>
          <w:color w:val="auto"/>
        </w:rPr>
      </w:pPr>
    </w:p>
    <w:p>
      <w:pPr>
        <w:ind w:left="1300" w:right="180" w:hanging="644"/>
        <w:spacing w:after="0" w:line="243"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decreases in demand by channel partners or end-customers, including any such decreases caused by factors outside of our control such as natural disasters and health emergencies, including earthquakes, droughts, fires, power outages, typhoons, floods, pandemics or epidemics such as the COVID-19 pandemic and manmade events such as civil unrest, labor disruption, international trade disputes, international conflicts, terrorism, wars and critical infrastructure attacks;</w:t>
      </w:r>
    </w:p>
    <w:p>
      <w:pPr>
        <w:spacing w:after="0" w:line="214" w:lineRule="exact"/>
        <w:rPr>
          <w:rFonts w:ascii="Arial" w:cs="Arial" w:eastAsia="Arial" w:hAnsi="Arial"/>
          <w:sz w:val="18"/>
          <w:szCs w:val="18"/>
          <w:color w:val="auto"/>
        </w:rPr>
      </w:pPr>
    </w:p>
    <w:p>
      <w:pPr>
        <w:ind w:left="1300" w:right="10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the time it takes to hire sales personnel and the timing of hiring, and our ability to hire and retain effective sales personnel;</w:t>
      </w:r>
    </w:p>
    <w:p>
      <w:pPr>
        <w:spacing w:after="0" w:line="197" w:lineRule="exact"/>
        <w:rPr>
          <w:rFonts w:ascii="Arial" w:cs="Arial" w:eastAsia="Arial" w:hAnsi="Arial"/>
          <w:sz w:val="18"/>
          <w:szCs w:val="18"/>
          <w:color w:val="auto"/>
        </w:rPr>
      </w:pPr>
    </w:p>
    <w:p>
      <w:pPr>
        <w:ind w:left="1300" w:right="20" w:hanging="644"/>
        <w:spacing w:after="0" w:line="243"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execution risk related to effectively selling to all segments of the market, including enterprise and small- and medium-sized businesses and service providers, and to selling our broad security product and services portfolio, including, among other execution risks, risks associated with the complexity and distraction in selling to all segments and increased competition and unpredictability of timing to close sales deals with large enterprises;</w:t>
      </w:r>
    </w:p>
    <w:p>
      <w:pPr>
        <w:spacing w:after="0" w:line="214" w:lineRule="exact"/>
        <w:rPr>
          <w:rFonts w:ascii="Arial" w:cs="Arial" w:eastAsia="Arial" w:hAnsi="Arial"/>
          <w:sz w:val="18"/>
          <w:szCs w:val="18"/>
          <w:color w:val="auto"/>
        </w:rPr>
      </w:pPr>
    </w:p>
    <w:p>
      <w:pPr>
        <w:ind w:left="1300" w:right="20" w:hanging="644"/>
        <w:spacing w:after="0" w:line="248"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execution risk associated with our efforts to capture the opportunities related to our identified growth drivers, such as risk associated with our ability to capitalize on network security and SD-WAN, infrastructure security, cloud security and endpoint protection, IoT and OT security opportunities;</w:t>
      </w:r>
    </w:p>
    <w:p>
      <w:pPr>
        <w:spacing w:after="0" w:line="208"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seasonal buying patterns of our end-customers;</w:t>
      </w:r>
    </w:p>
    <w:p>
      <w:pPr>
        <w:spacing w:after="0" w:line="238" w:lineRule="exact"/>
        <w:rPr>
          <w:rFonts w:ascii="Arial" w:cs="Arial" w:eastAsia="Arial" w:hAnsi="Arial"/>
          <w:sz w:val="18"/>
          <w:szCs w:val="18"/>
          <w:color w:val="auto"/>
        </w:rPr>
      </w:pPr>
    </w:p>
    <w:p>
      <w:pPr>
        <w:ind w:left="1300" w:right="12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level of our investments in sales and marketing, and the impact of such investments on our operating expenses, operating margin and the productivity and effectiveness of execution of our sales and marketing teams;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timing of revenue recognition for our sales, including any impacts resulting from extension of payment terms to distributors;</w:t>
      </w:r>
    </w:p>
    <w:p>
      <w:pPr>
        <w:spacing w:after="0" w:line="209" w:lineRule="exact"/>
        <w:rPr>
          <w:rFonts w:ascii="Arial" w:cs="Arial" w:eastAsia="Arial" w:hAnsi="Arial"/>
          <w:sz w:val="17"/>
          <w:szCs w:val="17"/>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38" w:lineRule="exact"/>
        <w:rPr>
          <w:rFonts w:ascii="Arial" w:cs="Arial" w:eastAsia="Arial" w:hAnsi="Arial"/>
          <w:sz w:val="18"/>
          <w:szCs w:val="18"/>
          <w:color w:val="auto"/>
        </w:rPr>
      </w:pPr>
    </w:p>
    <w:p>
      <w:pPr>
        <w:ind w:left="1300" w:right="20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actual or perceived vulnerabilities in our products or services, and any actual or perceived breach of our network or our customers’ networks;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198"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growth rates of the network security market in particular and other security and networking markets, such as SD-WAN, for which we sell products and services;</w:t>
      </w:r>
    </w:p>
    <w:p>
      <w:pPr>
        <w:spacing w:after="0" w:line="157" w:lineRule="exact"/>
        <w:rPr>
          <w:rFonts w:ascii="Arial" w:cs="Arial" w:eastAsia="Arial" w:hAnsi="Arial"/>
          <w:sz w:val="18"/>
          <w:szCs w:val="18"/>
          <w:color w:val="auto"/>
        </w:rPr>
      </w:pPr>
    </w:p>
    <w:p>
      <w:pPr>
        <w:ind w:left="1300" w:right="280" w:hanging="644"/>
        <w:spacing w:after="0" w:line="291" w:lineRule="auto"/>
        <w:tabs>
          <w:tab w:leader="none" w:pos="129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220" w:hanging="644"/>
        <w:spacing w:after="0" w:line="261"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deferral of orders from distributors, resellers or end-customers in anticipation of new products or product enhancements announced by us or our competitors;</w:t>
      </w:r>
    </w:p>
    <w:p>
      <w:pPr>
        <w:spacing w:after="0" w:line="157" w:lineRule="exact"/>
        <w:rPr>
          <w:rFonts w:ascii="Arial" w:cs="Arial" w:eastAsia="Arial" w:hAnsi="Arial"/>
          <w:sz w:val="18"/>
          <w:szCs w:val="18"/>
          <w:color w:val="auto"/>
        </w:rPr>
      </w:pPr>
    </w:p>
    <w:p>
      <w:pPr>
        <w:ind w:left="1300" w:right="100" w:hanging="644"/>
        <w:spacing w:after="0" w:line="294" w:lineRule="auto"/>
        <w:tabs>
          <w:tab w:leader="none" w:pos="12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74" w:lineRule="exact"/>
        <w:rPr>
          <w:rFonts w:ascii="Arial" w:cs="Arial" w:eastAsia="Arial" w:hAnsi="Arial"/>
          <w:sz w:val="16"/>
          <w:szCs w:val="16"/>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existing laws and regulations;</w:t>
      </w:r>
    </w:p>
    <w:p>
      <w:pPr>
        <w:spacing w:after="0" w:line="238" w:lineRule="exact"/>
        <w:rPr>
          <w:rFonts w:ascii="Arial" w:cs="Arial" w:eastAsia="Arial" w:hAnsi="Arial"/>
          <w:sz w:val="18"/>
          <w:szCs w:val="18"/>
          <w:color w:val="auto"/>
        </w:rPr>
      </w:pPr>
    </w:p>
    <w:p>
      <w:pPr>
        <w:ind w:left="1300" w:right="380" w:hanging="644"/>
        <w:spacing w:after="0" w:line="261"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and maintain permits and clearances, that are applicable to our ability to conduct business with the public sector, including the U.S. federal government, and other sectors;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litigation, litigation fees and costs, settlements, judgments and other equitable and legal relief granted related to litigation;</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cloud-based platforms on our billings, revenues, operating margins and free cash flow;</w:t>
      </w:r>
    </w:p>
    <w:p>
      <w:pPr>
        <w:spacing w:after="0" w:line="198" w:lineRule="exact"/>
        <w:rPr>
          <w:rFonts w:ascii="Arial" w:cs="Arial" w:eastAsia="Arial" w:hAnsi="Arial"/>
          <w:sz w:val="18"/>
          <w:szCs w:val="18"/>
          <w:color w:val="auto"/>
        </w:rPr>
      </w:pPr>
    </w:p>
    <w:p>
      <w:pPr>
        <w:ind w:left="1300" w:right="660" w:hanging="644"/>
        <w:spacing w:after="0" w:line="261"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price competition and increased competitiveness in our market, including the competitive pressure caused by product refresh cycles;</w:t>
      </w:r>
    </w:p>
    <w:p>
      <w:pPr>
        <w:spacing w:after="0" w:line="261" w:lineRule="exact"/>
        <w:rPr>
          <w:rFonts w:ascii="Arial" w:cs="Arial" w:eastAsia="Arial" w:hAnsi="Arial"/>
          <w:sz w:val="16"/>
          <w:szCs w:val="16"/>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both increase revenues and manage and control operating expenses in order to improve our operating margins;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customer renewal rates or attach rates for our services;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timing of our billings and collections for service contracts or the contractual term of service contracts sold;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timing of our billings and collections for our contracts with service providers and distributors;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38" w:lineRule="exact"/>
        <w:rPr>
          <w:rFonts w:ascii="Arial" w:cs="Arial" w:eastAsia="Arial" w:hAnsi="Arial"/>
          <w:sz w:val="18"/>
          <w:szCs w:val="18"/>
          <w:color w:val="auto"/>
        </w:rPr>
      </w:pPr>
    </w:p>
    <w:p>
      <w:pPr>
        <w:ind w:left="1300" w:right="120" w:hanging="644"/>
        <w:spacing w:after="0" w:line="291" w:lineRule="auto"/>
        <w:tabs>
          <w:tab w:leader="none" w:pos="1295"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increased expenses, unforeseen liabilities or write-downs and any impact on results of operations from any acquisition consummated;</w:t>
      </w:r>
    </w:p>
    <w:p>
      <w:pPr>
        <w:spacing w:after="0" w:line="221" w:lineRule="exact"/>
        <w:rPr>
          <w:rFonts w:ascii="Arial" w:cs="Arial" w:eastAsia="Arial" w:hAnsi="Arial"/>
          <w:sz w:val="16"/>
          <w:szCs w:val="16"/>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198"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 including as a result of consolidation among distributors and resellers of security solutions;</w:t>
      </w:r>
    </w:p>
    <w:p>
      <w:pPr>
        <w:spacing w:after="0" w:line="157" w:lineRule="exact"/>
        <w:rPr>
          <w:rFonts w:ascii="Arial" w:cs="Arial" w:eastAsia="Arial" w:hAnsi="Arial"/>
          <w:sz w:val="18"/>
          <w:szCs w:val="18"/>
          <w:color w:val="auto"/>
        </w:rPr>
      </w:pPr>
    </w:p>
    <w:p>
      <w:pPr>
        <w:ind w:left="1300" w:right="180" w:hanging="644"/>
        <w:spacing w:after="0" w:line="261"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97" w:lineRule="exact"/>
        <w:rPr>
          <w:rFonts w:ascii="Arial" w:cs="Arial" w:eastAsia="Arial" w:hAnsi="Arial"/>
          <w:sz w:val="18"/>
          <w:szCs w:val="18"/>
          <w:color w:val="auto"/>
        </w:rPr>
      </w:pPr>
    </w:p>
    <w:p>
      <w:pPr>
        <w:ind w:left="1300" w:right="640" w:hanging="644"/>
        <w:spacing w:after="0" w:line="291" w:lineRule="auto"/>
        <w:tabs>
          <w:tab w:leader="none" w:pos="1295" w:val="left"/>
        </w:tabs>
        <w:numPr>
          <w:ilvl w:val="0"/>
          <w:numId w:val="29"/>
        </w:numPr>
        <w:rPr>
          <w:rFonts w:ascii="Arial" w:cs="Arial" w:eastAsia="Arial" w:hAnsi="Arial"/>
          <w:sz w:val="17"/>
          <w:szCs w:val="17"/>
          <w:color w:val="auto"/>
        </w:rPr>
      </w:pPr>
      <w:r>
        <w:rPr>
          <w:rFonts w:ascii="Arial" w:cs="Arial" w:eastAsia="Arial" w:hAnsi="Arial"/>
          <w:sz w:val="17"/>
          <w:szCs w:val="17"/>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economic and social instability, including geo-political instability and uncertainty;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38" w:lineRule="exact"/>
        <w:rPr>
          <w:rFonts w:ascii="Arial" w:cs="Arial" w:eastAsia="Arial" w:hAnsi="Arial"/>
          <w:sz w:val="18"/>
          <w:szCs w:val="18"/>
          <w:color w:val="auto"/>
        </w:rPr>
      </w:pPr>
    </w:p>
    <w:p>
      <w:pPr>
        <w:ind w:left="1300" w:right="20" w:hanging="644"/>
        <w:spacing w:after="0" w:line="261"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as well as the significant costs that may be incurred to adopt and comply with these new pronouncements;</w:t>
      </w:r>
    </w:p>
    <w:p>
      <w:pPr>
        <w:spacing w:after="0" w:line="197" w:lineRule="exact"/>
        <w:rPr>
          <w:rFonts w:ascii="Arial" w:cs="Arial" w:eastAsia="Arial" w:hAnsi="Arial"/>
          <w:sz w:val="18"/>
          <w:szCs w:val="18"/>
          <w:color w:val="auto"/>
        </w:rPr>
      </w:pPr>
    </w:p>
    <w:p>
      <w:pPr>
        <w:ind w:left="1300" w:right="740" w:hanging="644"/>
        <w:spacing w:after="0" w:line="261"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current real estate holdings and future development plans; and</w:t>
      </w:r>
    </w:p>
    <w:p>
      <w:pPr>
        <w:spacing w:after="0" w:line="197" w:lineRule="exact"/>
        <w:rPr>
          <w:rFonts w:ascii="Arial" w:cs="Arial" w:eastAsia="Arial" w:hAnsi="Arial"/>
          <w:sz w:val="18"/>
          <w:szCs w:val="18"/>
          <w:color w:val="auto"/>
        </w:rPr>
      </w:pPr>
    </w:p>
    <w:p>
      <w:pPr>
        <w:ind w:left="1300" w:right="60" w:hanging="644"/>
        <w:spacing w:after="0" w:line="261"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and applicable accounting standards.</w:t>
      </w:r>
    </w:p>
    <w:p>
      <w:pPr>
        <w:spacing w:after="0" w:line="1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geopolitical instability and uncertainty, weak economic conditions in certain regions or a reduction in information technology spending regardless of macro-economic conditions, including the effects of the COVID-19 pandemic on the foregoing issues, could have adverse impacts on our business, financial condition and results of operations, including longer sales cycles, lower prices for our products and services, higher default rates among our channel partners, reduced unit sales and slower or declining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operating margin and free cash flow growth may slow or may not continue.</w:t>
      </w:r>
    </w:p>
    <w:p>
      <w:pPr>
        <w:spacing w:after="0" w:line="212"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We may experience slowing growth, or a decrease, in billings, revenue, operating margin and free cash flow for a number of reasons, including as a result of the COVID-19 pandemic, a slowdown in demand for our products or services, a shift in demand from products to services, increased competition, a decrease in the growth of our overall market or softness in demand in certain geographies or industry verticals, such as the service provider industry, changes in our strategic opportunities, execution risks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profitability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in a material way.</w:t>
      </w:r>
    </w:p>
    <w:p>
      <w:pPr>
        <w:spacing w:after="0" w:line="252"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The COVID-19 pandemic, including the Delta variant and other COVID-19 variants, has negatively impacted the global economy, disrupted global supply chains and demand for certain solutions and created significant volatility in, and disruption of, global financial markets. The extent of the future impact of the COVID-19 pandemic on our operational and financial performance, including on demand for our products and services, our ability to source components, and our ability to execute our business strategies and initiatives in the expected time frame, will depend on future developments, including the duration and spread of the COVID-19 pandemic and related restrictions on, and disruptions of, business and world economies, all of which are uncertain and difficult to predict. An extended period of global supply chain disruption, demand reduction and economic slowdown would materially negatively affect our overall business and our operating results, including billings, revenue, gross margins, operating margins, cash flows and other operating results. If the spread of the COVID-19 pandemic limits the availability of our products, either by limiting components available, by limiting the actual manufacture and assembly or by limiting or restricting shipping of components and products, this likely would result in increased product backlog, lower billings, lower revenue and decreased profitability and would negatively impact, and may materially negatively impact, our</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results and business. In addition, we may also face personnel-related risks as restrictions related to the COVID-19 pandemic begin to ease and we transition back to an in-person working model, including that our “return to office” plan may be viewed negatively by employees and lead to attrition or to difficulty in hiring.</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Moreover, the COVID-19 pandemic has created a reduction in certain business activity and demand for certain solutions, which we believe has negatively impacted our billings and may in the future materially and negatively affect the rate and amount of our billings. The COVID-19 pandemic may adversely affect certain of our partners’ and customers’ ability or willingness to purchase our products and services, delay certain customers’ purchasing decisions and increase customer attrition rates, all of which will adversely affect our future sales and operating results, possibly in a material way. As a result, we may experience extended sales cycles; our ability to close transactions with new and existing customers and partners may be negatively impacted; our ability to recognize revenue from sales we do close may be negatively impacted; certain businesses will not buy our products and services when they otherwise would have; certain current partners, customers and customer prospects may go out of business or face significant business challenges, thereby negatively impacting our sales; due to product or component shortages, implementation delays or other factors; and our ability to provide technical and other support to our customers may be affected. We have also offered, and may continue to offer, payment terms in excess of our contractual agreements to some of our distributor customers, which may decrease the likelihood that we will be able to collect from these customers. In addition, the COVID-19 pandemic has caused an increase in certain of our expenses, including increased shipping costs, increased cancellation charges and reduced attendance fees due to the cancellation of several of our 2020 Accelerate sales conferences, and it may result in increased component and product manufacturing costs. The COVID-19 pandemic has limited certain demand generation activities, such as conferences and in-person sales meetings, which may reduce our costs, but also may reduce leads that could result in closed sales. The full impact of the COVID-19 pandemic is unknown at this time. While we continue to monitor developments and the potential effect on our business, it is clear that the COVID-19 pandemic will negatively impact certain sales and may have a material negative impact on our operating results in the near term and longer term.</w:t>
      </w:r>
    </w:p>
    <w:p>
      <w:pPr>
        <w:spacing w:after="0" w:line="203"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gross accounts receivable, and one distributor accounted for 32% of our total net accounts receivable as of June 30, 2021.</w:t>
      </w:r>
    </w:p>
    <w:p>
      <w:pPr>
        <w:spacing w:after="0" w:line="18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w:t>
      </w:r>
    </w:p>
    <w:p>
      <w:pPr>
        <w:spacing w:after="0" w:line="19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184"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Exclusive Networks Group (“Exclusive”) accounted for 32% and 34% of our total net accounts receivable as of June 30, 2021 and December 31, 2020, respectively, and six distributor customers accounted for 66% and 70% of our total net</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accounts receivable in the aggregate, respectively. During the three and six months ended June 30, 2021, Exclusive accounted for 31% and 32% of our total revenue, respectively, and Ingram Micro accounted for 12% of our total revenue, respectively. During the three and six months ended June 30, 2020, Exclusive accounted for 31% of our total revenue. In addition to other risks associated with the concentration of accounts receivable and revenue from these distributors, Exclusive is a private equity-backed company and we may not have sufficient information to assess its financial condition and, accordingly, if Exclusive were to experience financial difficulties, we might not have advance notice. Additionally, Exclusive may face liquidity risk, which may harm our ability to collect on our accounts receivable.</w:t>
      </w:r>
    </w:p>
    <w:p>
      <w:pPr>
        <w:spacing w:after="0" w:line="216"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with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our largest distributor Exclusive, and we may not have sufficient information to assess their financial condition. If our channel partners’ financial condition or operations weaken, their ability to sell our product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20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our service provider customers suffer a cyber event impacting end users,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64" w:lineRule="exact"/>
        <w:rPr>
          <w:sz w:val="20"/>
          <w:szCs w:val="20"/>
          <w:color w:val="auto"/>
        </w:rPr>
      </w:pPr>
    </w:p>
    <w:p>
      <w:pPr>
        <w:ind w:right="20" w:firstLine="648"/>
        <w:spacing w:after="0" w:line="268" w:lineRule="auto"/>
        <w:rPr>
          <w:sz w:val="20"/>
          <w:szCs w:val="20"/>
          <w:color w:val="auto"/>
        </w:rPr>
      </w:pPr>
      <w:r>
        <w:rPr>
          <w:rFonts w:ascii="Arial" w:cs="Arial" w:eastAsia="Arial" w:hAnsi="Arial"/>
          <w:sz w:val="16"/>
          <w:szCs w:val="16"/>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or we have system issues that prevent processing in time to realize service billings in a quarter, we will not be able to bill and realize billings for those services until the following quarter,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for any reason or our ability to fulfill orders at the end of any quarter is hindered for any reason, including, among others:</w:t>
      </w:r>
    </w:p>
    <w:p>
      <w:pPr>
        <w:spacing w:after="0" w:line="202"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failure of anticipated purchase orders to materialize;</w:t>
      </w:r>
    </w:p>
    <w:p>
      <w:pPr>
        <w:spacing w:after="0" w:line="252" w:lineRule="exact"/>
        <w:rPr>
          <w:rFonts w:ascii="Arial" w:cs="Arial" w:eastAsia="Arial" w:hAnsi="Arial"/>
          <w:sz w:val="18"/>
          <w:szCs w:val="18"/>
          <w:color w:val="auto"/>
        </w:rPr>
      </w:pPr>
    </w:p>
    <w:p>
      <w:pPr>
        <w:ind w:left="1300" w:right="500" w:hanging="644"/>
        <w:spacing w:after="0" w:line="277"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logistics partners’ failure or inability to ship products prior to quarter-end to fulfill purchase orders received near the end of the quarter;</w:t>
      </w:r>
    </w:p>
    <w:p>
      <w:pPr>
        <w:spacing w:after="0" w:line="224" w:lineRule="exact"/>
        <w:rPr>
          <w:rFonts w:ascii="Arial" w:cs="Arial" w:eastAsia="Arial" w:hAnsi="Arial"/>
          <w:sz w:val="18"/>
          <w:szCs w:val="18"/>
          <w:color w:val="auto"/>
        </w:rPr>
      </w:pPr>
    </w:p>
    <w:p>
      <w:pPr>
        <w:ind w:left="1300" w:right="20" w:hanging="644"/>
        <w:spacing w:after="0" w:line="251" w:lineRule="auto"/>
        <w:tabs>
          <w:tab w:leader="none" w:pos="1295" w:val="left"/>
        </w:tabs>
        <w:numPr>
          <w:ilvl w:val="0"/>
          <w:numId w:val="31"/>
        </w:numPr>
        <w:rPr>
          <w:rFonts w:ascii="Arial" w:cs="Arial" w:eastAsia="Arial" w:hAnsi="Arial"/>
          <w:sz w:val="21"/>
          <w:szCs w:val="21"/>
          <w:color w:val="auto"/>
        </w:rPr>
      </w:pPr>
      <w:r>
        <w:rPr>
          <w:rFonts w:ascii="Arial" w:cs="Arial" w:eastAsia="Arial" w:hAnsi="Arial"/>
          <w:sz w:val="17"/>
          <w:szCs w:val="17"/>
          <w:color w:val="auto"/>
        </w:rPr>
        <w:t>disruption in manufacturing or shipping based on power outages, system failures, labor disputes or constraints, excessive demand, natural disasters or widespread public health problems including pandemics and epidemics such as the COVID-19 pandemic;</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accurately forecast our inventory requirements and to appropriately manage inventory to meet demand;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release new products on schedule;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failure of our systems related to order review and processing; and</w:t>
      </w:r>
    </w:p>
    <w:p>
      <w:pPr>
        <w:spacing w:after="0" w:line="252" w:lineRule="exact"/>
        <w:rPr>
          <w:rFonts w:ascii="Arial" w:cs="Arial" w:eastAsia="Arial" w:hAnsi="Arial"/>
          <w:sz w:val="18"/>
          <w:szCs w:val="18"/>
          <w:color w:val="auto"/>
        </w:rPr>
      </w:pPr>
    </w:p>
    <w:p>
      <w:pPr>
        <w:ind w:left="1300" w:right="40" w:hanging="644"/>
        <w:spacing w:after="0" w:line="277" w:lineRule="auto"/>
        <w:tabs>
          <w:tab w:leader="none" w:pos="12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delays in shipments due to trade compliance requirements, labor disputes or logistics changes at shipping ports, airline strikes, severe weather or otherwise.</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rely significantly on revenue from FortiGuard and other security subscription and FortiCare technical support services, and revenue from these services may decline or fluctuate. Because we recognize revenue from these services over the term of the relevant service period, downturns or upturns in sales of FortiGuard and other security subscription and FortiCare technical support services are not immediately reflected in full in our operating results.</w:t>
      </w:r>
    </w:p>
    <w:p>
      <w:pPr>
        <w:spacing w:after="0" w:line="21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FortiGuard and other security subscription and FortiCare technical support services revenue has historically accounted for a significant percentage of our total revenue. Revenue from the sale of new, or from the renewal of existing, FortiGuard and other security subscription and FortiCare technical support service contracts may decline and fluctuate as a result of a number of factors, including fluctuations in purchases of FortiGate appliances or our Fortinet Security Fabric platform products,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and other security subscription and FortiCare technical support service contracts decline, our revenue and revenue growth may decline and our business could suffer. In addition, in the event significant customers require payment terms for FortiGuard and other security subscription and FortiCare technical support services in arrears or for shorter periods of time than annually, such as monthly or quarterly, this may negatively impact our billings and revenue. Furthermore, we recognize FortiGuard and other security subscription and FortiCare technical support services revenue monthly over the term of the relevant service period, which is typically from one to five years. As a result, much of the FortiGuard and other security subscription and FortiCare technical support services revenue we report each quarter is the recognition of deferred revenue from FortiGuard and other security subscription and FortiCare technical support services contracts entered into during previous quarters or years. Consequently, a decline in new or renewed FortiGuard and other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and other security subscription and FortiCare technical support services is not reflected in full in our statements of income until future periods. Our FortiGuard and other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97"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including the COVID-19 pandemic, could adversely affect our business,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12" w:lineRule="exact"/>
        <w:rPr>
          <w:sz w:val="20"/>
          <w:szCs w:val="20"/>
          <w:color w:val="auto"/>
        </w:rPr>
      </w:pPr>
    </w:p>
    <w:p>
      <w:pPr>
        <w:jc w:val="both"/>
        <w:ind w:right="20" w:firstLine="648"/>
        <w:spacing w:after="0" w:line="296" w:lineRule="auto"/>
        <w:rPr>
          <w:sz w:val="20"/>
          <w:szCs w:val="20"/>
          <w:color w:val="auto"/>
        </w:rPr>
      </w:pPr>
      <w:r>
        <w:rPr>
          <w:rFonts w:ascii="Arial" w:cs="Arial" w:eastAsia="Arial" w:hAnsi="Arial"/>
          <w:sz w:val="16"/>
          <w:szCs w:val="16"/>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retain highly skilled personnel will be critical to our future success.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the Vancouver, Canada area. We may not be successful in attracting, assimilating or retaining qualified personnel to fulfill our current or future needs. The COVID-19 pandemic may also decelerate our hiring and increase the challenge of recruiting qualified personnel to leave their current positions to join us.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indebtedness and may incur other debt in the future, which may adversely affect our financial condition and future financial results.</w:t>
      </w:r>
    </w:p>
    <w:p>
      <w:pPr>
        <w:spacing w:after="0" w:line="27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As of June 30, 2021, we had an aggregate of $987.5 million of indebtedness outstanding under our senior notes. Under the agreements governing our indebtedness, we are permitted to incur additional debt. This debt, and any debt that we may incur in the future, may adversely affect our financial condition and future financial results by, among other things:</w:t>
      </w:r>
    </w:p>
    <w:p>
      <w:pPr>
        <w:spacing w:after="0" w:line="211" w:lineRule="exact"/>
        <w:rPr>
          <w:sz w:val="20"/>
          <w:szCs w:val="20"/>
          <w:color w:val="auto"/>
        </w:rPr>
      </w:pPr>
    </w:p>
    <w:p>
      <w:pPr>
        <w:ind w:left="1300" w:hanging="320"/>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increasing our vulnerability to downturns in our business, to competitive pressures and to adverse economic and industry conditions;</w:t>
      </w:r>
    </w:p>
    <w:p>
      <w:pPr>
        <w:spacing w:after="0" w:line="46" w:lineRule="exact"/>
        <w:rPr>
          <w:rFonts w:ascii="Arial" w:cs="Arial" w:eastAsia="Arial" w:hAnsi="Arial"/>
          <w:sz w:val="16"/>
          <w:szCs w:val="16"/>
          <w:color w:val="auto"/>
        </w:rPr>
      </w:pPr>
    </w:p>
    <w:p>
      <w:pPr>
        <w:ind w:left="660" w:right="260" w:firstLine="320"/>
        <w:spacing w:after="0" w:line="265" w:lineRule="auto"/>
        <w:tabs>
          <w:tab w:leader="none" w:pos="1303"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requiring the dedication of a portion of our expected cash from operations to service our indebtedness, thereby reducing the amount of expected cash flow available for other purposes, including capital expenditures, share repurchases and acquisitions; and</w:t>
      </w: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our industries;</w:t>
      </w:r>
    </w:p>
    <w:p>
      <w:pPr>
        <w:spacing w:after="0" w:line="23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If we are unable to generate sufficient cash flow from operations in the future to service our debt, we may be required, among other things, to seek additional financing in the debt or equity markets, refinance or restructure all or a portion of our indebtedness, sell selected assets or reduce or delay planned capital, operating or investment expenditures. Such measures may not be sufficient to enable us to service our debt.</w:t>
      </w:r>
    </w:p>
    <w:p>
      <w:pPr>
        <w:spacing w:after="0" w:line="192"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Additionally, the agreements governing our indebtedness impose restrictions on us and require us to comply with certain covenants. If we breach any of these covenants and do not obtain a waiver from the noteholders, then, subject to applicable cure periods, any or all of our outstanding indebtedness may be declared immediately due and payable. There can be no assurance that any refinancing or additional financing would be available on terms that are favorable or acceptable to us, if at all.</w:t>
      </w:r>
    </w:p>
    <w:p>
      <w:pPr>
        <w:spacing w:after="0" w:line="214"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Under the terms of our outstanding senior notes, we may be required to repurchase the notes for cash prior to their maturity in connection with the occurrence of certain changes of control that are accompanied by certain downgrades in the credit ratings of the notes. The repayment obligations under the notes may have the effect of discouraging, delaying or preventing a takeover of our company. If we were required to pay the notes prior to their scheduled maturity, it could have a negative impact on our cash position and liquidity and impair our ability to invest financial resources in other strategic initiatives.</w:t>
      </w:r>
    </w:p>
    <w:p>
      <w:pPr>
        <w:spacing w:after="0" w:line="18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changes by any rating agency to our credit rating may negatively impact the value and liquidity of both our debt and equity securities. If our credit ratings are downgraded or other negative action is taken, the interest rate payable by us under our unsecured revolving credit facility may increase. In addition, any downgrades in our credit ratings may affect our ability to obtain additional financing in the future and may negatively impact the terms of any such financing.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Sales and End-Customers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52"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longer sales processes for larger deals, particularly during the summer months or as a result of the COVID-19 pandemic and related travel and gathering restrictions;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uncertainty of protection for IP rights in some countries;</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97" w:lineRule="exact"/>
        <w:rPr>
          <w:rFonts w:ascii="Arial" w:cs="Arial" w:eastAsia="Arial" w:hAnsi="Arial"/>
          <w:sz w:val="18"/>
          <w:szCs w:val="18"/>
          <w:color w:val="auto"/>
        </w:rPr>
      </w:pPr>
    </w:p>
    <w:p>
      <w:pPr>
        <w:ind w:left="1300" w:right="160" w:hanging="644"/>
        <w:spacing w:after="0" w:line="284" w:lineRule="auto"/>
        <w:tabs>
          <w:tab w:leader="none" w:pos="12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disruption in manufacturing or shipping or decreases in demand by channel partners or end-customers, including any such disruption or decreases caused by factors outside of our control such as natural disasters and health emergencies, including earthquakes, droughts, fires, power outages, typhoons, floods, pandemics or epidemics such as the COVID-19 pandemic and manmade events such as civil unrest, labor disruption, international trade disputes, international conflicts, terrorism, wars and critical infrastructure attacks;</w:t>
      </w:r>
    </w:p>
    <w:p>
      <w:pPr>
        <w:spacing w:after="0" w:line="182" w:lineRule="exact"/>
        <w:rPr>
          <w:rFonts w:ascii="Arial" w:cs="Arial" w:eastAsia="Arial" w:hAnsi="Arial"/>
          <w:sz w:val="16"/>
          <w:szCs w:val="16"/>
          <w:color w:val="auto"/>
        </w:rPr>
      </w:pPr>
    </w:p>
    <w:p>
      <w:pPr>
        <w:ind w:left="1300" w:right="200" w:hanging="644"/>
        <w:spacing w:after="0" w:line="243"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a U.S.-headquartered business’s sales in certain countries outside of the U.S. (for example, over the past year, our revenue from sales in China has been insignificant, totaling less than 1% of aggregate revenue, possibly based in part on a preference in China to do business with Chinese businesses over U.S. businesses like Fortinet);</w:t>
      </w:r>
    </w:p>
    <w:p>
      <w:pPr>
        <w:spacing w:after="0" w:line="187" w:lineRule="exact"/>
        <w:rPr>
          <w:rFonts w:ascii="Arial" w:cs="Arial" w:eastAsia="Arial" w:hAnsi="Arial"/>
          <w:sz w:val="18"/>
          <w:szCs w:val="18"/>
          <w:color w:val="auto"/>
        </w:rPr>
      </w:pPr>
    </w:p>
    <w:p>
      <w:pPr>
        <w:ind w:left="1300" w:right="100" w:hanging="644"/>
        <w:spacing w:after="0" w:line="259"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import and export control laws, trade laws and regulations, tariffs and retaliatory measures, trade barriers and economic sanctions;</w:t>
      </w:r>
    </w:p>
    <w:p>
      <w:pPr>
        <w:spacing w:after="0" w:line="213" w:lineRule="exact"/>
        <w:rPr>
          <w:rFonts w:ascii="Arial" w:cs="Arial" w:eastAsia="Arial" w:hAnsi="Arial"/>
          <w:sz w:val="18"/>
          <w:szCs w:val="18"/>
          <w:color w:val="auto"/>
        </w:rPr>
      </w:pPr>
    </w:p>
    <w:p>
      <w:pPr>
        <w:ind w:left="1300" w:right="300" w:hanging="644"/>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97" w:lineRule="exact"/>
        <w:rPr>
          <w:rFonts w:ascii="Arial" w:cs="Arial" w:eastAsia="Arial" w:hAnsi="Arial"/>
          <w:sz w:val="18"/>
          <w:szCs w:val="18"/>
          <w:color w:val="auto"/>
        </w:rPr>
      </w:pPr>
    </w:p>
    <w:p>
      <w:pPr>
        <w:ind w:left="1300" w:right="220" w:hanging="644"/>
        <w:spacing w:after="0" w:line="259"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ability to effectively implement and maintain adequate internal controls to properly manage our international sales and operations;</w:t>
      </w:r>
    </w:p>
    <w:p>
      <w:pPr>
        <w:spacing w:after="0" w:line="275" w:lineRule="exact"/>
        <w:rPr>
          <w:rFonts w:ascii="Arial" w:cs="Arial" w:eastAsia="Arial" w:hAnsi="Arial"/>
          <w:sz w:val="16"/>
          <w:szCs w:val="16"/>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political unrest, changes and uncertainty associated with terrorism, hostilities, war or natural disasters;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tax, tariff, employment and other laws.</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ongoing effects of the COVID-19 pandemic may enhance the severity and unpredictability of a number of the foregoing risks, and the risks to our business presented by the COVID-19 pandemic may be more significant and for a longer term in certain international geographies where we do meaningful business.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20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191" w:lineRule="exact"/>
        <w:rPr>
          <w:sz w:val="20"/>
          <w:szCs w:val="20"/>
          <w:color w:val="auto"/>
        </w:rPr>
      </w:pPr>
    </w:p>
    <w:p>
      <w:pPr>
        <w:ind w:left="1300" w:right="220" w:hanging="644"/>
        <w:spacing w:after="0" w:line="277"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52" w:lineRule="exact"/>
        <w:rPr>
          <w:rFonts w:ascii="Arial" w:cs="Arial" w:eastAsia="Arial" w:hAnsi="Arial"/>
          <w:sz w:val="18"/>
          <w:szCs w:val="18"/>
          <w:color w:val="auto"/>
        </w:rPr>
      </w:pPr>
    </w:p>
    <w:p>
      <w:pPr>
        <w:ind w:left="1300" w:right="120" w:hanging="644"/>
        <w:spacing w:after="0" w:line="263"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83" w:lineRule="exact"/>
        <w:rPr>
          <w:rFonts w:ascii="Arial" w:cs="Arial" w:eastAsia="Arial" w:hAnsi="Arial"/>
          <w:sz w:val="18"/>
          <w:szCs w:val="18"/>
          <w:color w:val="auto"/>
        </w:rPr>
      </w:pPr>
    </w:p>
    <w:p>
      <w:pPr>
        <w:ind w:left="1300" w:right="860" w:hanging="644"/>
        <w:spacing w:after="0" w:line="277"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97"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97" w:lineRule="exact"/>
        <w:rPr>
          <w:rFonts w:ascii="Arial" w:cs="Arial" w:eastAsia="Arial" w:hAnsi="Arial"/>
          <w:sz w:val="18"/>
          <w:szCs w:val="18"/>
          <w:color w:val="auto"/>
        </w:rPr>
      </w:pPr>
    </w:p>
    <w:p>
      <w:pPr>
        <w:ind w:left="1300" w:right="40" w:hanging="644"/>
        <w:spacing w:after="0" w:line="277"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requirements from these customers that we have certain third-party security or other certifications, which we may not have, the lack of which may adversely affect our ability to successfully sell to such customers;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uncertainty as to timing to close large deals and any delays in closing those deals;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firstLine="648"/>
        <w:spacing w:after="0" w:line="267" w:lineRule="auto"/>
        <w:rPr>
          <w:sz w:val="20"/>
          <w:szCs w:val="20"/>
          <w:color w:val="auto"/>
        </w:rPr>
      </w:pPr>
      <w:r>
        <w:rPr>
          <w:rFonts w:ascii="Arial" w:cs="Arial" w:eastAsia="Arial" w:hAnsi="Arial"/>
          <w:sz w:val="16"/>
          <w:szCs w:val="16"/>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the current COVID-19 pandemic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20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addition, mitigation and containment measures adopted by government authorities to contain the spread of COVID-19 in the United States and internationally, including travel restrictions and other requirements that limit in-person meetings, could limit our ability to establish and maintain relationships with new and existing customers, which may exacerbate the risks described above.</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97" w:lineRule="exact"/>
        <w:rPr>
          <w:sz w:val="20"/>
          <w:szCs w:val="20"/>
          <w:color w:val="auto"/>
        </w:rPr>
      </w:pPr>
    </w:p>
    <w:p>
      <w:pPr>
        <w:ind w:right="140" w:firstLine="648"/>
        <w:spacing w:after="0" w:line="251" w:lineRule="auto"/>
        <w:rPr>
          <w:sz w:val="20"/>
          <w:szCs w:val="20"/>
          <w:color w:val="auto"/>
        </w:rPr>
      </w:pPr>
      <w:r>
        <w:rPr>
          <w:rFonts w:ascii="Arial" w:cs="Arial" w:eastAsia="Arial" w:hAnsi="Arial"/>
          <w:sz w:val="17"/>
          <w:szCs w:val="17"/>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those personnel in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especially in light of the COVID-19 pandemic,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 negatively impacted. If we are unable to hire and train sufficient numbers of effective sales personnel, or the sales personnel are not successful in obtaining new end-customers or increasing sales to our existing customer base,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spacing w:after="0" w:line="21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98"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or if we experience turnover and disruption in our sales and marketing teams, we may not be able to achieve sustained growth, and our business, financial condition and results of operations may be adversely affected. We are also limited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in our marketing efforts as a result of the COVID-19 pandemic, as mitigation and containment measures adopted by government authorities to contain the spread of COVID-19, including travel restrictions and other requirements that limit in-person meetings, could limit our ability to establish and maintain relationships with new and existing customers and negatively affect our sales and marketing efforts.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portion of our revenue is generated by sales to government organizations, which are subject to a number of challenges and risks.</w:t>
      </w:r>
    </w:p>
    <w:p>
      <w:pPr>
        <w:spacing w:after="0" w:line="264"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Sales to U.S. and foreign federal, state and local governmental agency end-customers have accounted for a portion of our revenue in past periods.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17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97"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government has and in the future may require them to make operational changes in order to obtain the necessary approvals to sell into the government;</w:t>
      </w:r>
    </w:p>
    <w:p>
      <w:pPr>
        <w:spacing w:after="0" w:line="197" w:lineRule="exact"/>
        <w:rPr>
          <w:rFonts w:ascii="Arial" w:cs="Arial" w:eastAsia="Arial" w:hAnsi="Arial"/>
          <w:sz w:val="18"/>
          <w:szCs w:val="18"/>
          <w:color w:val="auto"/>
        </w:rPr>
      </w:pPr>
    </w:p>
    <w:p>
      <w:pPr>
        <w:ind w:left="1300" w:right="44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97" w:lineRule="exact"/>
        <w:rPr>
          <w:rFonts w:ascii="Arial" w:cs="Arial" w:eastAsia="Arial" w:hAnsi="Arial"/>
          <w:sz w:val="18"/>
          <w:szCs w:val="18"/>
          <w:color w:val="auto"/>
        </w:rPr>
      </w:pPr>
    </w:p>
    <w:p>
      <w:pPr>
        <w:jc w:val="both"/>
        <w:ind w:left="1300" w:right="20" w:hanging="644"/>
        <w:spacing w:after="0" w:line="248"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geopolitical matters, including tariff and trade disputes, government shutdowns and trade protectionism and other political dynamics that may adversely affect our ability to sell in certain locations or obtain the requisite permits and clearances required for certain purchases by government organizations of our products and services; and</w:t>
      </w:r>
    </w:p>
    <w:p>
      <w:pPr>
        <w:spacing w:after="0" w:line="208" w:lineRule="exact"/>
        <w:rPr>
          <w:rFonts w:ascii="Arial" w:cs="Arial" w:eastAsia="Arial" w:hAnsi="Arial"/>
          <w:sz w:val="18"/>
          <w:szCs w:val="18"/>
          <w:color w:val="auto"/>
        </w:rPr>
      </w:pPr>
    </w:p>
    <w:p>
      <w:pPr>
        <w:jc w:val="both"/>
        <w:ind w:left="1300" w:hanging="644"/>
        <w:spacing w:after="0" w:line="263"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 including GSA regulations and certain third-party security certifications, and changes to such rules and regulations that may require us to make operational changes in order to obtain the necessary approvals to sell to government agencies.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Government spending may also be negatively impacted by the COVID-19 pandemic.</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The rules and regulations applicable to sales to government organizations may also negatively impact sales to other organizations. To date, we have had limited traction in sales to U.S.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of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decision by one government agency that our products do not meet certain standards, may cause reputational harm and cause concern with other government agencies, governments and businesses and cause them to not buy our products and services and/or lead to a decrease in demand for our products generally. Finally, purchases by the U.S. government may require certain products to be manufactured in the United States and other high cost manufacturing locations, and we may not manufacture all products in locations that meet the requirements of the U.S. government and may not successfully obtain all certifications or clearances required for certain U.S. government purchases.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Customers, Products and Services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our market and we may not maintain or improve our competitive position.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market for network security products is intensely competitive and dynamic, and we expect competition to continue to intensify. We face many competitors across the different cybersecurity markets. Our competitors include companies such as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Barracuda Networks, Inc., Check Point Software Technologies Ltd., Cisco Systems, Inc. (“Cisco”), CrowdStrike Holdings, Inc., F5 Networks, Inc., FireEye, Inc., Forcepoint LLC, Imperva, Inc., Juniper Networks, Inc. (“Juniper”), McAfee, LLC, Palo Alto Networks, Inc., Proofpoint, Inc., SonicWALL, Inc., Sophos Group Plc, Trend Micro Incorporated and Zscaler, Inc. ("Zscaler").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Some of our existing and potential competitors enjoy competitive advantages such as:</w:t>
      </w:r>
    </w:p>
    <w:p>
      <w:pPr>
        <w:spacing w:after="0" w:line="212"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greater name recognition and/or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stronger U.S. government relationships;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In addition, certain of our larger competitors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21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disrupt our markets, and increase sales by utilizing different distribution channels than we do. For example, certain of our competitors are focusing on delivering security services from the cloud which include cloud-based security providers, such as Zscaler.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20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our new products and product enhancements do not achieve sufficient market acceptance, our results of operations and competitive position will suffer.</w:t>
      </w:r>
    </w:p>
    <w:p>
      <w:pPr>
        <w:spacing w:after="0" w:line="19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spend substantial amounts of time and money to acquire and develop internally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failure to have the appropriate research and development expertise and focus to make our top strategic fabric products successful;</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21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4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Large, well-established providers of networking equipment, such as Cisco,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0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or components may result in lost sales opportunities or delayed revenue, while excess inventory may harm our gross margins.</w:t>
      </w:r>
    </w:p>
    <w:p>
      <w:pPr>
        <w:spacing w:after="0" w:line="197"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if the time required to source components including chips and other components, or manufacture or ship certain products increases for any reason, inventory shortfalls could result and costs to manufacture and ship on-time could increase. If we cannot manufacture and ship our products due to, for example, global chip shortages, excessive demand on contract manufacturers capacity, natural disasters and health emergencies such as earthquakes, fires, power outages, typhoons, floods, cyber events, pandemics and epidemics such as the COVID-19 pandemic or manmade events such as civil unrest, labor disruption, international trade disputes, international conflicts, terrorism, wars and critical infrastructure attacks, our business and financial results could be materially and adversely impacted. For example, the global chip shortage caused by the COVID-19 pandemic and other factors affecting manufacturing capacity in Asia has continued into 2021 and may have an adverse impact on our ability to manage our inventory and to meet product demand in a timely fashion. This shortage may persist for an indefinite period of time. Management of our inventory is further complicated by the significant number of different products and models that we sell which may impact our billings, revenue, margins and free cash flow. Mismanagement of our inventory, whether due to imprecise forecasting, employee errors or malfeasance, inaccurate information or otherwise, may adversely affect our results of operations. The COVID-19 pandemic has resulted in challenges to obtaining components and inventory, as well as increases to freight and shipping costs, and may result in a material adverse effect on our results of operations. In order to mitigate supply chain risk from COVID-19, we have increased our on-hand stock of certain products. If we are unable to sell these products, we would be required to write-off excess inventory, which would have an adverse impact on our results of operations.</w:t>
      </w:r>
    </w:p>
    <w:p>
      <w:pPr>
        <w:spacing w:after="0" w:line="17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211" w:lineRule="exact"/>
        <w:rPr>
          <w:sz w:val="20"/>
          <w:szCs w:val="20"/>
          <w:color w:val="auto"/>
        </w:rPr>
      </w:pPr>
    </w:p>
    <w:p>
      <w:pPr>
        <w:ind w:right="40" w:firstLine="648"/>
        <w:spacing w:after="0" w:line="269" w:lineRule="auto"/>
        <w:rPr>
          <w:sz w:val="20"/>
          <w:szCs w:val="20"/>
          <w:color w:val="auto"/>
        </w:rPr>
      </w:pPr>
      <w:r>
        <w:rPr>
          <w:rFonts w:ascii="Arial" w:cs="Arial" w:eastAsia="Arial" w:hAnsi="Arial"/>
          <w:sz w:val="16"/>
          <w:szCs w:val="16"/>
          <w:color w:val="auto"/>
        </w:rPr>
        <w:t>We outsource the manufacturing of our security appliance products to contract manufacturing partners and original design manufacturing partners, including manufacturers with facilities located in Taiwan, China and other countries outside the United States such as Micro-Star, Wistron, Senao, ADLINK and IBASE. Our reliance on our third-party manufacturers in Asia and elsewhere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global chip shortages, natural disasters and health emergencies such as earthquakes, fires, power outages, typhoons, floods, health pandemics and epidemics such as the COVID-19 pandemic and manmade events such as civil unrest, labor disruption, cyber events, international trade disputes, international conflicts, terrorism, wars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approximately 80% of our hardware is manufactured in Taiwan. Any increase in tensions between China and Taiwan, including threats of military actions or escalation of military activities, could adversely affect our manufacturing operations in Taiwan.</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proprietary SPUs, which are key to the performance of our appliances, are built by contract manufacturers including Renesas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Toshiba. These contract manufacturers use foundries operated by TSMC or Renesas on a purchase-order basis, and these foundries do not guarantee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capacity and could delay orders or increase their pricing. Accordingly, the foundries are not obligated to continue to fulfill our supply requirements,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the long lead time that a new foundry would require, we could suffer inventory shortages of our SPU as well as increased costs. In addition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proprietary SPU, we also purchase off-the-shelf ASICs or integrated circuits from vendors for which we have experienced, and may continue to experience,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long lead times. Our suppliers may also prioritize orders by other companies that order higher volumes or more profitable products. If any of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manufacturers materially delays its supply of ASICs or specific product models to us, or requires us to find an alternate supplier and we are not able to do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so on a timely and reasonable basis, or if these foundries materially increase their prices for fabrication of our SPU or ASICs, our business would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harmed.</w:t>
      </w:r>
    </w:p>
    <w:p>
      <w:pPr>
        <w:spacing w:after="0" w:line="238"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Securities and Exchange Commission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meet customer requirements, such customers may choose to not purchase our products, which could impact our sales and the value of portions of our inventory.</w:t>
      </w:r>
    </w:p>
    <w:p>
      <w:pPr>
        <w:spacing w:after="0" w:line="19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7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may discontinue or modify components used in our products. We have in the past experienced, and are currently experiencing, shortages and long lead times for certain components. Our limited source components for particular appliances and suppliers of those components include specific types of CPUs from Intel, network chips from Broadcom, Marvell and Intel, and memory devices from Intel, ADATA, Toshiba, Samsung and Western Digital. We also may face shortages in the supply of the capacitors and resistors that are used in the manufacturing of our products. For example, the global chip shortage caused by the COVID-19 pandemic and other factors affecting manufacturing capacity in Asia has continued into 2021 and continues to affect the manufacturing capacity of us and our contract manufacturers. This shortage may persist for an indefinite period of time.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9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global chip shortages, natural disasters and health emergencies such as earthquakes, fires, power outages, typhoons, floods, health pandemics and epidemics such as the COVID-19 pandemic, and manmade events such as civil unrest, labor disruption, international trade disputes, international conflicts, terrorism, wars, critical infrastructure attacks and other factors. Our reliance on a limited number of suppliers involves several additional risks, including:</w:t>
      </w:r>
    </w:p>
    <w:p>
      <w:pPr>
        <w:spacing w:after="0" w:line="215"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infringement or misappropriation of our IP;</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in component quality;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ship products on a timely basis.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5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operating margin, and which may adversely impact our financial results and the trading price of our common stock.</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detect or prevent a security breach or the misuse of our products could harm our reputation and divert resources.</w:t>
      </w:r>
    </w:p>
    <w:p>
      <w:pPr>
        <w:spacing w:after="0" w:line="197"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cause them to fail to help secure our customers or cause our products or services to allow unauthorized access to our customers’ networks. Additionally, any perception that our products have product vulnerabilities, whether or not accurate, may cause reputation harm. Our products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prevent, and detect. If we are unable to maintain an effective supply chain security risk management program, then the security and integrity of our products and the updates to those products that our customers receive could be exploited by third parties or insiders.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 specifically designed to disrupt our business and harm our reputation. We cannot ensure that our products will prevent all adverse security events.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 or FortiCare updates or our Fortinet appliances and operating systems could result in a failure of our FortiGuard and other security subscription services to effectively update end-customers’ Fortinet appliances and cloud-based products and thereby leave customers vulnerable to attacks. Furthermore, our solutions may also fail to detect or prevent viruses, worms, ransomware attacks or similar threats due to a number of reasons such as the evolving nature of such threats and the continual emergence of new threats that we may fail to add to our FortiGuard databases in time to protect our end-customers’ networks. Our data centers and networks and those of our hosting vendors and cloud service providers,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99" w:lineRule="exact"/>
        <w:rPr>
          <w:sz w:val="20"/>
          <w:szCs w:val="20"/>
          <w:color w:val="auto"/>
        </w:rPr>
      </w:pPr>
    </w:p>
    <w:p>
      <w:pPr>
        <w:jc w:val="both"/>
        <w:ind w:right="480" w:firstLine="648"/>
        <w:spacing w:after="0" w:line="263" w:lineRule="auto"/>
        <w:rPr>
          <w:sz w:val="20"/>
          <w:szCs w:val="20"/>
          <w:color w:val="auto"/>
        </w:rPr>
      </w:pPr>
      <w:r>
        <w:rPr>
          <w:rFonts w:ascii="Arial" w:cs="Arial" w:eastAsia="Arial" w:hAnsi="Arial"/>
          <w:sz w:val="18"/>
          <w:szCs w:val="18"/>
          <w:color w:val="auto"/>
        </w:rPr>
        <w:t>An actual, possible or perceived security breach or infection of the network of one of our end-customers, regardless of whether the breach is attributable to the failure of our products or services to prevent the security breach, or any actual or perceived security risk in our supply chain, could adversely affect the market’s perception of our security products and services,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cause customers and customer prospects not to buy from us and, in some instances, subject us to potential liability that is not contractually limited. We may not be able to correct any security flaws or vulnerabilities promptly, or at all. Our products may also be misused or misconfigured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78" w:lineRule="exact"/>
        <w:rPr>
          <w:sz w:val="20"/>
          <w:szCs w:val="20"/>
          <w:color w:val="auto"/>
        </w:rPr>
      </w:pPr>
    </w:p>
    <w:p>
      <w:pPr>
        <w:ind w:left="1300" w:right="120" w:hanging="644"/>
        <w:spacing w:after="0" w:line="277"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expenditure of significant financial and product development resources in efforts to analyze, correct, eliminate or work 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25"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9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may be harmed.</w:t>
      </w:r>
    </w:p>
    <w:p>
      <w:pPr>
        <w:spacing w:after="0" w:line="21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may be harmed.</w:t>
      </w:r>
    </w:p>
    <w:p>
      <w:pPr>
        <w:spacing w:after="0" w:line="19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Moreover, business models based on a subscription software as a service, or SaaS, cloud-based services, have become increasingly in-demand by our end-customers and adopted by other providers, including our competitors. While we have introduced additional cloud-based products and services and will continue to do so, most of our platform is currently deployed on premise, and therefore, if customers demand that our platform be provided through a SaaS business model, we would be required to make additional investments in our infrastructure and personnel to be able to more fully provide our platform through a SaaS model in order to maintain the competitiveness of our platform. Such investments may involve expanding our data centers, servers and networks, and increasing our technical operations and engineering teams. These risks are compounded by the uncertainty concerning the future viability of SaaS business models and the future demand for such models by customers. Additionally, if we are unable to meet the demand to provide our services through a SaaS model, we may lose customers to competitors.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Unforeseen COVID-19 pandemic impacts on global supply chains may impact our ability to procure parts required for building our hardware appliances. Extended lead time may be introduced in identifying alternative sources and in delivering orders than is typical.</w:t>
      </w:r>
    </w:p>
    <w:p>
      <w:pPr>
        <w:spacing w:after="0" w:line="151" w:lineRule="exact"/>
        <w:rPr>
          <w:sz w:val="20"/>
          <w:szCs w:val="20"/>
          <w:color w:val="auto"/>
        </w:rPr>
      </w:pPr>
    </w:p>
    <w:p>
      <w:pPr>
        <w:ind w:right="220" w:firstLine="648"/>
        <w:spacing w:after="0" w:line="275" w:lineRule="auto"/>
        <w:rPr>
          <w:sz w:val="20"/>
          <w:szCs w:val="20"/>
          <w:color w:val="auto"/>
        </w:rPr>
      </w:pPr>
      <w:r>
        <w:rPr>
          <w:rFonts w:ascii="Arial" w:cs="Arial" w:eastAsia="Arial" w:hAnsi="Arial"/>
          <w:sz w:val="17"/>
          <w:szCs w:val="17"/>
          <w:color w:val="auto"/>
        </w:rPr>
        <w:t>The COVID-19 pandemic has continued to impact global supply chains for many organizations, resulting in shortages of and delays in both raw equipment and electronic components such as computer chips. Though we have managed our supply availability well thus far during the COVID-19 pandemic, unforeseen events in upstream supplies and component availability may impact our ability to plan and deliver upon orders received. Additionally, such unforeseen impacts to required component supply chains may introduce increases in prices of components that may require us to raise prices of our products in turn; such price increases may result in our products being less price-competitive in the market.</w:t>
      </w:r>
    </w:p>
    <w:p>
      <w:pPr>
        <w:spacing w:after="0" w:line="20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9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20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7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FortiGuard and other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Our ability to sell our products is dependent on our quality control processes and the quality of our technical support services, and our failure to offer high-quality technical support services would have a material adverse effect on our sales and results of operations.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would have a material adverse effect on our business, financial condition and results of operations and may subject us to litigation, reputational damage, loss of customers and additional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5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7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Systems and Technology</w:t>
      </w:r>
    </w:p>
    <w:p>
      <w:pPr>
        <w:spacing w:after="0" w:line="243" w:lineRule="exact"/>
        <w:rPr>
          <w:sz w:val="20"/>
          <w:szCs w:val="20"/>
          <w:color w:val="auto"/>
        </w:rPr>
      </w:pPr>
    </w:p>
    <w:p>
      <w:pPr>
        <w:jc w:val="both"/>
        <w:ind w:right="260"/>
        <w:spacing w:after="0" w:line="327" w:lineRule="auto"/>
        <w:rPr>
          <w:sz w:val="20"/>
          <w:szCs w:val="20"/>
          <w:color w:val="auto"/>
        </w:rPr>
      </w:pPr>
      <w:r>
        <w:rPr>
          <w:rFonts w:ascii="Arial" w:cs="Arial" w:eastAsia="Arial" w:hAnsi="Arial"/>
          <w:sz w:val="15"/>
          <w:szCs w:val="15"/>
          <w:b w:val="1"/>
          <w:bCs w:val="1"/>
          <w:i w:val="1"/>
          <w:iCs w:val="1"/>
          <w:color w:val="auto"/>
        </w:rPr>
        <w:t>If our internal enterprise IT networks, on which we conduct internal business and interface externally, our operational networks, through which we connect to customer systems and provide services, or our research and development networks, our back-end labs and cloud stacks through which we research and develop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153" w:lineRule="exact"/>
        <w:rPr>
          <w:sz w:val="20"/>
          <w:szCs w:val="20"/>
          <w:color w:val="auto"/>
        </w:rPr>
      </w:pPr>
    </w:p>
    <w:p>
      <w:pPr>
        <w:ind w:right="60" w:firstLine="648"/>
        <w:spacing w:after="0" w:line="239" w:lineRule="auto"/>
        <w:rPr>
          <w:sz w:val="20"/>
          <w:szCs w:val="20"/>
          <w:color w:val="auto"/>
        </w:rPr>
      </w:pPr>
      <w:r>
        <w:rPr>
          <w:rFonts w:ascii="Arial" w:cs="Arial" w:eastAsia="Arial" w:hAnsi="Arial"/>
          <w:sz w:val="17"/>
          <w:szCs w:val="17"/>
          <w:color w:val="auto"/>
        </w:rPr>
        <w:t>Our success depends on the market’s confidence in our ability to provide effective network security protection. Despite our efforts and processes to prevent breaches of our internal networks, systems and websites, we are still vulnerable to computer viruses, break-ins, phishing attacks, ransomware attacks, attempts to overload our servers with denial-of-service, vulnerabilities in vendor hardware and software that we leverage, and other cyber-attacks and similar disruptions from unauthorized access to our internal networks, systems or websites.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w:t>
      </w:r>
    </w:p>
    <w:p>
      <w:pPr>
        <w:spacing w:after="0" w:line="205" w:lineRule="exact"/>
        <w:rPr>
          <w:sz w:val="20"/>
          <w:szCs w:val="20"/>
          <w:color w:val="auto"/>
        </w:rPr>
      </w:pPr>
    </w:p>
    <w:p>
      <w:pPr>
        <w:ind w:right="20" w:firstLine="648"/>
        <w:spacing w:after="0" w:line="268" w:lineRule="auto"/>
        <w:rPr>
          <w:sz w:val="20"/>
          <w:szCs w:val="20"/>
          <w:color w:val="auto"/>
        </w:rPr>
      </w:pPr>
      <w:r>
        <w:rPr>
          <w:rFonts w:ascii="Arial" w:cs="Arial" w:eastAsia="Arial" w:hAnsi="Arial"/>
          <w:sz w:val="16"/>
          <w:szCs w:val="16"/>
          <w:color w:val="auto"/>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 our product software in an effort to gain entry into our customers’ networks. These and other hacking efforts against us and our customers may be ongoing and may recur in the future. Although we take numerous measures and implement multiple layers of security to protect our networks, we cannot guarantee that our security products, processes and services will secure against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spacing w:after="0" w:line="196"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addition, due to the COVID-19 pandemic, a substantial majority of our employees are temporarily working remotely, which may pose additional data security risks. For example, there has been an increase in phishing attempts and spam emails as well as social engineering attempts from hackers hoping to use the recent COVID-19 pandemic to their advantage. The risks described above could therefore be exacerbated by the COVID-19 pandemic.</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186"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40" w:firstLine="648"/>
        <w:spacing w:after="0" w:line="296" w:lineRule="auto"/>
        <w:rPr>
          <w:sz w:val="20"/>
          <w:szCs w:val="20"/>
          <w:color w:val="auto"/>
        </w:rPr>
      </w:pPr>
      <w:r>
        <w:rPr>
          <w:rFonts w:ascii="Arial" w:cs="Arial" w:eastAsia="Arial" w:hAnsi="Arial"/>
          <w:sz w:val="16"/>
          <w:szCs w:val="16"/>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188" w:lineRule="exact"/>
        <w:rPr>
          <w:sz w:val="20"/>
          <w:szCs w:val="20"/>
          <w:color w:val="auto"/>
        </w:rPr>
      </w:pPr>
    </w:p>
    <w:p>
      <w:pPr>
        <w:jc w:val="both"/>
        <w:ind w:right="20" w:firstLine="648"/>
        <w:spacing w:after="0" w:line="296" w:lineRule="auto"/>
        <w:rPr>
          <w:sz w:val="20"/>
          <w:szCs w:val="20"/>
          <w:color w:val="auto"/>
        </w:rPr>
      </w:pPr>
      <w:r>
        <w:rPr>
          <w:rFonts w:ascii="Arial" w:cs="Arial" w:eastAsia="Arial" w:hAnsi="Arial"/>
          <w:sz w:val="16"/>
          <w:szCs w:val="16"/>
          <w:color w:val="auto"/>
        </w:rPr>
        <w:t>We have expanded our office real estate holdings to meet our projected growing need for office space.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internal business management systems.</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We may also discover deficiencies in our design or maintenance of our internal systems that could adversely affect our ability to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8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may find ourselves at a competitive disadvantage to others who need not incur the additional expense, time and effort required to create the innovative products that have enabled us to be successful to date.</w:t>
      </w:r>
    </w:p>
    <w:p>
      <w:pPr>
        <w:spacing w:after="0" w:line="19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IP rights. We could be subject to suits by parties claiming infringement of IP rights in what we believe to be licensed open source software. Use and distribution of open source software may entail greater risks than use of third-party commercial software, as, for example,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8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95"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4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21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8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have several ongoing patent lawsuits, certain companies have sent us demand letters proposing that we license certain of their patents, and organizations have sent letters demanding that we provide indemnification for patent claims. As two</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examples of the ongoing patent lawsuits against us, one such patent lawsuit by British Telecommunications plc was filed in federal court in Delaware in July 2018, and a second such lawsuit by Finjan, Inc. was filed in federal court in California in October 2018, and additional patent lawsuits have been filed against us since.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19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 and Financial Position</w:t>
      </w:r>
    </w:p>
    <w:p>
      <w:pPr>
        <w:spacing w:after="0" w:line="24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9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For example, the GDPR, which became effective in May 2018 and superseded current EU data protection regulations, imposes stringent data handling requirements on companies that receive or process personal data of residents of the EU. Non-compliance with the GDPR could result in significant penalties, including data protection audits and heavy fines. Compliance with, and the other burdens imposed by, the GDPR may limit our ability to operate or expand our business in Europe and could adversely impact our operating results, as could delays or shortcomings in the implementation of our GDPR compliance program. In July 2020, the European Court of Justice issued a judgment declaring invalid the EU-U.S. Privacy Shield Framework (the “Privacy Shield”) as a mechanism for exportation of personal data from the European Economic Area to the United States. Though we are not participants of the Privacy Shield, and instead employ alternative mechanisms for personal data transfers, the ruling raises questions as to GDPR implications and adequate data protection in the United States, and may have an impact on our European customers and related business operations.</w:t>
      </w:r>
    </w:p>
    <w:p>
      <w:pPr>
        <w:spacing w:after="0" w:line="195"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became effective on January 1, 2020. The CCPA was expanded pursuant to the California Privacy Rights Act, which was passed in 2020 and which will become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80"/>
        <w:spacing w:after="0" w:line="291" w:lineRule="auto"/>
        <w:rPr>
          <w:sz w:val="20"/>
          <w:szCs w:val="20"/>
          <w:color w:val="auto"/>
        </w:rPr>
      </w:pPr>
      <w:r>
        <w:rPr>
          <w:rFonts w:ascii="Arial" w:cs="Arial" w:eastAsia="Arial" w:hAnsi="Arial"/>
          <w:sz w:val="17"/>
          <w:szCs w:val="17"/>
          <w:color w:val="auto"/>
        </w:rPr>
        <w:t>effective in 2023. The costs of compliance with and the penalties for violations of the GDPR and CCPA, along with other burdens imposed by these regulations, may limit the use and adoption of our products and services and could have an adverse impact on our business.</w:t>
      </w:r>
    </w:p>
    <w:p>
      <w:pPr>
        <w:spacing w:after="0" w:line="174" w:lineRule="exact"/>
        <w:rPr>
          <w:sz w:val="20"/>
          <w:szCs w:val="20"/>
          <w:color w:val="auto"/>
        </w:rPr>
      </w:pPr>
    </w:p>
    <w:p>
      <w:pPr>
        <w:ind w:right="80" w:firstLine="648"/>
        <w:spacing w:after="0" w:line="255" w:lineRule="auto"/>
        <w:rPr>
          <w:sz w:val="20"/>
          <w:szCs w:val="20"/>
          <w:color w:val="auto"/>
        </w:rPr>
      </w:pPr>
      <w:r>
        <w:rPr>
          <w:rFonts w:ascii="Arial" w:cs="Arial" w:eastAsia="Arial" w:hAnsi="Arial"/>
          <w:sz w:val="17"/>
          <w:szCs w:val="17"/>
          <w:color w:val="auto"/>
        </w:rPr>
        <w:t>Selling our solutions to the U.S. government, whether directly or through channel partners, also subjects us to certain regulatory and contractual requirements, government permit and clearance requirements and 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the U.S. government or one of its divisions, as well as other penalties, damages and reputational harms, which 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234" w:lineRule="exact"/>
        <w:rPr>
          <w:sz w:val="20"/>
          <w:szCs w:val="20"/>
          <w:color w:val="auto"/>
        </w:rPr>
      </w:pPr>
    </w:p>
    <w:p>
      <w:pPr>
        <w:ind w:right="160" w:firstLine="648"/>
        <w:spacing w:after="0" w:line="245" w:lineRule="auto"/>
        <w:rPr>
          <w:sz w:val="20"/>
          <w:szCs w:val="20"/>
          <w:color w:val="auto"/>
        </w:rPr>
      </w:pPr>
      <w:r>
        <w:rPr>
          <w:rFonts w:ascii="Arial" w:cs="Arial" w:eastAsia="Arial" w:hAnsi="Arial"/>
          <w:sz w:val="18"/>
          <w:szCs w:val="18"/>
          <w:color w:val="auto"/>
        </w:rPr>
        <w:t>These laws, regulations and other requirements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with the public sector could have an adverse effect on our business and operating results.</w:t>
      </w:r>
    </w:p>
    <w:p>
      <w:pPr>
        <w:spacing w:after="0" w:line="21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9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0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95" w:lineRule="exact"/>
        <w:rPr>
          <w:sz w:val="20"/>
          <w:szCs w:val="20"/>
          <w:color w:val="auto"/>
        </w:rPr>
      </w:pPr>
    </w:p>
    <w:p>
      <w:pPr>
        <w:ind w:right="80"/>
        <w:spacing w:after="0" w:line="362" w:lineRule="auto"/>
        <w:rPr>
          <w:sz w:val="20"/>
          <w:szCs w:val="20"/>
          <w:color w:val="auto"/>
        </w:rPr>
      </w:pPr>
      <w:r>
        <w:rPr>
          <w:rFonts w:ascii="Arial" w:cs="Arial" w:eastAsia="Arial" w:hAnsi="Arial"/>
          <w:sz w:val="15"/>
          <w:szCs w:val="15"/>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2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Our business benefits directly and indirectly from free trade agreements, and we also rely on various 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in recent years, the United States has imposed additional import tariffs on certain goods from different countries and on most of Chinese imported goods. As a result, China and other countries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China or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20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comply with environmental requirements, our business, financial condition, operating results and reputation could be adversely affected.</w:t>
      </w:r>
    </w:p>
    <w:p>
      <w:pPr>
        <w:spacing w:after="0" w:line="287"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(“EEE”). The laws and regulations to which we are subject include the EU RoHS 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costs associated with assuring the supply of compliant components and costs associated with writing off scrapped noncompliant inventory.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spacing w:after="0" w:line="212"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As part of the Circular Economy Action Plan, the European Commission amended the EU Waste Framework Directive (“WFD”) to include a number of measures related to waste prevention and recycling, whereby we are responsible for submitting product data to a database of hazardous substances established under the WFD and managed by the European Chemicals Agency. We expect to incur costs in order to comply with this new requirement.</w:t>
      </w:r>
    </w:p>
    <w:p>
      <w:pPr>
        <w:spacing w:after="0" w:line="214"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8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inability to successfully acquire and integrate other businesses, products or technologies, or to successfully invest in and form successful strategic alliances with other businesses, could seriously harm our competitive position.</w:t>
      </w:r>
    </w:p>
    <w:p>
      <w:pPr>
        <w:spacing w:after="0" w:line="184"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In order to remain competitive, we may seek to acquire additional businesses, products, technologies or IP, such as patents, and to make equity investments in businesses coupled with strategic alliances. For example, in 2021, we acquired ShieldX and we made an equity investment in Linksys. For any possible future acquisitions or investments, we may not be successful in negotiating the terms of the acquisition or investment or financing the acquisition or investment. For both our prior and future acquisitions, we may not be successful in effectively integrating the acquired business, product, technology or IP and sales force into our existing business and operations. We may have difficulty incorporating acquired technologies, IP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processes.We may also experience difficulty in timely obtaining financial information from the companies in which we have invested in order to meet our financial reporting requirements. Our due diligence for acquisitions and investments may fail to identify all of the problems, liabilities or other shortcomings or challenges of an acquired business, product or technology, including issues with IP, product quality or product architecture, regulatory compliance practices, revenue recognition or other accounting practices or employee or customer issues, and we may not accurately forecast the financial impact of an acquisition or an investment and alliance. In addition, any acquisitions and significant investments we are able to complete may be dilutive to revenue growth and earnings and may not result in any synergies or other benefits we had expected to achieve, which could result in negative impact to our operating results and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or investments during a quarter may result in increased operating expenses and adversely affect our cash flows or our results of operations for that period and future periods compared to the results that we have previously forecasted or achieved. Further, completing a potential acquisition or investment and alliance and integrating acquired businesses, products, technologies or IP are challenging to do successfully and could significantly divert management time and resources.</w:t>
      </w:r>
    </w:p>
    <w:p>
      <w:pPr>
        <w:spacing w:after="0" w:line="200" w:lineRule="exact"/>
        <w:rPr>
          <w:sz w:val="20"/>
          <w:szCs w:val="20"/>
          <w:color w:val="auto"/>
        </w:rPr>
      </w:pPr>
    </w:p>
    <w:p>
      <w:pPr>
        <w:spacing w:after="0" w:line="21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There is an increasing focus from certain investors, employees and other stakeholders concerning corporate responsibility, specifically related to environmental, social and governance matters. Some investors may use these factors to guide their investment strategies and, in some cases, may choose not to invest in us if they believe our policies relating to corporate responsibility are inadequate. Third-party providers of corporate responsibility ratings and reports on companies have increased to meet growing investor demand for measurement of corporate responsibility performance. The criteria by which our corporate responsibility practices are assessed may change, which could result in greater expectations of us and cause us to undertake costly initiatives to satisfy such new criteria. If we elect not to or are unable to satisfy such new criteria, investors may conclude that our policies with respect to corporate social responsibility are inadequate. We may face reputational damage in the event that our corporate social responsibility procedures or standards do not meet the standards set by various constituencies.</w:t>
      </w:r>
    </w:p>
    <w:p>
      <w:pPr>
        <w:spacing w:after="0" w:line="208" w:lineRule="exact"/>
        <w:rPr>
          <w:sz w:val="20"/>
          <w:szCs w:val="20"/>
          <w:color w:val="auto"/>
        </w:rPr>
      </w:pPr>
    </w:p>
    <w:p>
      <w:pPr>
        <w:ind w:right="60" w:firstLine="648"/>
        <w:spacing w:after="0" w:line="259" w:lineRule="auto"/>
        <w:rPr>
          <w:sz w:val="20"/>
          <w:szCs w:val="20"/>
          <w:color w:val="auto"/>
        </w:rPr>
      </w:pPr>
      <w:r>
        <w:rPr>
          <w:rFonts w:ascii="Arial" w:cs="Arial" w:eastAsia="Arial" w:hAnsi="Arial"/>
          <w:sz w:val="17"/>
          <w:szCs w:val="17"/>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environmental, social and governance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reputation and business, operating results and financial condition could be adversely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Finance, Accounting and Tax Matters</w:t>
      </w:r>
    </w:p>
    <w:p>
      <w:pPr>
        <w:spacing w:after="0" w:line="24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deferred contract costs and commission expense, valuation of inventory, accounting for business combination, contingent liabilities and accounting for income taxes.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6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significant portion of our operating expenses are incurred outside the United States. These expenses are denominated in foreign currencies and are subject to fluctuations due to changes in foreign currency exchange rates, particularly changes in the Euro, Canadian dollar and British pound. Additionally, fluctuations in the exchange rate of the Canadian dollar may negatively impact our development plans in Burnaby, Canada. While we are not currently engaged in material hedging activities, we have been hedging currency exposures relating to certain balance sheet 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7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51"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to corporate tax rates, including the increase proposed to the U.S. federal corporate rate in 2021;</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availability of tax credits and/or tax deductions;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52" w:lineRule="exact"/>
        <w:rPr>
          <w:rFonts w:ascii="Arial" w:cs="Arial" w:eastAsia="Arial" w:hAnsi="Arial"/>
          <w:sz w:val="18"/>
          <w:szCs w:val="18"/>
          <w:color w:val="auto"/>
        </w:rPr>
      </w:pPr>
    </w:p>
    <w:p>
      <w:pPr>
        <w:ind w:left="1300" w:right="240" w:hanging="644"/>
        <w:spacing w:after="0" w:line="277"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97" w:lineRule="exact"/>
        <w:rPr>
          <w:rFonts w:ascii="Arial" w:cs="Arial" w:eastAsia="Arial" w:hAnsi="Arial"/>
          <w:sz w:val="18"/>
          <w:szCs w:val="18"/>
          <w:color w:val="auto"/>
        </w:rPr>
      </w:pPr>
    </w:p>
    <w:p>
      <w:pPr>
        <w:ind w:left="1300" w:right="840" w:hanging="644"/>
        <w:spacing w:after="0" w:line="277"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accounting principles, court decisions, tax rulings, and interpretations of or changes to tax laws, and regulations by international, federal or local governmental authorities.</w:t>
      </w:r>
    </w:p>
    <w:p>
      <w:pPr>
        <w:spacing w:after="0" w:line="197"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We have open tax years that could be subject to the examination by the Internal Revenue Service (the “IRS”) and other tax authorities. We currently have ongoing tax audits in the United Kingdom, Canada, Germany and several other foreign jurisdictions. The focus of all of these audits is the allocation of profits among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condensed consolidated financial statements and may materially affect our financial results.</w:t>
      </w:r>
    </w:p>
    <w:p>
      <w:pPr>
        <w:spacing w:after="0" w:line="20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1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9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our effective tax rate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 For example, in April 2021, legislation was proposed that would increase the corporate tax rate in the United States to 28% from its current 21%. If passed, this legislation would increase our effective tax rate.</w:t>
      </w:r>
    </w:p>
    <w:p>
      <w:pPr>
        <w:spacing w:after="0" w:line="21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204"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Organisation for Economic Co-operation and Development (the “OECD”), an international association comprised of 37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2020, our internal controls over financial reporting were effective, we cannot predict the outcome of our testing in 2021 or future periods. We may incur additional expenses and commitment of management’s time in connection with further evaluations, both of which could materially increase our operating expenses and accordingly reduce our operating results.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97"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ind w:right="280" w:firstLine="648"/>
        <w:spacing w:after="0" w:line="262" w:lineRule="auto"/>
        <w:rPr>
          <w:sz w:val="20"/>
          <w:szCs w:val="20"/>
          <w:color w:val="auto"/>
        </w:rPr>
      </w:pPr>
      <w:r>
        <w:rPr>
          <w:rFonts w:ascii="Arial" w:cs="Arial" w:eastAsia="Arial" w:hAnsi="Arial"/>
          <w:sz w:val="17"/>
          <w:szCs w:val="17"/>
          <w:color w:val="auto"/>
        </w:rPr>
        <w:t>The market price of our common stock may be subject to wide fluctuations in response to, among other things, the risk factors described in this periodic report, news about us and our financial results, the impact of the COVID-19 pandemic, news about our competitors and their results, and other factors such as rumors or fluctuations in the valuation of companies perceived by investors to be comparable to us. For example, during the six months ended June 30, 2021, the closing price of our common stock ranged from $138.11 to $247.04 per share.</w:t>
      </w:r>
    </w:p>
    <w:p>
      <w:pPr>
        <w:spacing w:after="0" w:line="199" w:lineRule="exact"/>
        <w:rPr>
          <w:sz w:val="20"/>
          <w:szCs w:val="20"/>
          <w:color w:val="auto"/>
        </w:rPr>
      </w:pPr>
    </w:p>
    <w:p>
      <w:pPr>
        <w:ind w:right="160" w:firstLine="693"/>
        <w:spacing w:after="0" w:line="279" w:lineRule="auto"/>
        <w:rPr>
          <w:sz w:val="20"/>
          <w:szCs w:val="20"/>
          <w:color w:val="auto"/>
        </w:rPr>
      </w:pPr>
      <w:r>
        <w:rPr>
          <w:rFonts w:ascii="Arial" w:cs="Arial" w:eastAsia="Arial" w:hAnsi="Arial"/>
          <w:sz w:val="17"/>
          <w:szCs w:val="17"/>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7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 In addition, the market price of our common stock and the market price of the common stock of many other companies have fallen significantly since the outbreak of the COVID-19 pandemic. The extent to which the COVID-19 pandemic may impact the market price of our common stock is unclear, and the market price of our common stock may fluctuate significantly as a result of the COVID-19 pandemic.</w:t>
      </w:r>
    </w:p>
    <w:p>
      <w:pPr>
        <w:spacing w:after="0" w:line="21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Share repurchases under our Repurchase Program (the “Repurchase Program”) could increase the volatility of the trading price of our common stock, could diminish our cash reserves, could occur at non-optimal prices and may not result in the most effective use of our capital.</w:t>
      </w:r>
    </w:p>
    <w:p>
      <w:pPr>
        <w:spacing w:after="0" w:line="15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July 2020, our board of directors approved a $500.0 million increase in the authorized stock repurchase amount under the Repurchase Program and extended the term of the Repurchase Program to February 28, 2022, bringing the aggregate amount authorized to be repurchased to $3.0 billion. As of June 30, 2021, $921.1 million remained available for future share repurchases under the Repurchase Program.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19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certificate of incorporation and bylaws, as well as provisions of Delaware law, could impair a takeover attempt.</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73" w:lineRule="exact"/>
        <w:rPr>
          <w:sz w:val="20"/>
          <w:szCs w:val="20"/>
          <w:color w:val="auto"/>
        </w:rPr>
      </w:pPr>
    </w:p>
    <w:p>
      <w:pPr>
        <w:ind w:left="1300" w:right="360" w:hanging="644"/>
        <w:spacing w:after="0" w:line="277"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480" w:hanging="644"/>
        <w:spacing w:after="0" w:line="277"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of 1933, as amended.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22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1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Global economic uncertainty and weakening product demand caused by political instability and conflict could adversely affect our business and financial performance.</w:t>
      </w:r>
    </w:p>
    <w:p>
      <w:pPr>
        <w:spacing w:after="0" w:line="19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Economic uncertainty in various global markets caused by political instability and conflict and economic challenges caused by the COVID-19 pandemic has resulted, and may continue to result, in weakened demand for our products and services and difficulty in forecasting our financial results and managing inventory levels. Political developments impacting government spending and international trade, including potential government shutdowns and trade disputes and tariffs, may negatively impact markets and cause weaker macro-economic conditions. The effects of these events may continue due to potential U.S. government shutdowns and the transition in administrations, and the United States’ ongoing trade disputes with China and other countries. The continuing effect of any or all of these events could adversely impact demand for our products, harm our operations and weaken our financial results.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b w:val="1"/>
          <w:bCs w:val="1"/>
          <w:i w:val="1"/>
          <w:iCs w:val="1"/>
          <w:color w:val="auto"/>
        </w:rPr>
        <w:t>Our business is subject to the risks of earthquakes, drought, fire, power outages, typhoon, floods, virus outbreaks and other broad health-related challenges, cyber events and other catastrophic events, and to interruption by manmade problems such as civil unrest, labor disruption, critical infrastructure attack and terrorism.</w:t>
      </w:r>
    </w:p>
    <w:p>
      <w:pPr>
        <w:spacing w:after="0" w:line="21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A significant natural disaster, such as an earthquake, drought,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ship products and could result in delays and reductions in billings and revenues, and the COVID-19 pandemic will negatively impact our ability to manufacture and ship products, possibly in a material way, and could result in delays and reductions in billings and revenues, also possibly in a material way. The impact of climate change could affect economies in ways that negatively impact us and our results of operations.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international disputes, wars and other acts of aggression, civil and political unrest, labor disruptions, rebellions, acts of terrorism and other geo-political unrest could cause disruptions in our business or the business of our manufacturers, suppliers,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financial accounting standards may cause adverse unexpected fluctuations and affect our reported results of operations.</w:t>
      </w:r>
    </w:p>
    <w:p>
      <w:pPr>
        <w:spacing w:after="0" w:line="26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 change in accounting standards or practices, and varying interpretations of existing or new accounting pronouncements, such as changes to standards related to accounting for credit losses on financial instruments (which became effective for us on January 1, 2020), as well as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219"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Management will continue to make judgments and assumptions based on our interpretation of new standards. If our circumstances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Further, equity investments are required to be measured at fair value (with subsequent changes in fair value recognized in net income), which may increase the volatility of our earnings.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The following table provides information with respect to the shares of common stock we repurchased under the Repurchase Program during the three months ended June 30, 2021 (in millions, except per share amounts):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of Shares Purchased as</w:t>
            </w:r>
          </w:p>
        </w:tc>
        <w:tc>
          <w:tcPr>
            <w:tcW w:w="120" w:type="dxa"/>
            <w:vAlign w:val="bottom"/>
          </w:tcPr>
          <w:p>
            <w:pPr>
              <w:spacing w:after="0"/>
              <w:rPr>
                <w:sz w:val="11"/>
                <w:szCs w:val="11"/>
                <w:color w:val="auto"/>
              </w:rPr>
            </w:pPr>
          </w:p>
        </w:tc>
        <w:tc>
          <w:tcPr>
            <w:tcW w:w="24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Part of Publicly</w:t>
            </w:r>
          </w:p>
        </w:tc>
        <w:tc>
          <w:tcPr>
            <w:tcW w:w="120" w:type="dxa"/>
            <w:vAlign w:val="bottom"/>
          </w:tcPr>
          <w:p>
            <w:pPr>
              <w:spacing w:after="0"/>
              <w:rPr>
                <w:sz w:val="11"/>
                <w:szCs w:val="11"/>
                <w:color w:val="auto"/>
              </w:rPr>
            </w:pPr>
          </w:p>
        </w:tc>
        <w:tc>
          <w:tcPr>
            <w:tcW w:w="24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1"/>
                <w:szCs w:val="11"/>
                <w:color w:val="auto"/>
              </w:rPr>
            </w:pPr>
          </w:p>
        </w:tc>
        <w:tc>
          <w:tcPr>
            <w:tcW w:w="208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Average Price Paid</w:t>
            </w: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 or</w:t>
            </w:r>
          </w:p>
        </w:tc>
        <w:tc>
          <w:tcPr>
            <w:tcW w:w="120" w:type="dxa"/>
            <w:vAlign w:val="bottom"/>
          </w:tcPr>
          <w:p>
            <w:pPr>
              <w:spacing w:after="0"/>
              <w:rPr>
                <w:sz w:val="11"/>
                <w:szCs w:val="11"/>
                <w:color w:val="auto"/>
              </w:rPr>
            </w:pPr>
          </w:p>
        </w:tc>
        <w:tc>
          <w:tcPr>
            <w:tcW w:w="2440" w:type="dxa"/>
            <w:vAlign w:val="bottom"/>
            <w:gridSpan w:val="3"/>
          </w:tcPr>
          <w:p>
            <w:pPr>
              <w:jc w:val="right"/>
              <w:ind w:right="100"/>
              <w:spacing w:after="0" w:line="135" w:lineRule="exact"/>
              <w:rPr>
                <w:sz w:val="20"/>
                <w:szCs w:val="20"/>
                <w:color w:val="auto"/>
              </w:rPr>
            </w:pPr>
            <w:r>
              <w:rPr>
                <w:rFonts w:ascii="Arial" w:cs="Arial" w:eastAsia="Arial" w:hAnsi="Arial"/>
                <w:sz w:val="14"/>
                <w:szCs w:val="14"/>
                <w:b w:val="1"/>
                <w:bCs w:val="1"/>
                <w:color w:val="auto"/>
                <w:w w:val="93"/>
              </w:rPr>
              <w:t>of Shares that May Yet Be Purchased</w:t>
            </w:r>
          </w:p>
        </w:tc>
        <w:tc>
          <w:tcPr>
            <w:tcW w:w="0" w:type="dxa"/>
            <w:vAlign w:val="bottom"/>
          </w:tcPr>
          <w:p>
            <w:pPr>
              <w:spacing w:after="0"/>
              <w:rPr>
                <w:sz w:val="1"/>
                <w:szCs w:val="1"/>
                <w:color w:val="auto"/>
              </w:rPr>
            </w:pPr>
          </w:p>
        </w:tc>
      </w:tr>
      <w:tr>
        <w:trPr>
          <w:trHeight w:val="81"/>
        </w:trPr>
        <w:tc>
          <w:tcPr>
            <w:tcW w:w="3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gridSpan w:val="3"/>
            <w:vMerge w:val="continue"/>
          </w:tcPr>
          <w:p>
            <w:pPr>
              <w:spacing w:after="0"/>
              <w:rPr>
                <w:sz w:val="7"/>
                <w:szCs w:val="7"/>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20" w:type="dxa"/>
            <w:vAlign w:val="bottom"/>
          </w:tcPr>
          <w:p>
            <w:pPr>
              <w:spacing w:after="0"/>
              <w:rPr>
                <w:sz w:val="7"/>
                <w:szCs w:val="7"/>
                <w:color w:val="auto"/>
              </w:rPr>
            </w:pPr>
          </w:p>
        </w:tc>
        <w:tc>
          <w:tcPr>
            <w:tcW w:w="24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Under the Plans or Programs</w:t>
            </w:r>
          </w:p>
        </w:tc>
        <w:tc>
          <w:tcPr>
            <w:tcW w:w="0" w:type="dxa"/>
            <w:vAlign w:val="bottom"/>
          </w:tcPr>
          <w:p>
            <w:pPr>
              <w:spacing w:after="0"/>
              <w:rPr>
                <w:sz w:val="1"/>
                <w:szCs w:val="1"/>
                <w:color w:val="auto"/>
              </w:rPr>
            </w:pPr>
          </w:p>
        </w:tc>
      </w:tr>
      <w:tr>
        <w:trPr>
          <w:trHeight w:val="105"/>
        </w:trPr>
        <w:tc>
          <w:tcPr>
            <w:tcW w:w="316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Period</w:t>
            </w:r>
          </w:p>
        </w:tc>
        <w:tc>
          <w:tcPr>
            <w:tcW w:w="16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of Shares Purchased</w:t>
            </w:r>
          </w:p>
        </w:tc>
        <w:tc>
          <w:tcPr>
            <w:tcW w:w="120" w:type="dxa"/>
            <w:vAlign w:val="bottom"/>
          </w:tcPr>
          <w:p>
            <w:pPr>
              <w:spacing w:after="0"/>
              <w:rPr>
                <w:sz w:val="9"/>
                <w:szCs w:val="9"/>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 Share</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3160" w:type="dxa"/>
            <w:vAlign w:val="bottom"/>
            <w:gridSpan w:val="2"/>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304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April 1 - April 30, 2021</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502"/>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504"/>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tcPr>
          <w:p>
            <w:pPr>
              <w:ind w:left="680"/>
              <w:spacing w:after="0"/>
              <w:rPr>
                <w:sz w:val="20"/>
                <w:szCs w:val="20"/>
                <w:color w:val="auto"/>
              </w:rPr>
            </w:pPr>
            <w:r>
              <w:rPr>
                <w:rFonts w:ascii="Arial" w:cs="Arial" w:eastAsia="Arial" w:hAnsi="Arial"/>
                <w:sz w:val="18"/>
                <w:szCs w:val="18"/>
                <w:color w:val="auto"/>
              </w:rPr>
              <w:t>May 1 - May 31, 2021</w:t>
            </w:r>
          </w:p>
        </w:tc>
        <w:tc>
          <w:tcPr>
            <w:tcW w:w="1660" w:type="dxa"/>
            <w:vAlign w:val="bottom"/>
          </w:tcPr>
          <w:p>
            <w:pPr>
              <w:jc w:val="right"/>
              <w:spacing w:after="0"/>
              <w:rPr>
                <w:sz w:val="20"/>
                <w:szCs w:val="20"/>
                <w:color w:val="auto"/>
              </w:rPr>
            </w:pPr>
            <w:r>
              <w:rPr>
                <w:rFonts w:ascii="Arial" w:cs="Arial" w:eastAsia="Arial" w:hAnsi="Arial"/>
                <w:sz w:val="18"/>
                <w:szCs w:val="18"/>
                <w:color w:val="auto"/>
              </w:rPr>
              <w:t>0.5</w:t>
            </w:r>
          </w:p>
        </w:tc>
        <w:tc>
          <w:tcPr>
            <w:tcW w:w="1460" w:type="dxa"/>
            <w:vAlign w:val="bottom"/>
            <w:gridSpan w:val="2"/>
          </w:tcPr>
          <w:p>
            <w:pPr>
              <w:jc w:val="right"/>
              <w:ind w:right="50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201.38</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0.5</w:t>
            </w:r>
          </w:p>
        </w:tc>
        <w:tc>
          <w:tcPr>
            <w:tcW w:w="1460" w:type="dxa"/>
            <w:vAlign w:val="bottom"/>
            <w:gridSpan w:val="2"/>
          </w:tcPr>
          <w:p>
            <w:pPr>
              <w:jc w:val="right"/>
              <w:ind w:right="504"/>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June 1 - June 30, 2021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0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gridSpan w:val="2"/>
          </w:tcPr>
          <w:p>
            <w:pPr>
              <w:ind w:left="166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60" w:type="dxa"/>
            <w:vAlign w:val="bottom"/>
            <w:gridSpan w:val="2"/>
          </w:tcPr>
          <w:p>
            <w:pPr>
              <w:jc w:val="right"/>
              <w:ind w:right="50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201.38</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60" w:type="dxa"/>
            <w:vAlign w:val="bottom"/>
            <w:gridSpan w:val="2"/>
            <w:vMerge w:val="restart"/>
          </w:tcPr>
          <w:p>
            <w:pPr>
              <w:jc w:val="right"/>
              <w:ind w:right="482"/>
              <w:spacing w:after="0"/>
              <w:rPr>
                <w:sz w:val="20"/>
                <w:szCs w:val="20"/>
                <w:color w:val="auto"/>
              </w:rPr>
            </w:pPr>
            <w:r>
              <w:rPr>
                <w:rFonts w:ascii="Arial" w:cs="Arial" w:eastAsia="Arial" w:hAnsi="Arial"/>
                <w:sz w:val="18"/>
                <w:szCs w:val="18"/>
                <w:color w:val="auto"/>
              </w:rPr>
              <w:t>77</w:t>
            </w: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 on Form 10-Q.</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Incorporated by reference herein</w:t>
            </w: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6"/>
                <w:szCs w:val="16"/>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Exhibit Number</w:t>
            </w:r>
          </w:p>
        </w:tc>
        <w:tc>
          <w:tcPr>
            <w:tcW w:w="0" w:type="dxa"/>
            <w:vAlign w:val="bottom"/>
          </w:tcPr>
          <w:p>
            <w:pPr>
              <w:spacing w:after="0"/>
              <w:rPr>
                <w:sz w:val="1"/>
                <w:szCs w:val="1"/>
                <w:color w:val="auto"/>
              </w:rPr>
            </w:pPr>
          </w:p>
        </w:tc>
      </w:tr>
      <w:tr>
        <w:trPr>
          <w:trHeight w:val="184"/>
        </w:trPr>
        <w:tc>
          <w:tcPr>
            <w:tcW w:w="180" w:type="dxa"/>
            <w:vAlign w:val="bottom"/>
            <w:tcBorders>
              <w:bottom w:val="single" w:sz="8" w:color="0000FF"/>
            </w:tcBorders>
          </w:tcPr>
          <w:p>
            <w:pPr>
              <w:spacing w:after="0"/>
              <w:rPr>
                <w:rFonts w:ascii="Arial" w:cs="Arial" w:eastAsia="Arial" w:hAnsi="Arial"/>
                <w:sz w:val="14"/>
                <w:szCs w:val="14"/>
                <w:color w:val="0000FF"/>
                <w:w w:val="81"/>
              </w:rPr>
            </w:pPr>
            <w:hyperlink r:id="rId94">
              <w:r>
                <w:rPr>
                  <w:rFonts w:ascii="Arial" w:cs="Arial" w:eastAsia="Arial" w:hAnsi="Arial"/>
                  <w:sz w:val="14"/>
                  <w:szCs w:val="14"/>
                  <w:color w:val="0000FF"/>
                  <w:w w:val="81"/>
                </w:rPr>
                <w:t>3.</w:t>
              </w:r>
              <w:r>
                <w:rPr>
                  <w:rFonts w:ascii="Arial" w:cs="Arial" w:eastAsia="Arial" w:hAnsi="Arial"/>
                  <w:sz w:val="14"/>
                  <w:szCs w:val="14"/>
                  <w:u w:val="single" w:color="auto"/>
                  <w:color w:val="0000FF"/>
                  <w:w w:val="81"/>
                </w:rPr>
                <w:t>1</w:t>
              </w:r>
            </w:hyperlink>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40" w:type="dxa"/>
            <w:vAlign w:val="bottom"/>
          </w:tcPr>
          <w:p>
            <w:pPr>
              <w:ind w:left="60"/>
              <w:spacing w:after="0"/>
              <w:rPr>
                <w:sz w:val="20"/>
                <w:szCs w:val="20"/>
                <w:color w:val="auto"/>
              </w:rPr>
            </w:pPr>
            <w:r>
              <w:rPr>
                <w:rFonts w:ascii="Arial" w:cs="Arial" w:eastAsia="Arial" w:hAnsi="Arial"/>
                <w:sz w:val="14"/>
                <w:szCs w:val="14"/>
                <w:color w:val="auto"/>
              </w:rPr>
              <w:t>Amended and Restated Bylaws</w:t>
            </w:r>
          </w:p>
        </w:tc>
        <w:tc>
          <w:tcPr>
            <w:tcW w:w="2160" w:type="dxa"/>
            <w:vAlign w:val="bottom"/>
            <w:gridSpan w:val="2"/>
          </w:tcPr>
          <w:p>
            <w:pPr>
              <w:spacing w:after="0"/>
              <w:rPr>
                <w:sz w:val="20"/>
                <w:szCs w:val="20"/>
                <w:color w:val="auto"/>
              </w:rPr>
            </w:pPr>
            <w:r>
              <w:rPr>
                <w:rFonts w:ascii="Arial" w:cs="Arial" w:eastAsia="Arial" w:hAnsi="Arial"/>
                <w:sz w:val="14"/>
                <w:szCs w:val="14"/>
                <w:color w:val="auto"/>
              </w:rPr>
              <w:t>Form 8-K</w:t>
            </w:r>
          </w:p>
        </w:tc>
        <w:tc>
          <w:tcPr>
            <w:tcW w:w="1460" w:type="dxa"/>
            <w:vAlign w:val="bottom"/>
            <w:gridSpan w:val="2"/>
          </w:tcPr>
          <w:p>
            <w:pPr>
              <w:spacing w:after="0"/>
              <w:rPr>
                <w:sz w:val="20"/>
                <w:szCs w:val="20"/>
                <w:color w:val="auto"/>
              </w:rPr>
            </w:pPr>
            <w:r>
              <w:rPr>
                <w:rFonts w:ascii="Arial" w:cs="Arial" w:eastAsia="Arial" w:hAnsi="Arial"/>
                <w:sz w:val="14"/>
                <w:szCs w:val="14"/>
                <w:color w:val="auto"/>
              </w:rPr>
              <w:t>April 28, 2021</w:t>
            </w:r>
          </w:p>
        </w:tc>
        <w:tc>
          <w:tcPr>
            <w:tcW w:w="134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17"/>
        </w:trPr>
        <w:tc>
          <w:tcPr>
            <w:tcW w:w="680" w:type="dxa"/>
            <w:vAlign w:val="bottom"/>
            <w:gridSpan w:val="3"/>
          </w:tcPr>
          <w:p>
            <w:pPr>
              <w:spacing w:after="0"/>
              <w:rPr>
                <w:rFonts w:ascii="Arial" w:cs="Arial" w:eastAsia="Arial" w:hAnsi="Arial"/>
                <w:sz w:val="14"/>
                <w:szCs w:val="14"/>
                <w:color w:val="0000FF"/>
              </w:rPr>
            </w:pPr>
            <w:hyperlink w:anchor="page83">
              <w:r>
                <w:rPr>
                  <w:rFonts w:ascii="Arial" w:cs="Arial" w:eastAsia="Arial" w:hAnsi="Arial"/>
                  <w:sz w:val="14"/>
                  <w:szCs w:val="14"/>
                  <w:color w:val="0000FF"/>
                </w:rPr>
                <w:t>31.</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5540" w:type="dxa"/>
            <w:vAlign w:val="bottom"/>
          </w:tcPr>
          <w:p>
            <w:pPr>
              <w:ind w:left="60"/>
              <w:spacing w:after="0"/>
              <w:rPr>
                <w:sz w:val="20"/>
                <w:szCs w:val="20"/>
                <w:color w:val="auto"/>
              </w:rPr>
            </w:pPr>
            <w:r>
              <w:rPr>
                <w:rFonts w:ascii="Arial" w:cs="Arial" w:eastAsia="Arial" w:hAnsi="Arial"/>
                <w:sz w:val="14"/>
                <w:szCs w:val="14"/>
                <w:color w:val="auto"/>
                <w:w w:val="96"/>
              </w:rPr>
              <w:t>Certification of Chief Executive Officer pursuant to Exchange Act Rules 13a-14(a) and 15d-</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5540" w:type="dxa"/>
            <w:vAlign w:val="bottom"/>
          </w:tcPr>
          <w:p>
            <w:pPr>
              <w:ind w:left="60"/>
              <w:spacing w:after="0" w:line="155" w:lineRule="exact"/>
              <w:rPr>
                <w:sz w:val="20"/>
                <w:szCs w:val="20"/>
                <w:color w:val="auto"/>
              </w:rPr>
            </w:pPr>
            <w:r>
              <w:rPr>
                <w:rFonts w:ascii="Arial" w:cs="Arial" w:eastAsia="Arial" w:hAnsi="Arial"/>
                <w:sz w:val="14"/>
                <w:szCs w:val="14"/>
                <w:color w:val="auto"/>
              </w:rPr>
              <w:t>14(a), as adopted pursuant to Section 302 of the Sarbanes-Oxley Act of 2002</w:t>
            </w: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80" w:type="dxa"/>
            <w:vAlign w:val="bottom"/>
            <w:gridSpan w:val="3"/>
          </w:tcPr>
          <w:p>
            <w:pPr>
              <w:spacing w:after="0"/>
              <w:rPr>
                <w:rFonts w:ascii="Arial" w:cs="Arial" w:eastAsia="Arial" w:hAnsi="Arial"/>
                <w:sz w:val="14"/>
                <w:szCs w:val="14"/>
                <w:color w:val="0000FF"/>
              </w:rPr>
            </w:pPr>
            <w:hyperlink w:anchor="page84">
              <w:r>
                <w:rPr>
                  <w:rFonts w:ascii="Arial" w:cs="Arial" w:eastAsia="Arial" w:hAnsi="Arial"/>
                  <w:sz w:val="14"/>
                  <w:szCs w:val="14"/>
                  <w:color w:val="0000FF"/>
                </w:rPr>
                <w:t>31.</w:t>
              </w:r>
              <w:r>
                <w:rPr>
                  <w:rFonts w:ascii="Arial" w:cs="Arial" w:eastAsia="Arial" w:hAnsi="Arial"/>
                  <w:sz w:val="14"/>
                  <w:szCs w:val="14"/>
                  <w:u w:val="single" w:color="auto"/>
                  <w:color w:val="0000FF"/>
                </w:rPr>
                <w:t>2</w:t>
              </w:r>
            </w:hyperlink>
            <w:r>
              <w:rPr>
                <w:rFonts w:ascii="Arial" w:cs="Arial" w:eastAsia="Arial" w:hAnsi="Arial"/>
                <w:sz w:val="14"/>
                <w:szCs w:val="14"/>
                <w:color w:val="000000"/>
              </w:rPr>
              <w:t>*</w:t>
            </w:r>
          </w:p>
        </w:tc>
        <w:tc>
          <w:tcPr>
            <w:tcW w:w="5540" w:type="dxa"/>
            <w:vAlign w:val="bottom"/>
          </w:tcPr>
          <w:p>
            <w:pPr>
              <w:ind w:left="60"/>
              <w:spacing w:after="0"/>
              <w:rPr>
                <w:sz w:val="20"/>
                <w:szCs w:val="20"/>
                <w:color w:val="auto"/>
              </w:rPr>
            </w:pPr>
            <w:r>
              <w:rPr>
                <w:rFonts w:ascii="Arial" w:cs="Arial" w:eastAsia="Arial" w:hAnsi="Arial"/>
                <w:sz w:val="14"/>
                <w:szCs w:val="14"/>
                <w:color w:val="auto"/>
                <w:w w:val="97"/>
              </w:rPr>
              <w:t>Certification of Chief Financial Officer pursuant to Exchange Act Rules 13a-14(a) and 15d-</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5540" w:type="dxa"/>
            <w:vAlign w:val="bottom"/>
            <w:vMerge w:val="restart"/>
          </w:tcPr>
          <w:p>
            <w:pPr>
              <w:ind w:left="60"/>
              <w:spacing w:after="0"/>
              <w:rPr>
                <w:sz w:val="20"/>
                <w:szCs w:val="20"/>
                <w:color w:val="auto"/>
              </w:rPr>
            </w:pPr>
            <w:r>
              <w:rPr>
                <w:rFonts w:ascii="Arial" w:cs="Arial" w:eastAsia="Arial" w:hAnsi="Arial"/>
                <w:sz w:val="14"/>
                <w:szCs w:val="14"/>
                <w:color w:val="auto"/>
              </w:rPr>
              <w:t>14(a), as adopted pursuant to Section 302 of the Sarbanes-Oxley Act of 2002</w:t>
            </w: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680" w:type="dxa"/>
            <w:vAlign w:val="bottom"/>
            <w:gridSpan w:val="3"/>
            <w:vMerge w:val="restart"/>
          </w:tcPr>
          <w:p>
            <w:pPr>
              <w:spacing w:after="0"/>
              <w:rPr>
                <w:rFonts w:ascii="Arial" w:cs="Arial" w:eastAsia="Arial" w:hAnsi="Arial"/>
                <w:sz w:val="14"/>
                <w:szCs w:val="14"/>
                <w:color w:val="0000FF"/>
              </w:rPr>
            </w:pPr>
            <w:hyperlink w:anchor="page85">
              <w:r>
                <w:rPr>
                  <w:rFonts w:ascii="Arial" w:cs="Arial" w:eastAsia="Arial" w:hAnsi="Arial"/>
                  <w:sz w:val="14"/>
                  <w:szCs w:val="14"/>
                  <w:color w:val="0000FF"/>
                </w:rPr>
                <w:t>32.</w:t>
              </w:r>
              <w:r>
                <w:rPr>
                  <w:rFonts w:ascii="Arial" w:cs="Arial" w:eastAsia="Arial" w:hAnsi="Arial"/>
                  <w:sz w:val="14"/>
                  <w:szCs w:val="14"/>
                  <w:u w:val="single" w:color="auto"/>
                  <w:color w:val="0000FF"/>
                </w:rPr>
                <w:t>1</w:t>
              </w:r>
            </w:hyperlink>
            <w:r>
              <w:rPr>
                <w:rFonts w:ascii="Arial" w:cs="Arial" w:eastAsia="Arial" w:hAnsi="Arial"/>
                <w:sz w:val="18"/>
                <w:szCs w:val="18"/>
                <w:color w:val="000000"/>
                <w:vertAlign w:val="superscript"/>
              </w:rPr>
              <w:t>#</w:t>
            </w:r>
          </w:p>
        </w:tc>
        <w:tc>
          <w:tcPr>
            <w:tcW w:w="5540" w:type="dxa"/>
            <w:vAlign w:val="bottom"/>
            <w:vMerge w:val="continue"/>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80" w:type="dxa"/>
            <w:vAlign w:val="bottom"/>
            <w:gridSpan w:val="3"/>
            <w:vMerge w:val="continue"/>
          </w:tcPr>
          <w:p>
            <w:pPr>
              <w:spacing w:after="0"/>
              <w:rPr>
                <w:sz w:val="17"/>
                <w:szCs w:val="17"/>
                <w:color w:val="auto"/>
              </w:rPr>
            </w:pPr>
          </w:p>
        </w:tc>
        <w:tc>
          <w:tcPr>
            <w:tcW w:w="5540" w:type="dxa"/>
            <w:vAlign w:val="bottom"/>
          </w:tcPr>
          <w:p>
            <w:pPr>
              <w:ind w:left="60"/>
              <w:spacing w:after="0"/>
              <w:rPr>
                <w:sz w:val="20"/>
                <w:szCs w:val="20"/>
                <w:color w:val="auto"/>
              </w:rPr>
            </w:pPr>
            <w:r>
              <w:rPr>
                <w:rFonts w:ascii="Arial" w:cs="Arial" w:eastAsia="Arial" w:hAnsi="Arial"/>
                <w:sz w:val="14"/>
                <w:szCs w:val="14"/>
                <w:color w:val="auto"/>
                <w:w w:val="99"/>
              </w:rPr>
              <w:t>Certifications of Chief Executive Officer and Chief Financial Officer pursuant to 18 U.S.C.</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5540" w:type="dxa"/>
            <w:vAlign w:val="bottom"/>
          </w:tcPr>
          <w:p>
            <w:pPr>
              <w:ind w:left="60"/>
              <w:spacing w:after="0" w:line="155" w:lineRule="exact"/>
              <w:rPr>
                <w:sz w:val="20"/>
                <w:szCs w:val="20"/>
                <w:color w:val="auto"/>
              </w:rPr>
            </w:pPr>
            <w:r>
              <w:rPr>
                <w:rFonts w:ascii="Arial" w:cs="Arial" w:eastAsia="Arial" w:hAnsi="Arial"/>
                <w:sz w:val="14"/>
                <w:szCs w:val="14"/>
                <w:color w:val="auto"/>
              </w:rPr>
              <w:t>Section 1350, as adopted pursuant to Section 906 of the Sarbanes-Oxley Act of 2002</w:t>
            </w: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80" w:type="dxa"/>
            <w:vAlign w:val="bottom"/>
            <w:gridSpan w:val="3"/>
          </w:tcPr>
          <w:p>
            <w:pPr>
              <w:spacing w:after="0"/>
              <w:rPr>
                <w:sz w:val="20"/>
                <w:szCs w:val="20"/>
                <w:color w:val="auto"/>
              </w:rPr>
            </w:pPr>
            <w:r>
              <w:rPr>
                <w:rFonts w:ascii="Arial" w:cs="Arial" w:eastAsia="Arial" w:hAnsi="Arial"/>
                <w:sz w:val="14"/>
                <w:szCs w:val="14"/>
                <w:color w:val="auto"/>
              </w:rPr>
              <w:t>101.INS*</w:t>
            </w:r>
          </w:p>
        </w:tc>
        <w:tc>
          <w:tcPr>
            <w:tcW w:w="5540" w:type="dxa"/>
            <w:vAlign w:val="bottom"/>
          </w:tcPr>
          <w:p>
            <w:pPr>
              <w:ind w:left="60"/>
              <w:spacing w:after="0"/>
              <w:rPr>
                <w:sz w:val="20"/>
                <w:szCs w:val="20"/>
                <w:color w:val="auto"/>
              </w:rPr>
            </w:pPr>
            <w:r>
              <w:rPr>
                <w:rFonts w:ascii="Arial" w:cs="Arial" w:eastAsia="Arial" w:hAnsi="Arial"/>
                <w:sz w:val="14"/>
                <w:szCs w:val="14"/>
                <w:color w:val="auto"/>
                <w:w w:val="97"/>
              </w:rPr>
              <w:t>Inline XBRL Instance Document - the instance document does not appear in the interactive</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40" w:type="dxa"/>
            <w:vAlign w:val="bottom"/>
          </w:tcPr>
          <w:p>
            <w:pPr>
              <w:ind w:left="60"/>
              <w:spacing w:after="0"/>
              <w:rPr>
                <w:sz w:val="20"/>
                <w:szCs w:val="20"/>
                <w:color w:val="auto"/>
              </w:rPr>
            </w:pPr>
            <w:r>
              <w:rPr>
                <w:rFonts w:ascii="Arial" w:cs="Arial" w:eastAsia="Arial" w:hAnsi="Arial"/>
                <w:sz w:val="14"/>
                <w:szCs w:val="14"/>
                <w:color w:val="auto"/>
              </w:rPr>
              <w:t>data file because its XBRL tags are embedded within the inline XBRL document.</w:t>
            </w: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80" w:type="dxa"/>
            <w:vAlign w:val="bottom"/>
            <w:gridSpan w:val="3"/>
          </w:tcPr>
          <w:p>
            <w:pPr>
              <w:spacing w:after="0"/>
              <w:rPr>
                <w:sz w:val="20"/>
                <w:szCs w:val="20"/>
                <w:color w:val="auto"/>
              </w:rPr>
            </w:pPr>
            <w:r>
              <w:rPr>
                <w:rFonts w:ascii="Arial" w:cs="Arial" w:eastAsia="Arial" w:hAnsi="Arial"/>
                <w:sz w:val="14"/>
                <w:szCs w:val="14"/>
                <w:color w:val="auto"/>
              </w:rPr>
              <w:t>101.SCH*</w:t>
            </w:r>
          </w:p>
        </w:tc>
        <w:tc>
          <w:tcPr>
            <w:tcW w:w="5540" w:type="dxa"/>
            <w:vAlign w:val="bottom"/>
          </w:tcPr>
          <w:p>
            <w:pPr>
              <w:ind w:left="60"/>
              <w:spacing w:after="0"/>
              <w:rPr>
                <w:sz w:val="20"/>
                <w:szCs w:val="20"/>
                <w:color w:val="auto"/>
              </w:rPr>
            </w:pPr>
            <w:r>
              <w:rPr>
                <w:rFonts w:ascii="Arial" w:cs="Arial" w:eastAsia="Arial" w:hAnsi="Arial"/>
                <w:sz w:val="14"/>
                <w:szCs w:val="14"/>
                <w:color w:val="auto"/>
              </w:rPr>
              <w:t>Inline XBRL Taxonomy Extension Schema Document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 w:type="dxa"/>
            <w:vAlign w:val="bottom"/>
            <w:gridSpan w:val="3"/>
          </w:tcPr>
          <w:p>
            <w:pPr>
              <w:spacing w:after="0"/>
              <w:rPr>
                <w:sz w:val="20"/>
                <w:szCs w:val="20"/>
                <w:color w:val="auto"/>
              </w:rPr>
            </w:pPr>
            <w:r>
              <w:rPr>
                <w:rFonts w:ascii="Arial" w:cs="Arial" w:eastAsia="Arial" w:hAnsi="Arial"/>
                <w:sz w:val="14"/>
                <w:szCs w:val="14"/>
                <w:color w:val="auto"/>
              </w:rPr>
              <w:t>101.CAL*</w:t>
            </w:r>
          </w:p>
        </w:tc>
        <w:tc>
          <w:tcPr>
            <w:tcW w:w="5540" w:type="dxa"/>
            <w:vAlign w:val="bottom"/>
          </w:tcPr>
          <w:p>
            <w:pPr>
              <w:ind w:left="60"/>
              <w:spacing w:after="0"/>
              <w:rPr>
                <w:sz w:val="20"/>
                <w:szCs w:val="20"/>
                <w:color w:val="auto"/>
              </w:rPr>
            </w:pPr>
            <w:r>
              <w:rPr>
                <w:rFonts w:ascii="Arial" w:cs="Arial" w:eastAsia="Arial" w:hAnsi="Arial"/>
                <w:sz w:val="14"/>
                <w:szCs w:val="14"/>
                <w:color w:val="auto"/>
              </w:rPr>
              <w:t>Inline XBRL Taxonomy Extension Calculation Linkbase Document</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 w:type="dxa"/>
            <w:vAlign w:val="bottom"/>
            <w:gridSpan w:val="3"/>
          </w:tcPr>
          <w:p>
            <w:pPr>
              <w:spacing w:after="0"/>
              <w:rPr>
                <w:sz w:val="20"/>
                <w:szCs w:val="20"/>
                <w:color w:val="auto"/>
              </w:rPr>
            </w:pPr>
            <w:r>
              <w:rPr>
                <w:rFonts w:ascii="Arial" w:cs="Arial" w:eastAsia="Arial" w:hAnsi="Arial"/>
                <w:sz w:val="14"/>
                <w:szCs w:val="14"/>
                <w:color w:val="auto"/>
              </w:rPr>
              <w:t>101.DEF*</w:t>
            </w:r>
          </w:p>
        </w:tc>
        <w:tc>
          <w:tcPr>
            <w:tcW w:w="5540" w:type="dxa"/>
            <w:vAlign w:val="bottom"/>
          </w:tcPr>
          <w:p>
            <w:pPr>
              <w:ind w:left="60"/>
              <w:spacing w:after="0"/>
              <w:rPr>
                <w:sz w:val="20"/>
                <w:szCs w:val="20"/>
                <w:color w:val="auto"/>
              </w:rPr>
            </w:pPr>
            <w:r>
              <w:rPr>
                <w:rFonts w:ascii="Arial" w:cs="Arial" w:eastAsia="Arial" w:hAnsi="Arial"/>
                <w:sz w:val="14"/>
                <w:szCs w:val="14"/>
                <w:color w:val="auto"/>
              </w:rPr>
              <w:t>Inline XBRL Taxonomy Extension Definition Linkbase Document</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 w:type="dxa"/>
            <w:vAlign w:val="bottom"/>
            <w:gridSpan w:val="3"/>
          </w:tcPr>
          <w:p>
            <w:pPr>
              <w:spacing w:after="0"/>
              <w:rPr>
                <w:sz w:val="20"/>
                <w:szCs w:val="20"/>
                <w:color w:val="auto"/>
              </w:rPr>
            </w:pPr>
            <w:r>
              <w:rPr>
                <w:rFonts w:ascii="Arial" w:cs="Arial" w:eastAsia="Arial" w:hAnsi="Arial"/>
                <w:sz w:val="14"/>
                <w:szCs w:val="14"/>
                <w:color w:val="auto"/>
              </w:rPr>
              <w:t>101.LAB*</w:t>
            </w:r>
          </w:p>
        </w:tc>
        <w:tc>
          <w:tcPr>
            <w:tcW w:w="5540" w:type="dxa"/>
            <w:vAlign w:val="bottom"/>
          </w:tcPr>
          <w:p>
            <w:pPr>
              <w:ind w:left="60"/>
              <w:spacing w:after="0"/>
              <w:rPr>
                <w:sz w:val="20"/>
                <w:szCs w:val="20"/>
                <w:color w:val="auto"/>
              </w:rPr>
            </w:pPr>
            <w:r>
              <w:rPr>
                <w:rFonts w:ascii="Arial" w:cs="Arial" w:eastAsia="Arial" w:hAnsi="Arial"/>
                <w:sz w:val="14"/>
                <w:szCs w:val="14"/>
                <w:color w:val="auto"/>
              </w:rPr>
              <w:t>Inline XBRL Taxonomy Extension Label Linkbase Document</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 w:type="dxa"/>
            <w:vAlign w:val="bottom"/>
            <w:gridSpan w:val="3"/>
          </w:tcPr>
          <w:p>
            <w:pPr>
              <w:spacing w:after="0"/>
              <w:rPr>
                <w:sz w:val="20"/>
                <w:szCs w:val="20"/>
                <w:color w:val="auto"/>
              </w:rPr>
            </w:pPr>
            <w:r>
              <w:rPr>
                <w:rFonts w:ascii="Arial" w:cs="Arial" w:eastAsia="Arial" w:hAnsi="Arial"/>
                <w:sz w:val="14"/>
                <w:szCs w:val="14"/>
                <w:color w:val="auto"/>
              </w:rPr>
              <w:t>101.PRE*</w:t>
            </w:r>
          </w:p>
        </w:tc>
        <w:tc>
          <w:tcPr>
            <w:tcW w:w="5540" w:type="dxa"/>
            <w:vAlign w:val="bottom"/>
          </w:tcPr>
          <w:p>
            <w:pPr>
              <w:ind w:left="60"/>
              <w:spacing w:after="0"/>
              <w:rPr>
                <w:sz w:val="20"/>
                <w:szCs w:val="20"/>
                <w:color w:val="auto"/>
              </w:rPr>
            </w:pPr>
            <w:r>
              <w:rPr>
                <w:rFonts w:ascii="Arial" w:cs="Arial" w:eastAsia="Arial" w:hAnsi="Arial"/>
                <w:sz w:val="14"/>
                <w:szCs w:val="14"/>
                <w:color w:val="auto"/>
              </w:rPr>
              <w:t>Inline XBRL Taxonomy Extension Presentation Linkbase Document</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80" w:type="dxa"/>
            <w:vAlign w:val="bottom"/>
            <w:gridSpan w:val="3"/>
          </w:tcPr>
          <w:p>
            <w:pPr>
              <w:spacing w:after="0"/>
              <w:rPr>
                <w:sz w:val="20"/>
                <w:szCs w:val="20"/>
                <w:color w:val="auto"/>
              </w:rPr>
            </w:pPr>
            <w:r>
              <w:rPr>
                <w:rFonts w:ascii="Arial" w:cs="Arial" w:eastAsia="Arial" w:hAnsi="Arial"/>
                <w:sz w:val="14"/>
                <w:szCs w:val="14"/>
                <w:color w:val="auto"/>
              </w:rPr>
              <w:t>104*</w:t>
            </w:r>
          </w:p>
        </w:tc>
        <w:tc>
          <w:tcPr>
            <w:tcW w:w="5540" w:type="dxa"/>
            <w:vAlign w:val="bottom"/>
          </w:tcPr>
          <w:p>
            <w:pPr>
              <w:ind w:left="60"/>
              <w:spacing w:after="0"/>
              <w:rPr>
                <w:sz w:val="20"/>
                <w:szCs w:val="20"/>
                <w:color w:val="auto"/>
              </w:rPr>
            </w:pPr>
            <w:r>
              <w:rPr>
                <w:rFonts w:ascii="Arial" w:cs="Arial" w:eastAsia="Arial" w:hAnsi="Arial"/>
                <w:sz w:val="14"/>
                <w:szCs w:val="14"/>
                <w:color w:val="auto"/>
                <w:w w:val="96"/>
              </w:rPr>
              <w:t>Cover Page Interactive Data File - the cover page from the Company’s Quarterly Report on</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40" w:type="dxa"/>
            <w:vAlign w:val="bottom"/>
          </w:tcPr>
          <w:p>
            <w:pPr>
              <w:ind w:left="60"/>
              <w:spacing w:after="0"/>
              <w:rPr>
                <w:sz w:val="20"/>
                <w:szCs w:val="20"/>
                <w:color w:val="auto"/>
              </w:rPr>
            </w:pPr>
            <w:r>
              <w:rPr>
                <w:rFonts w:ascii="Arial" w:cs="Arial" w:eastAsia="Arial" w:hAnsi="Arial"/>
                <w:sz w:val="14"/>
                <w:szCs w:val="14"/>
                <w:color w:val="auto"/>
              </w:rPr>
              <w:t>Form 10-Q for the quarter ended June 30, 2021 is formatted in inline XBRL.</w:t>
            </w: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235" w:lineRule="exact"/>
        <w:rPr>
          <w:sz w:val="20"/>
          <w:szCs w:val="20"/>
          <w:color w:val="auto"/>
        </w:rPr>
      </w:pPr>
    </w:p>
    <w:p>
      <w:pPr>
        <w:ind w:left="140" w:hanging="132"/>
        <w:spacing w:after="0"/>
        <w:tabs>
          <w:tab w:leader="none" w:pos="140" w:val="left"/>
        </w:tabs>
        <w:numPr>
          <w:ilvl w:val="0"/>
          <w:numId w:val="44"/>
        </w:numPr>
        <w:rPr>
          <w:rFonts w:ascii="Arial" w:cs="Arial" w:eastAsia="Arial" w:hAnsi="Arial"/>
          <w:sz w:val="18"/>
          <w:szCs w:val="18"/>
          <w:color w:val="auto"/>
        </w:rPr>
      </w:pPr>
      <w:r>
        <w:rPr>
          <w:rFonts w:ascii="Arial" w:cs="Arial" w:eastAsia="Arial" w:hAnsi="Arial"/>
          <w:sz w:val="14"/>
          <w:szCs w:val="14"/>
          <w:color w:val="auto"/>
        </w:rPr>
        <w:t>Filed herewith.</w:t>
      </w:r>
    </w:p>
    <w:p>
      <w:pPr>
        <w:ind w:left="100" w:hanging="92"/>
        <w:spacing w:after="0" w:line="181" w:lineRule="auto"/>
        <w:tabs>
          <w:tab w:leader="none" w:pos="100" w:val="left"/>
        </w:tabs>
        <w:numPr>
          <w:ilvl w:val="0"/>
          <w:numId w:val="45"/>
        </w:numPr>
        <w:rPr>
          <w:rFonts w:ascii="Arial" w:cs="Arial" w:eastAsia="Arial" w:hAnsi="Arial"/>
          <w:sz w:val="23"/>
          <w:szCs w:val="23"/>
          <w:color w:val="auto"/>
          <w:vertAlign w:val="superscript"/>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2021</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189" w:lineRule="exact"/>
        <w:rPr>
          <w:sz w:val="20"/>
          <w:szCs w:val="20"/>
          <w:color w:val="auto"/>
        </w:rPr>
      </w:pPr>
    </w:p>
    <w:p>
      <w:pPr>
        <w:ind w:left="3540"/>
        <w:spacing w:after="0"/>
        <w:tabs>
          <w:tab w:leader="none" w:pos="7140" w:val="left"/>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45345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Ken Xie, Chief Executive Officer and Chairman</w:t>
      </w:r>
    </w:p>
    <w:p>
      <w:pPr>
        <w:spacing w:after="0" w:line="113"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(Duly Authorized Officer and Principal Executive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189" w:lineRule="exact"/>
        <w:rPr>
          <w:sz w:val="20"/>
          <w:szCs w:val="20"/>
          <w:color w:val="auto"/>
        </w:rPr>
      </w:pPr>
    </w:p>
    <w:p>
      <w:pPr>
        <w:ind w:left="3540"/>
        <w:spacing w:after="0"/>
        <w:tabs>
          <w:tab w:leader="none" w:pos="6800" w:val="left"/>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45345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Keith Jensen, Chief Financial Officer</w:t>
      </w:r>
    </w:p>
    <w:p>
      <w:pPr>
        <w:spacing w:after="0" w:line="12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80"/>
          </w:cols>
          <w:pgMar w:left="320" w:top="283" w:right="39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14605</wp:posOffset>
            </wp:positionV>
            <wp:extent cx="29229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Ken Xie</w:t>
      </w:r>
    </w:p>
    <w:p>
      <w:pPr>
        <w:spacing w:after="0" w:line="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 and Chairman</w:t>
      </w:r>
    </w:p>
    <w:p>
      <w:pPr>
        <w:ind w:left="6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29229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Keith Jensen</w:t>
      </w:r>
    </w:p>
    <w:p>
      <w:pPr>
        <w:spacing w:after="0" w:line="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ind w:left="63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89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 ended June 30, 2021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2800" w:type="dxa"/>
            <w:vAlign w:val="bottom"/>
          </w:tcPr>
          <w:p>
            <w:pPr>
              <w:ind w:left="210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Xie</w:t>
            </w: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Date:   August 2, 2021</w:t>
            </w:r>
          </w:p>
        </w:tc>
        <w:tc>
          <w:tcPr>
            <w:tcW w:w="2800" w:type="dxa"/>
            <w:vAlign w:val="bottom"/>
          </w:tcPr>
          <w:p>
            <w:pPr>
              <w:ind w:left="210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Ken Xie</w:t>
            </w:r>
          </w:p>
        </w:tc>
      </w:tr>
      <w:tr>
        <w:trPr>
          <w:trHeight w:val="176"/>
        </w:trPr>
        <w:tc>
          <w:tcPr>
            <w:tcW w:w="3820" w:type="dxa"/>
            <w:vAlign w:val="bottom"/>
          </w:tcPr>
          <w:p>
            <w:pPr>
              <w:spacing w:after="0"/>
              <w:rPr>
                <w:sz w:val="15"/>
                <w:szCs w:val="15"/>
                <w:color w:val="auto"/>
              </w:rPr>
            </w:pPr>
          </w:p>
        </w:tc>
        <w:tc>
          <w:tcPr>
            <w:tcW w:w="2800" w:type="dxa"/>
            <w:vAlign w:val="bottom"/>
          </w:tcPr>
          <w:p>
            <w:pPr>
              <w:ind w:left="2100"/>
              <w:spacing w:after="0" w:line="176" w:lineRule="exact"/>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 and Chairman</w:t>
            </w:r>
          </w:p>
        </w:tc>
      </w:tr>
      <w:tr>
        <w:trPr>
          <w:trHeight w:val="230"/>
        </w:trPr>
        <w:tc>
          <w:tcPr>
            <w:tcW w:w="38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14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I, Keith Jensen, certify, pursuant to 18 U.S.C. Section 1350, as adopted pursuant to Section 906 of the Sarbanes-Oxley Act of 2002, that the Quarterly Report on Form 10-Q of Fortinet, Inc. for the quarter ended June 30, 2021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2800" w:type="dxa"/>
            <w:vAlign w:val="bottom"/>
          </w:tcPr>
          <w:p>
            <w:pPr>
              <w:ind w:left="210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Jensen</w:t>
            </w: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Date:   August 2, 2021</w:t>
            </w:r>
          </w:p>
        </w:tc>
        <w:tc>
          <w:tcPr>
            <w:tcW w:w="2800" w:type="dxa"/>
            <w:vAlign w:val="bottom"/>
          </w:tcPr>
          <w:p>
            <w:pPr>
              <w:ind w:left="210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Keith Jensen</w:t>
            </w:r>
          </w:p>
        </w:tc>
      </w:tr>
      <w:tr>
        <w:trPr>
          <w:trHeight w:val="176"/>
        </w:trPr>
        <w:tc>
          <w:tcPr>
            <w:tcW w:w="3820" w:type="dxa"/>
            <w:vAlign w:val="bottom"/>
          </w:tcPr>
          <w:p>
            <w:pPr>
              <w:spacing w:after="0"/>
              <w:rPr>
                <w:sz w:val="15"/>
                <w:szCs w:val="15"/>
                <w:color w:val="auto"/>
              </w:rPr>
            </w:pPr>
          </w:p>
        </w:tc>
        <w:tc>
          <w:tcPr>
            <w:tcW w:w="2800" w:type="dxa"/>
            <w:vAlign w:val="bottom"/>
          </w:tcPr>
          <w:p>
            <w:pPr>
              <w:ind w:left="2100"/>
              <w:spacing w:after="0" w:line="176" w:lineRule="exact"/>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8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w w:val="95"/>
              </w:rPr>
              <w:t>(Principal Financial Officer and Principal Accounting Officer)</w:t>
            </w:r>
          </w:p>
        </w:tc>
      </w:tr>
    </w:tbl>
    <w:p>
      <w:pPr>
        <w:spacing w:after="0" w:line="200" w:lineRule="exact"/>
        <w:rPr>
          <w:sz w:val="20"/>
          <w:szCs w:val="20"/>
          <w:color w:val="auto"/>
        </w:rPr>
      </w:pPr>
    </w:p>
    <w:p>
      <w:pPr>
        <w:spacing w:after="0" w:line="284"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1."/>
      <w:numFmt w:val="decimal"/>
      <w:start w:val="3"/>
    </w:lvl>
  </w:abstractNum>
  <w:abstractNum w:abstractNumId="5">
    <w:nsid w:val="189A769B"/>
    <w:multiLevelType w:val="hybridMultilevel"/>
    <w:lvl w:ilvl="0">
      <w:lvlJc w:val="left"/>
      <w:lvlText w:val="%1."/>
      <w:numFmt w:val="decimal"/>
      <w:start w:val="4"/>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7"/>
    </w:lvl>
  </w:abstractNum>
  <w:abstractNum w:abstractNumId="8">
    <w:nsid w:val="2CA88611"/>
    <w:multiLevelType w:val="hybridMultilevel"/>
    <w:lvl w:ilvl="0">
      <w:lvlJc w:val="left"/>
      <w:lvlText w:val="%1."/>
      <w:numFmt w:val="decimal"/>
      <w:start w:val="8"/>
    </w:lvl>
  </w:abstractNum>
  <w:abstractNum w:abstractNumId="9">
    <w:nsid w:val="836C40E"/>
    <w:multiLevelType w:val="hybridMultilevel"/>
    <w:lvl w:ilvl="0">
      <w:lvlJc w:val="left"/>
      <w:lvlText w:val="%1."/>
      <w:numFmt w:val="decimal"/>
      <w:start w:val="10"/>
    </w:lvl>
  </w:abstractNum>
  <w:abstractNum w:abstractNumId="10">
    <w:nsid w:val="2901D82"/>
    <w:multiLevelType w:val="hybridMultilevel"/>
    <w:lvl w:ilvl="0">
      <w:lvlJc w:val="left"/>
      <w:lvlText w:val="%1."/>
      <w:numFmt w:val="decimal"/>
      <w:start w:val="1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2"/>
    </w:lvl>
  </w:abstractNum>
  <w:abstractNum w:abstractNumId="13">
    <w:nsid w:val="1E7FF521"/>
    <w:multiLevelType w:val="hybridMultilevel"/>
    <w:lvl w:ilvl="0">
      <w:lvlJc w:val="left"/>
      <w:lvlText w:val="%1."/>
      <w:numFmt w:val="decimal"/>
      <w:start w:val="13"/>
    </w:lvl>
  </w:abstractNum>
  <w:abstractNum w:abstractNumId="14">
    <w:nsid w:val="7C3DBD3D"/>
    <w:multiLevelType w:val="hybridMultilevel"/>
    <w:lvl w:ilvl="0">
      <w:lvlJc w:val="left"/>
      <w:lvlText w:val="%1."/>
      <w:numFmt w:val="decimal"/>
      <w:start w:val="14"/>
    </w:lvl>
  </w:abstractNum>
  <w:abstractNum w:abstractNumId="15">
    <w:nsid w:val="737B8DDC"/>
    <w:multiLevelType w:val="hybridMultilevel"/>
    <w:lvl w:ilvl="0">
      <w:lvlJc w:val="left"/>
      <w:lvlText w:val="%1."/>
      <w:numFmt w:val="decimal"/>
      <w:start w:val="15"/>
    </w:lvl>
  </w:abstractNum>
  <w:abstractNum w:abstractNumId="16">
    <w:nsid w:val="6CEAF087"/>
    <w:multiLevelType w:val="hybridMultilevel"/>
    <w:lvl w:ilvl="0">
      <w:lvlJc w:val="left"/>
      <w:lvlText w:val="%1."/>
      <w:numFmt w:val="decimal"/>
      <w:start w:val="17"/>
    </w:lvl>
  </w:abstractNum>
  <w:abstractNum w:abstractNumId="17">
    <w:nsid w:val="22221A70"/>
    <w:multiLevelType w:val="hybridMultilevel"/>
    <w:lvl w:ilvl="0">
      <w:lvlJc w:val="left"/>
      <w:lvlText w:val="%1."/>
      <w:numFmt w:val="decimal"/>
      <w:start w:val="18"/>
    </w:lvl>
  </w:abstractNum>
  <w:abstractNum w:abstractNumId="18">
    <w:nsid w:val="4516DDE9"/>
    <w:multiLevelType w:val="hybridMultilevel"/>
    <w:lvl w:ilvl="0">
      <w:lvlJc w:val="left"/>
      <w:lvlText w:val="%1."/>
      <w:numFmt w:val="decimal"/>
      <w:start w:val="19"/>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94" Type="http://schemas.openxmlformats.org/officeDocument/2006/relationships/hyperlink" Target="https://www.sec.gov/Archives/edgar/data/1262039/000110465921056360/tm2114350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2021-08-02T16:12:02Z</dcterms:created>
  <dcterms:modified xsi:type="dcterms:W3CDTF">2021-08-02T16:12:02Z</dcterms:modified>
</cp:coreProperties>
</file>