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452120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75" w:lineRule="exact"/>
        <w:rPr>
          <w:sz w:val="24"/>
          <w:szCs w:val="24"/>
          <w:color w:val="auto"/>
        </w:rPr>
      </w:pPr>
    </w:p>
    <w:p>
      <w:pPr>
        <w:ind w:left="3880" w:right="1680" w:hanging="3854"/>
        <w:spacing w:after="0" w:line="393" w:lineRule="auto"/>
        <w:tabs>
          <w:tab w:leader="none" w:pos="399" w:val="left"/>
        </w:tabs>
        <w:numPr>
          <w:ilvl w:val="0"/>
          <w:numId w:val="1"/>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8"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r>
      <w:tr>
        <w:trPr>
          <w:trHeight w:val="380"/>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r>
      <w:tr>
        <w:trPr>
          <w:trHeight w:val="205"/>
        </w:trPr>
        <w:tc>
          <w:tcPr>
            <w:tcW w:w="6420" w:type="dxa"/>
            <w:vAlign w:val="bottom"/>
            <w:gridSpan w:val="5"/>
          </w:tcPr>
          <w:p>
            <w:pPr>
              <w:jc w:val="center"/>
              <w:ind w:left="263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2280" w:type="dxa"/>
            <w:vAlign w:val="bottom"/>
          </w:tcPr>
          <w:p>
            <w:pPr>
              <w:spacing w:after="0"/>
              <w:rPr>
                <w:sz w:val="17"/>
                <w:szCs w:val="17"/>
                <w:color w:val="auto"/>
              </w:rPr>
            </w:pPr>
          </w:p>
        </w:tc>
      </w:tr>
      <w:tr>
        <w:trPr>
          <w:trHeight w:val="310"/>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4"/>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10"/>
        </w:trPr>
        <w:tc>
          <w:tcPr>
            <w:tcW w:w="6420" w:type="dxa"/>
            <w:vAlign w:val="bottom"/>
            <w:gridSpan w:val="5"/>
          </w:tcPr>
          <w:p>
            <w:pPr>
              <w:jc w:val="center"/>
              <w:ind w:left="261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2280" w:type="dxa"/>
            <w:vAlign w:val="bottom"/>
          </w:tcPr>
          <w:p>
            <w:pPr>
              <w:spacing w:after="0"/>
              <w:rPr>
                <w:sz w:val="18"/>
                <w:szCs w:val="18"/>
                <w:color w:val="auto"/>
              </w:rPr>
            </w:pPr>
          </w:p>
        </w:tc>
      </w:tr>
      <w:tr>
        <w:trPr>
          <w:trHeight w:val="681"/>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202"/>
        </w:trPr>
        <w:tc>
          <w:tcPr>
            <w:tcW w:w="56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616"/>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18"/>
                <w:szCs w:val="18"/>
                <w:b w:val="1"/>
                <w:bCs w:val="1"/>
                <w:color w:val="auto"/>
                <w:w w:val="99"/>
              </w:rPr>
              <w:t>909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4"/>
        </w:trPr>
        <w:tc>
          <w:tcPr>
            <w:tcW w:w="5680" w:type="dxa"/>
            <w:vAlign w:val="bottom"/>
            <w:gridSpan w:val="3"/>
          </w:tcPr>
          <w:p>
            <w:pPr>
              <w:jc w:val="center"/>
              <w:ind w:left="3371"/>
              <w:spacing w:after="0" w:line="184" w:lineRule="exact"/>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2"/>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r>
      <w:tr>
        <w:trPr>
          <w:trHeight w:val="420"/>
        </w:trPr>
        <w:tc>
          <w:tcPr>
            <w:tcW w:w="5640" w:type="dxa"/>
            <w:vAlign w:val="bottom"/>
            <w:gridSpan w:val="2"/>
          </w:tcPr>
          <w:p>
            <w:pPr>
              <w:jc w:val="center"/>
              <w:ind w:left="339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2"/>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bl>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ectPr>
          <w:pgSz w:w="11900" w:h="16838" w:orient="portrait"/>
          <w:cols w:equalWidth="0" w:num="1">
            <w:col w:w="11220"/>
          </w:cols>
          <w:pgMar w:left="320" w:top="225" w:right="35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4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20"/>
          </w:cols>
          <w:pgMar w:left="320" w:top="225" w:right="359" w:bottom="1440" w:gutter="0" w:footer="0" w:header="0"/>
          <w:type w:val="continuous"/>
        </w:sectPr>
      </w:pPr>
    </w:p>
    <w:p>
      <w:pPr>
        <w:spacing w:after="0" w:line="128" w:lineRule="exact"/>
        <w:rPr>
          <w:sz w:val="24"/>
          <w:szCs w:val="24"/>
          <w:color w:val="auto"/>
        </w:rPr>
      </w:pPr>
    </w:p>
    <w:p>
      <w:pPr>
        <w:ind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60"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20"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6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firstLine="283"/>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6" w:lineRule="exact"/>
        <w:rPr>
          <w:sz w:val="20"/>
          <w:szCs w:val="20"/>
          <w:color w:val="auto"/>
        </w:rPr>
      </w:pPr>
    </w:p>
    <w:p>
      <w:pPr>
        <w:ind w:left="300" w:right="1860"/>
        <w:spacing w:after="0" w:line="3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As of August 5, 2025, there were 766,266,033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gridSpan w:val="9"/>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6240" w:type="dxa"/>
            <w:vAlign w:val="bottom"/>
            <w:gridSpan w:val="8"/>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4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506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5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600" w:type="dxa"/>
            <w:vAlign w:val="bottom"/>
            <w:gridSpan w:val="3"/>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32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4"/>
          </w:tcPr>
          <w:p>
            <w:pPr>
              <w:spacing w:after="0"/>
              <w:rPr>
                <w:sz w:val="18"/>
                <w:szCs w:val="18"/>
                <w:color w:val="auto"/>
              </w:rPr>
            </w:pPr>
          </w:p>
        </w:tc>
        <w:tc>
          <w:tcPr>
            <w:tcW w:w="834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866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r>
      <w:tr>
        <w:trPr>
          <w:trHeight w:val="1729"/>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w:t>
      </w:r>
    </w:p>
    <w:p>
      <w:pPr>
        <w:spacing w:after="0" w:line="22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52"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such as a possible economic downturn or recession, and possible impacts of inflation or stagflation, tariffs, trade policies or other trade disruptions, changing interest rates, changes in government spending or regulation or reduced information technology (“IT”) spending, including firewall spending, may adversely impact our business.</w:t>
      </w:r>
    </w:p>
    <w:p>
      <w:pPr>
        <w:spacing w:after="0" w:line="21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217"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supply chain disruptions in previous periods, we increased our purchase order commitments in previous periods and were in some instances required to and may in the future be required to accept or pay for components and finished goods regardless of our level of sales in a particular period, which may negatively or unpredictably impact our operating results and financial condition.</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billings, revenue, and free cash flow growth may slow or may not continue to grow, and our operating margins may decline.</w:t>
      </w:r>
    </w:p>
    <w:p>
      <w:pPr>
        <w:spacing w:after="0" w:line="238"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including construction, acquisitions, improvements, leasing activity, and ongoing maintenance and management of office buildings, warehouses, data centers and points of presence (“PoPs”), as well as data center operations, expansions or enhancements, could involve significant risks to our business.</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sales strategy, productivity, personnel, retention and execution could negatively impact our results of operations.</w:t>
      </w:r>
    </w:p>
    <w:p>
      <w:pPr>
        <w:spacing w:after="0" w:line="238"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w:t>
      </w:r>
    </w:p>
    <w:p>
      <w:pPr>
        <w:spacing w:after="0" w:line="175" w:lineRule="exact"/>
        <w:rPr>
          <w:rFonts w:ascii="Times New Roman" w:cs="Times New Roman" w:eastAsia="Times New Roman" w:hAnsi="Times New Roman"/>
          <w:sz w:val="18"/>
          <w:szCs w:val="18"/>
          <w:color w:val="auto"/>
        </w:rPr>
      </w:pPr>
    </w:p>
    <w:p>
      <w:pPr>
        <w:ind w:left="660" w:right="6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for substantially all of our billings, revenue, and a small number of distributors represents a large percentage of our revenue and accounts receivable.</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concentration of shipments at the end of the quarter or changes in shipping terms could cause our billings and revenue to fall below expected levels.</w:t>
      </w:r>
    </w:p>
    <w:p>
      <w:pPr>
        <w:spacing w:after="0" w:line="175"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revenue from FortiGuard and other security subscriptions and FortiCare technical support services, and revenue from these services may decline or fluctuate in manners that could adversely impact our results of operations.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and we may not maintain or improve our competitive position.</w:t>
      </w:r>
    </w:p>
    <w:p>
      <w:pPr>
        <w:spacing w:after="0" w:line="238" w:lineRule="exact"/>
        <w:rPr>
          <w:rFonts w:ascii="Times New Roman" w:cs="Times New Roman" w:eastAsia="Times New Roman" w:hAnsi="Times New Roman"/>
          <w:sz w:val="18"/>
          <w:szCs w:val="18"/>
          <w:color w:val="auto"/>
        </w:rPr>
      </w:pPr>
    </w:p>
    <w:p>
      <w:pPr>
        <w:ind w:left="660" w:right="20" w:hanging="328"/>
        <w:spacing w:after="0" w:line="24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 could cause our products or services to allow unauthorized access to our customers’ networks and harm our operational results and reputation more significantly as compared to other companies. Our Product Security Incident Response Team publicly posts on our FortiGuard Labs website known product vulnerabilities, including critical vulnerabilities, and methods for customers to mitigate the risk of vulnerabilities. However, there can be no assurance that such posts will be sufficiently timely, accurate or complete or that those customers will see such posts or take steps to mitigate the risk of vulnerabilities, and certain customers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4" w:name="page5"/>
    <w:bookmarkEnd w:id="4"/>
    <w:p>
      <w:pPr>
        <w:ind w:left="328" w:right="8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enterprise IT networks, our operational networks, our research and development networks, our back-end labs and cloud stacks hosted in our data centers or PoPs, colocation vendors or public cloud providers are compromised, public perception of our products and services may be harmed, our customers may be breached and harmed, we may become subject to liability, and our business, operating results and stock price may be adversely impacted.</w:t>
      </w:r>
    </w:p>
    <w:p>
      <w:pPr>
        <w:spacing w:after="0" w:line="204"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indebtedness and may incur other debt in the future, which may adversely affect our financial condition and future financial results.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majority of billings, revenue and cash flow from sales outside of the United States.</w:t>
      </w:r>
    </w:p>
    <w:p>
      <w:pPr>
        <w:spacing w:after="0" w:line="238" w:lineRule="exact"/>
        <w:rPr>
          <w:rFonts w:ascii="Times New Roman" w:cs="Times New Roman" w:eastAsia="Times New Roman" w:hAnsi="Times New Roman"/>
          <w:sz w:val="18"/>
          <w:szCs w:val="18"/>
          <w:color w:val="auto"/>
        </w:rPr>
      </w:pPr>
    </w:p>
    <w:p>
      <w:pPr>
        <w:ind w:left="328" w:hanging="328"/>
        <w:spacing w:after="0" w:line="258"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spacing w:after="0" w:line="19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52" w:lineRule="exact"/>
        <w:rPr>
          <w:rFonts w:ascii="Times New Roman" w:cs="Times New Roman" w:eastAsia="Times New Roman" w:hAnsi="Times New Roman"/>
          <w:sz w:val="18"/>
          <w:szCs w:val="18"/>
          <w:color w:val="auto"/>
        </w:rPr>
      </w:pPr>
    </w:p>
    <w:p>
      <w:pPr>
        <w:ind w:left="328" w:right="200" w:hanging="328"/>
        <w:spacing w:after="0" w:line="296" w:lineRule="auto"/>
        <w:tabs>
          <w:tab w:leader="none" w:pos="3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portion of our revenue is generated by sales to government organizations and other customers, which are subject to a number of regulatory requirements, their own supply chain constraints and contractual requirements, challenges and risks, including impacts from political dynamics.</w:t>
      </w:r>
    </w:p>
    <w:p>
      <w:pPr>
        <w:spacing w:after="0" w:line="165" w:lineRule="exact"/>
        <w:rPr>
          <w:rFonts w:ascii="Times New Roman" w:cs="Times New Roman" w:eastAsia="Times New Roman" w:hAnsi="Times New Roman"/>
          <w:sz w:val="17"/>
          <w:szCs w:val="17"/>
          <w:color w:val="auto"/>
        </w:rPr>
      </w:pPr>
    </w:p>
    <w:p>
      <w:pPr>
        <w:ind w:left="328" w:right="1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order components and finished goods from third-party manufacturers based on our forecasts of future demand and targeted inventory levels, which exposes us to the risk of product shortages, tariffs, may result in lost sales, higher expenses and inventory excesses which may lead to inventory charges and costs related to future purchase commitments, possibly requiring us to sell our products at discounts or offer various other incentives.</w:t>
      </w:r>
    </w:p>
    <w:p>
      <w:pPr>
        <w:spacing w:after="0" w:line="217" w:lineRule="exact"/>
        <w:rPr>
          <w:rFonts w:ascii="Times New Roman" w:cs="Times New Roman" w:eastAsia="Times New Roman" w:hAnsi="Times New Roman"/>
          <w:sz w:val="18"/>
          <w:szCs w:val="18"/>
          <w:color w:val="auto"/>
        </w:rPr>
      </w:pPr>
    </w:p>
    <w:p>
      <w:pPr>
        <w:ind w:left="328" w:right="22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various components for our products and build our products and are susceptible to manufacturing delays, capacity constraints, cost increases, and changes in the geopolitical environment.</w:t>
      </w:r>
    </w:p>
    <w:p>
      <w:pPr>
        <w:spacing w:after="0" w:line="189" w:lineRule="exact"/>
        <w:rPr>
          <w:rFonts w:ascii="Times New Roman" w:cs="Times New Roman" w:eastAsia="Times New Roman" w:hAnsi="Times New Roman"/>
          <w:sz w:val="18"/>
          <w:szCs w:val="18"/>
          <w:color w:val="auto"/>
        </w:rPr>
      </w:pPr>
    </w:p>
    <w:p>
      <w:pPr>
        <w:ind w:left="328" w:right="280" w:hanging="328"/>
        <w:spacing w:after="0" w:line="258"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96" w:lineRule="exact"/>
        <w:rPr>
          <w:rFonts w:ascii="Times New Roman" w:cs="Times New Roman" w:eastAsia="Times New Roman" w:hAnsi="Times New Roman"/>
          <w:sz w:val="18"/>
          <w:szCs w:val="18"/>
          <w:color w:val="auto"/>
        </w:rPr>
      </w:pPr>
    </w:p>
    <w:p>
      <w:pPr>
        <w:ind w:left="328" w:right="28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activists’ and regulators’ expectations of our investments and performance relating to operational sustainability factors may impose additional costs and expose us to new risks.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252" w:lineRule="exact"/>
        <w:rPr>
          <w:rFonts w:ascii="Times New Roman" w:cs="Times New Roman" w:eastAsia="Times New Roman" w:hAnsi="Times New Roman"/>
          <w:sz w:val="18"/>
          <w:szCs w:val="18"/>
          <w:color w:val="auto"/>
        </w:rPr>
      </w:pPr>
    </w:p>
    <w:p>
      <w:pPr>
        <w:ind w:left="328" w:right="26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which volatility may be exacerbated by share repurchases under our Share Repurchase Program (the “Repurchase Program”).</w:t>
      </w:r>
    </w:p>
    <w:p>
      <w:pPr>
        <w:spacing w:after="0" w:line="189"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can weaken and harm our financial position.</w:t>
      </w:r>
    </w:p>
    <w:p>
      <w:pPr>
        <w:spacing w:after="0" w:line="238"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Weakening product demand caused by political instability, changes in trade agreements, wars and foreign conflicts, such as the war in Ukraine or tensions between China and Taiwan, could adversely affect our business and financial performance.</w:t>
      </w:r>
    </w:p>
    <w:p>
      <w:pPr>
        <w:spacing w:after="0" w:line="200" w:lineRule="exact"/>
        <w:rPr>
          <w:sz w:val="20"/>
          <w:szCs w:val="20"/>
          <w:color w:val="auto"/>
        </w:rPr>
      </w:pPr>
    </w:p>
    <w:p>
      <w:pPr>
        <w:spacing w:after="0" w:line="28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89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w:t>
            </w: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4,060.7</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3"/>
        </w:trPr>
        <w:tc>
          <w:tcPr>
            <w:tcW w:w="80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8,269.3</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value—1,500.0 shares authorized; 765.6 and 767.0 shares issued and outstanding</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June 30, 2025 and December 31, 2024, respectively</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9,763.1</w:t>
            </w: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6"/>
                <w:szCs w:val="16"/>
                <w:color w:val="auto"/>
              </w:rPr>
            </w:pPr>
          </w:p>
        </w:tc>
        <w:tc>
          <w:tcPr>
            <w:tcW w:w="12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4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55"/>
        </w:trPr>
        <w:tc>
          <w:tcPr>
            <w:tcW w:w="4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w w:val="99"/>
              </w:rPr>
              <w:t>INCOME BEFORE INCOME TAXES AND GAIN (LOSS) FROM</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(Note 8):</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772.7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769.9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80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9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5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176"/>
        </w:trPr>
        <w:tc>
          <w:tcPr>
            <w:tcW w:w="49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Less: tax benefit related to items of other comprehensive</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8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5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76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8"/>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Paid-In    Comprehensive   Retained</w:t>
            </w: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w:t>
            </w:r>
          </w:p>
        </w:tc>
        <w:tc>
          <w:tcPr>
            <w:tcW w:w="0" w:type="dxa"/>
            <w:vAlign w:val="bottom"/>
          </w:tcPr>
          <w:p>
            <w:pPr>
              <w:spacing w:after="0"/>
              <w:rPr>
                <w:sz w:val="1"/>
                <w:szCs w:val="1"/>
                <w:color w:val="auto"/>
              </w:rPr>
            </w:pPr>
          </w:p>
        </w:tc>
      </w:tr>
      <w:tr>
        <w:trPr>
          <w:trHeight w:val="184"/>
        </w:trPr>
        <w:tc>
          <w:tcPr>
            <w:tcW w:w="50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Excise tax on net stock repurchases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8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38"/>
        </w:trPr>
        <w:tc>
          <w:tcPr>
            <w:tcW w:w="5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76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8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184"/>
        </w:trPr>
        <w:tc>
          <w:tcPr>
            <w:tcW w:w="50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r>
              <w:rPr>
                <w:rFonts w:ascii="Times New Roman" w:cs="Times New Roman" w:eastAsia="Times New Roman" w:hAnsi="Times New Roman"/>
                <w:sz w:val="18"/>
                <w:szCs w:val="18"/>
                <w:u w:val="single" w:color="auto"/>
                <w:color w:val="auto"/>
              </w:rPr>
              <w:t>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r>
              <w:rPr>
                <w:rFonts w:ascii="Times New Roman" w:cs="Times New Roman" w:eastAsia="Times New Roman" w:hAnsi="Times New Roman"/>
                <w:sz w:val="18"/>
                <w:szCs w:val="18"/>
                <w:u w:val="single" w:color="auto"/>
                <w:color w:val="auto"/>
              </w:rPr>
              <w:t>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19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line="20" w:lineRule="exact"/>
              <w:rPr>
                <w:sz w:val="1"/>
                <w:szCs w:val="1"/>
                <w:color w:val="auto"/>
              </w:rPr>
            </w:pPr>
          </w:p>
        </w:tc>
      </w:tr>
      <w:tr>
        <w:trPr>
          <w:trHeight w:val="162"/>
        </w:trPr>
        <w:tc>
          <w:tcPr>
            <w:tcW w:w="4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60" w:type="dxa"/>
            <w:vAlign w:val="bottom"/>
          </w:tcPr>
          <w:p>
            <w:pPr>
              <w:spacing w:after="0"/>
              <w:rPr>
                <w:sz w:val="18"/>
                <w:szCs w:val="18"/>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Excise tax on net stock repurchases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4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19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175"/>
        </w:trPr>
        <w:tc>
          <w:tcPr>
            <w:tcW w:w="49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2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Pr>
          <w:p>
            <w:pPr>
              <w:spacing w:after="0"/>
              <w:rPr>
                <w:sz w:val="13"/>
                <w:szCs w:val="13"/>
                <w:color w:val="auto"/>
              </w:rPr>
            </w:pPr>
          </w:p>
        </w:tc>
        <w:tc>
          <w:tcPr>
            <w:tcW w:w="1140" w:type="dxa"/>
            <w:vAlign w:val="bottom"/>
          </w:tcPr>
          <w:p>
            <w:pPr>
              <w:jc w:val="right"/>
              <w:ind w:right="328"/>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investment discounts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business combinations: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Accounts receivable—net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contract costs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1,172.4</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(974.3)</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Sales of investments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Payments made in connection with business combinations, net of cash acquired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2,875.9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0" w:type="dxa"/>
            <w:vAlign w:val="bottom"/>
          </w:tcPr>
          <w:p>
            <w:pPr>
              <w:spacing w:after="0"/>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Transfers of evaluation units and equipment from inventory to property and equipment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unaudited condensed consolidated financial statements of Fortinet, Inc.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2024, contained in our Annual Report on Form 10-K filed with the SEC on February 21, 2025. In the opinion of management, all adjustments, which include normal recurring adjustments, considered necessary for a fair presentation, have been included. The results of operations for the three and six months ended June 30,</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2025 are not necessarily indicative of the results to be expected for the full year or for any future periods. The condensed consolidated balance sheet as of December 31, 2024 is derived from the audited consolidated financial statements for the year ended December 31, 2024.</w:t>
      </w:r>
    </w:p>
    <w:p>
      <w:pPr>
        <w:spacing w:after="0" w:line="195"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Amounts previously reported as gain on bargain purchase are included in other income (expense)—net in prior periods to conform with current period presentation in our condensed consolidated statements of income. Amounts previously reported as loss from equity method investments and gain on bargain purchase are included in other in prior periods to conform with current period presentation in section of net cash provided by operating activities in our condensed consolidated statements of cash flows.</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89"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of and for the six months ended June 30, 2025, as compared to the significant accounting policies described in our Annual Report on Form 10-K for the fiscal year ended December 31, 2024 filed with the SEC.</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our annual period beginning fiscal year 2025, with early adoption permitted, and should be applied prospectively. We are currently evaluating the ASU to determine its impact on our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w:t>
      </w:r>
    </w:p>
    <w:p>
      <w:pPr>
        <w:spacing w:after="0" w:line="24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enhances the disclosures required for expense disaggregation in our annual and interim consolidated financial statements. The amendments are effective for our annual reporting period beginning fiscal year 2027, with early adoption permitted, and can be applied prospectively or retrospectively. We are currently evaluating the ASU to determine its impact on our disclosures.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4"/>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9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r>
      <w:tr>
        <w:trPr>
          <w:trHeight w:val="230"/>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w:t>
            </w:r>
          </w:p>
        </w:tc>
      </w:tr>
      <w:tr>
        <w:trPr>
          <w:trHeight w:val="223"/>
        </w:trPr>
        <w:tc>
          <w:tcPr>
            <w:tcW w:w="4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service revenue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w:t>
            </w:r>
          </w:p>
        </w:tc>
      </w:tr>
      <w:tr>
        <w:trPr>
          <w:trHeight w:val="20"/>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we recognized $876.8 million and $1.85 billion in revenue that was included in the deferred revenue balance as of December 31, 2024, respectively. During the three and six months ended June 30, 2024, we recognized $764.3 million and $1.62 billion in revenue that was included in the deferred revenue balance as of December 31,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the aggregate amount of the transaction price allocated to remaining performance obligations was $6.64 billion, which was substantially comprised of deferred security subscription and technical support services revenue as well as unbilled contract revenue from non-cancellable contracts that will be recognized in future periods. We expect to recognize approximately $3.45 billion as revenue over the next 12 months, $2.61 billion in years two and three, and the remainder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of deferred contract costs during the three months ended June 30, 2025 and 2024 was $82.0 million and $72.7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deferred contract costs during the six months ended June 30, 2025 and 2024 was $160.0 million and $144.7 million,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Investments</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short-term and long-term investments comprised of available-for-sale investments and marketable equity securities. The following tables summarize our short-term and long-term investments (in millions):</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8"/>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23"/>
        </w:trPr>
        <w:tc>
          <w:tcPr>
            <w:tcW w:w="49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33"/>
        </w:trPr>
        <w:tc>
          <w:tcPr>
            <w:tcW w:w="4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3"/>
        </w:trPr>
        <w:tc>
          <w:tcPr>
            <w:tcW w:w="49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72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available-for-sale investments that have been in a continuous unrealized loss position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4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r>
      <w:tr>
        <w:trPr>
          <w:trHeight w:val="214"/>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25"/>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8"/>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1"/>
                <w:szCs w:val="2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right="4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672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color w:val="auto"/>
              </w:rPr>
              <w:t>The contractual maturities of our available-for-sale investments were (in millions):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4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9"/>
              </w:rPr>
              <w:t>1,110.4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3"/>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9"/>
              </w:rPr>
              <w:t>1,222.4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Available-for-sale investments are reported at fair value, with unrealized gains and losses and the related tax impact included as a separate component of stockholders’ equity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investments were insignificant in the periods presented.</w:t>
      </w:r>
    </w:p>
    <w:p>
      <w:pPr>
        <w:spacing w:after="0" w:line="239"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18"/>
          <w:szCs w:val="18"/>
          <w:color w:val="auto"/>
        </w:rPr>
        <w:t>The changes in fair value of our marketable equity securities are recorded in other income (expense)—net on the condensed consolidated statements of income. We recognized an $11.3 million gain and $3.4 million loss during the three and six months ended June 30, 2025, respectively. We recognized a $0.2 million loss and $0.1 million gain during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of our financial assets measured at fair value on a recurring basis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92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9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92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0"/>
                <w:szCs w:val="10"/>
                <w:color w:val="auto"/>
              </w:rPr>
            </w:pPr>
          </w:p>
        </w:tc>
        <w:tc>
          <w:tcPr>
            <w:tcW w:w="92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214"/>
        </w:trPr>
        <w:tc>
          <w:tcPr>
            <w:tcW w:w="27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7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Certificates of deposit and term</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Total short-term investments</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six months ended June 30, 2025 and year ended December 31, 2024.</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reserves, consisted of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30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0"/>
        </w:trPr>
        <w:tc>
          <w:tcPr>
            <w:tcW w:w="7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firstLine="648"/>
        <w:spacing w:after="0" w:line="242" w:lineRule="auto"/>
        <w:rPr>
          <w:sz w:val="20"/>
          <w:szCs w:val="20"/>
          <w:color w:val="auto"/>
        </w:rPr>
      </w:pPr>
      <w:r>
        <w:rPr>
          <w:rFonts w:ascii="Times New Roman" w:cs="Times New Roman" w:eastAsia="Times New Roman" w:hAnsi="Times New Roman"/>
          <w:sz w:val="18"/>
          <w:szCs w:val="18"/>
          <w:color w:val="auto"/>
        </w:rPr>
        <w:t>The excess and obsolete inventory reserve was $146.4 million and $144.8 million as of June 30, 2025 and December 31, 2024, respectively. Inventory write-downs related to excess and obsolete inventory were immaterial during the three and six months ended June 30, 2025, respectively, and were $10.7 million and $28.8 million during the three and six</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2024, respectively. These were recorded in cost of product revenue on the condensed consolidated statements of income.</w:t>
      </w: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(in millions):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3"/>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1,999.6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22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1,544.8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w:t>
            </w:r>
          </w:p>
        </w:tc>
      </w:tr>
      <w:tr>
        <w:trPr>
          <w:trHeight w:val="21"/>
        </w:trPr>
        <w:tc>
          <w:tcPr>
            <w:tcW w:w="7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we purchased certain real estate property in Germany totaling $54.5 million, to be used predominantly for data center operations and as office space. The purchase was accounted for under the asset acquisition method, with $16.8 million allocated to land and $37.7 million allocated to buildings and improvements, based on their relative fair values.</w:t>
      </w:r>
    </w:p>
    <w:p>
      <w:pPr>
        <w:spacing w:after="0" w:line="204"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During the three months ended June 30, 2025, we purchased certain real estate properties in Canada, the United States and the Netherlands for an aggregate purchase price of $130.5 million, to be used predominantly for data center operations, office space and warehouse operations. The purchases were accounted for under the asset acquisition method, with $43.0 million allocated to land and $87.5 million allocated to buildings and improvements, based on their relative fair values.</w:t>
      </w:r>
    </w:p>
    <w:p>
      <w:pPr>
        <w:spacing w:after="0" w:line="194"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$25.1 million and $25.9 million during the three months ended June 30, 2025 and 2024, respectively. Depreciation expense was $49.1 million and $51.5 million during the six months ended June 30, 2025 and 2024, respectively.</w:t>
      </w:r>
    </w:p>
    <w:p>
      <w:pPr>
        <w:spacing w:after="0" w:line="199"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Linksys Holdings, Inc.</w:t>
      </w:r>
    </w:p>
    <w:p>
      <w:pPr>
        <w:spacing w:after="0" w:line="25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2021, we invested $160.0 million in cash for shares of the Series A Preferred Stock of Linksys for a 50.8% ownership interest in the outstanding equity of Linksys. On January 31, 2025 (“Linksys Acquisition Date”), we acquired all of the remaining outstanding Series A Preferred Stock of Linksys for $20.8 million in cash and now own 100% of the outstanding equity of Linksys. Our pre-existing equity method investment in Linksys of 50.8% ownership interest was remeasured to the fair value of $21.5 million at the Linksys Acquisition Date, which resulted in a $10.8 million gain recorded in gain (loss) from equity method investments on the condensed consolidated statements of income. Therefore, the aggregate purchase consideration for Linksys’ equity equaling the fair value of the previously owned stock and the purchase price for the remaining stock acquired was $42.3 million.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Of the aggregate purchase price,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 million was allocated to identifiable intangible assets acquired, and $64.7 million was allocated to other net assets acquired which predominantly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deferred tax asset of $45.8 million, inventory of $21.4 million, and cash of $8.8 million, offset by $11.3 million of net other assets and liabilities</w:t>
      </w:r>
    </w:p>
    <w:p>
      <w:pPr>
        <w:spacing w:after="0" w:line="234" w:lineRule="auto"/>
        <w:rPr>
          <w:sz w:val="20"/>
          <w:szCs w:val="20"/>
          <w:color w:val="auto"/>
        </w:rPr>
      </w:pPr>
      <w:r>
        <w:rPr>
          <w:rFonts w:ascii="Times New Roman" w:cs="Times New Roman" w:eastAsia="Times New Roman" w:hAnsi="Times New Roman"/>
          <w:sz w:val="18"/>
          <w:szCs w:val="18"/>
          <w:color w:val="auto"/>
        </w:rPr>
        <w:t>assumed. The excess of the fair values of the net assets acquired over the net purchase consideration was recorded as a gain on bargain purchase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$39.9 million within other income (expense)—net on the condensed consolidated statements of income. The gain on bargain purchase occurred primarily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recognition of the deferred tax assets. The deferred tax assets were comprised primarily of pre-acquisition federal net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 w:right="300"/>
        <w:spacing w:after="0" w:line="246" w:lineRule="auto"/>
        <w:rPr>
          <w:sz w:val="20"/>
          <w:szCs w:val="20"/>
          <w:color w:val="auto"/>
        </w:rPr>
      </w:pPr>
      <w:r>
        <w:rPr>
          <w:rFonts w:ascii="Times New Roman" w:cs="Times New Roman" w:eastAsia="Times New Roman" w:hAnsi="Times New Roman"/>
          <w:sz w:val="18"/>
          <w:szCs w:val="18"/>
          <w:color w:val="auto"/>
        </w:rPr>
        <w:t>operating loss carryforwards with an indefinite carryforward period. In addition, we had previously recorded a deferred tax asset of $30.6 million for an outside basis difference in our investment in Linksys when it was accounted for under the equity method. As a result of the acquisition of the remaining shares, we now account for our investment in Linksys under the consolidation method, and therefore we have derecognized this deferred tax asset. The charge is included in the provision for income taxes on the condensed consolidated statements of income. Acquisition-related costs related to this acquisition were not material and were recorded as general and administrative expense.</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41" w:lineRule="exact"/>
        <w:rPr>
          <w:sz w:val="20"/>
          <w:szCs w:val="20"/>
          <w:color w:val="auto"/>
        </w:rPr>
      </w:pPr>
    </w:p>
    <w:p>
      <w:pPr>
        <w:ind w:left="80" w:right="10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we completed other acquisitions for total purchase consideration of $38.3 million in cash. We have accounted for the transactions as business combinations and recorded goodwill of $21.9 million, among which $8.6 million of goodwill is expected to be deductible and $13.3 million of goodwill is not deductible for income tax purposes. Acquisition-related costs were not material and were recorded as general and administrative expense.</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Perception Point Ltd.</w:t>
      </w:r>
    </w:p>
    <w:p>
      <w:pPr>
        <w:spacing w:after="0" w:line="241" w:lineRule="exact"/>
        <w:rPr>
          <w:sz w:val="20"/>
          <w:szCs w:val="20"/>
          <w:color w:val="auto"/>
        </w:rPr>
      </w:pPr>
    </w:p>
    <w:p>
      <w:pPr>
        <w:ind w:left="80" w:firstLine="648"/>
        <w:spacing w:after="0" w:line="237" w:lineRule="auto"/>
        <w:rPr>
          <w:sz w:val="20"/>
          <w:szCs w:val="20"/>
          <w:color w:val="auto"/>
        </w:rPr>
      </w:pPr>
      <w:r>
        <w:rPr>
          <w:rFonts w:ascii="Times New Roman" w:cs="Times New Roman" w:eastAsia="Times New Roman" w:hAnsi="Times New Roman"/>
          <w:sz w:val="18"/>
          <w:szCs w:val="18"/>
          <w:color w:val="auto"/>
        </w:rPr>
        <w:t>On December 5, 2024, we acquired certain assets and liabilities of Perception Point Ltd., a business specializing in advanced collaboration and email security paid in cash. This acquisition was accounted for as a business combination using the acquisition method of accounting. Of the $33.7 million purchase price, $24.5 million was allocated to goodwill, $9.5 million was allocated to developed technology intangible asset, $6.5 million was allocated to customer relationships intangible asset, and $6.8 million was allocated to other net liabilities assumed, which predominantly include deferred revenue. Goodwill recorded in connection with this acquisition is primarily attributable to the assembled workforce acquired and the anticipated operational synergies. All acquired goodwill is expected to be deductible for tax purposes. Acquisition-related costs were not material and were recorded as general and administrative expense.</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Next DLP Holdings Limited</w:t>
      </w:r>
    </w:p>
    <w:p>
      <w:pPr>
        <w:spacing w:after="0" w:line="241" w:lineRule="exact"/>
        <w:rPr>
          <w:sz w:val="20"/>
          <w:szCs w:val="20"/>
          <w:color w:val="auto"/>
        </w:rPr>
      </w:pPr>
    </w:p>
    <w:p>
      <w:pPr>
        <w:jc w:val="both"/>
        <w:ind w:left="80" w:right="60" w:firstLine="648"/>
        <w:spacing w:after="0" w:line="272" w:lineRule="auto"/>
        <w:rPr>
          <w:sz w:val="20"/>
          <w:szCs w:val="20"/>
          <w:color w:val="auto"/>
        </w:rPr>
      </w:pPr>
      <w:r>
        <w:rPr>
          <w:rFonts w:ascii="Times New Roman" w:cs="Times New Roman" w:eastAsia="Times New Roman" w:hAnsi="Times New Roman"/>
          <w:sz w:val="17"/>
          <w:szCs w:val="17"/>
          <w:color w:val="auto"/>
        </w:rPr>
        <w:t>On August 5, 2024 (“Next DLP Acquisition Date”), we acquired Next DLP Holdings Limited (“Next DLP”), a privately held insider risk and data loss prevention (“DLP”) company, for approximately $105.0 million in cash. We acquired Next DLP in an effort to improve our position in the standalone enterprise DLP market and strengthen our leadership in integrated DLP markets within endpoint and unified Secure Access Service Edge (“SASE”).</w:t>
      </w:r>
    </w:p>
    <w:p>
      <w:pPr>
        <w:spacing w:after="0" w:line="186" w:lineRule="exact"/>
        <w:rPr>
          <w:sz w:val="20"/>
          <w:szCs w:val="20"/>
          <w:color w:val="auto"/>
        </w:rPr>
      </w:pPr>
    </w:p>
    <w:p>
      <w:pPr>
        <w:ind w:left="80" w:right="140" w:firstLine="648"/>
        <w:spacing w:after="0" w:line="237" w:lineRule="auto"/>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The total preliminary purchase price was allocated to Next DLP’s identifiable tangible and intangible assets acquired and liabilities assumed based on their estimated fair values using management’s best estimates and assumptions to assign fair value as of the acquisition date. Of the total preliminary purchase price, $82.6 million was allocated to goodwill, $13.5 million was allocated to developed technology intangible asset, $10.5 million was allocated to customer relationships intangible asset, offset by $1.6 million of net liabilities assumed, which predominantly included deferred revenue and deferred tax liabilities. Goodwill recorded in connection with this acquisition represents the value we expect to be created through expansion into markets within our existing business, and the anticipated operational synergies, and goodwill is expected to be deductible for U.S. tax purposes. Acquisition-related costs related to this acquisition were not material and were recorded as general and administrative expense.</w:t>
      </w:r>
    </w:p>
    <w:p>
      <w:pPr>
        <w:spacing w:after="0" w:line="214" w:lineRule="exact"/>
        <w:rPr>
          <w:sz w:val="20"/>
          <w:szCs w:val="20"/>
          <w:color w:val="auto"/>
        </w:rPr>
      </w:pPr>
    </w:p>
    <w:p>
      <w:pPr>
        <w:ind w:left="80" w:right="60" w:firstLine="648"/>
        <w:spacing w:after="0" w:line="245" w:lineRule="auto"/>
        <w:rPr>
          <w:sz w:val="20"/>
          <w:szCs w:val="20"/>
          <w:color w:val="auto"/>
        </w:rPr>
      </w:pPr>
      <w:r>
        <w:rPr>
          <w:rFonts w:ascii="Times New Roman" w:cs="Times New Roman" w:eastAsia="Times New Roman" w:hAnsi="Times New Roman"/>
          <w:sz w:val="18"/>
          <w:szCs w:val="18"/>
          <w:color w:val="auto"/>
        </w:rPr>
        <w:t>Our estimates and assumptions are subject to change within the measurement period, which is up to 12 months after the Next DLP Acquisition Date. The allocation of the purchase price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Lacework Inc.</w:t>
      </w:r>
    </w:p>
    <w:p>
      <w:pPr>
        <w:spacing w:after="0" w:line="241" w:lineRule="exact"/>
        <w:rPr>
          <w:sz w:val="20"/>
          <w:szCs w:val="20"/>
          <w:color w:val="auto"/>
        </w:rPr>
      </w:pPr>
    </w:p>
    <w:p>
      <w:pPr>
        <w:ind w:left="80" w:right="20" w:firstLine="648"/>
        <w:spacing w:after="0" w:line="245" w:lineRule="auto"/>
        <w:rPr>
          <w:sz w:val="20"/>
          <w:szCs w:val="20"/>
          <w:color w:val="auto"/>
        </w:rPr>
      </w:pPr>
      <w:r>
        <w:rPr>
          <w:rFonts w:ascii="Times New Roman" w:cs="Times New Roman" w:eastAsia="Times New Roman" w:hAnsi="Times New Roman"/>
          <w:sz w:val="18"/>
          <w:szCs w:val="18"/>
          <w:color w:val="auto"/>
        </w:rPr>
        <w:t>On August 1, 2024 (“Lacework Acquisition Date”), we acquired Lacework Inc. (“Lacework”), a privately held data-driven cloud security company, for $152.3 million in cash. We acquired Lacework with a goal of offering its Cloud-Native Application Protection Platform solution separately as well as integrated with our existing portfolio, forming a comprehensive, artificial intelligence (“AI”)-driven cloud security platform available from a single vendor, which will help customers identify, prioritize, and remediate risks and threats in complex cloud-native infrastructure from code to cloud.</w:t>
      </w:r>
    </w:p>
    <w:p>
      <w:pPr>
        <w:spacing w:after="0" w:line="208" w:lineRule="exact"/>
        <w:rPr>
          <w:sz w:val="20"/>
          <w:szCs w:val="20"/>
          <w:color w:val="auto"/>
        </w:rPr>
      </w:pPr>
    </w:p>
    <w:p>
      <w:pPr>
        <w:ind w:left="80" w:right="300" w:firstLine="648"/>
        <w:spacing w:after="0" w:line="266" w:lineRule="auto"/>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The total preliminary purchase price was allocated to Lacework’s identifiable tangible and intangible assets acquired and liabilities</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assumed based on their estimated fair values using management’s best estimates and assumptions to assign fair value as of the acquisition date. Of the total preliminary purchase price, $244.4 million was allocated to deferred tax assets, $61.3 million allocation to identifiable intangible assets, and $6.2 million cash, offset by net other assets and liabilities assumed of $53.3 million, which predominantly included deferred revenue and other current liabilities. The excess of the fair values of the net assets acquired over the net purchase consideration was recorded as a gain on bargain purchase of $106.3 million within other income (expense)—net on the condensed consolidated statements of income. The gain on bargain purchase occurred primarily due to the recognition of the deferred tax assets. The deferred tax assets were comprised primarily of pre-acquisition federal net operating loss carryforwards with an indefinite carryforward period. Acquisition-related costs related to this acquisition were not material and were recorded as general and administrative expense.</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Of the total identified intangible assets acquired $39.5 million was developed technology, $10.0 million was backlog, $7.5 million was customer relationships and $4.3 million was trade name.</w:t>
      </w:r>
    </w:p>
    <w:p>
      <w:pPr>
        <w:spacing w:after="0" w:line="189"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Our estimates and assumptions are subject to change within the measurement period, which is up to 12 months after the Lacework Acquisition Date. The allocation of the purchase price for this acquisition has been prepared on a preliminary basis and changes to the allocation of certain assets and liabilities may occur as additional information becomes available. The primary area of the purchase price that is not yet finalized is related to income taxes.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acquisition-related information</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operating results of the acquired companies are included in our condensed consolidated statements of income from the respective dates of acquisition. Acquisition-related costs related to each acquisition were not material. The operating results of the acquired companies were not material in the years of acquisition. Pro forma information has not been presented, as the impact of these acquisitions, individually and in the aggregate, in each period were not material to our condensed consolidated financial statements.</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GOODWILL AND OTHER INTANGIBLE ASSETS—Net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due to business combinations</w:t>
            </w:r>
          </w:p>
        </w:tc>
        <w:tc>
          <w:tcPr>
            <w:tcW w:w="4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Balance—June 30, 2025</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0"/>
        </w:trPr>
        <w:tc>
          <w:tcPr>
            <w:tcW w:w="9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impairments to goodwill during the six months ended June 30, 2025 or during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52"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9"/>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$13.2 million and $3.3 million during the three months ended June 30, 2025 and 2024, respectively. Amortization expense was $25.0 million and $6.3 million during the six months ended June 30, 2025 and 2024,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(the remainder of 2025)</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3"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(in millions, except per share amounts):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266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50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3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5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PSUs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56"/>
        </w:trPr>
        <w:tc>
          <w:tcPr>
            <w:tcW w:w="50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per</w:t>
            </w:r>
          </w:p>
        </w:tc>
        <w:tc>
          <w:tcPr>
            <w:tcW w:w="2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36"/>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7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960" w:type="dxa"/>
            <w:vAlign w:val="bottom"/>
          </w:tcPr>
          <w:p>
            <w:pPr>
              <w:spacing w:after="0"/>
              <w:rPr>
                <w:sz w:val="13"/>
                <w:szCs w:val="13"/>
                <w:color w:val="auto"/>
              </w:rPr>
            </w:pPr>
          </w:p>
        </w:tc>
        <w:tc>
          <w:tcPr>
            <w:tcW w:w="1120" w:type="dxa"/>
            <w:vAlign w:val="bottom"/>
          </w:tcPr>
          <w:p>
            <w:pPr>
              <w:ind w:left="4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19"/>
              <w:spacing w:after="0" w:line="158"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4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420" w:type="dxa"/>
            <w:vAlign w:val="bottom"/>
          </w:tcPr>
          <w:p>
            <w:pPr>
              <w:jc w:val="right"/>
              <w:ind w:right="33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6080" w:type="dxa"/>
            <w:vAlign w:val="bottom"/>
            <w:gridSpan w:val="2"/>
          </w:tcPr>
          <w:p>
            <w:pPr>
              <w:ind w:left="5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2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1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9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and 2031 Senior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(collectively, the “Senior Notes”), consisting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The 2026 Senior Notes were recorded as current portion of long-term debt and the 2031 Senior Notes were recorded as long-term debt as of June 30, 2025 and both of the Senior Notes were recorded as long-term debt as of December 31, 2024, net of discount and issuance costs, which are amortized to interest expense over the respective contractual terms of these notes using the effective interest method.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debt is summarized below (in millions,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Coupon Rate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 Interest</w:t>
            </w: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6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Senior Notes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2031 Senior Notes</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2031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As of June 30, 2025 and December 31, 2024, we accrued interest payable of $4.7 million, and there are no financial covenants with which we must comply. During the three months ended June 30, 2025 and 2024, we recorded $4.5 million of total interest expense in relation to these Senior Notes in each period. During the six months ended June 30, 2025 and 2024, we recorded $9.0 million of total interest expense in relation to these Senior Notes in each period. No interest costs were capitalized for the six months ended June 30, 2025 and 2024, as the costs that qualified for capitalization were not material.</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outstanding Senior Notes was approximately $933.1 million, including accrued and unpaid interest, as of June 30, 2025. The fair value was determined based on observable market prices of identical instruments in less active markets. The estimated fair values are based on Level 2 inputs.</w:t>
      </w:r>
    </w:p>
    <w:p>
      <w:pPr>
        <w:spacing w:after="0" w:line="199"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June 30, 2025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150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bl>
    <w:p>
      <w:pPr>
        <w:spacing w:after="0" w:line="302" w:lineRule="exact"/>
        <w:rPr>
          <w:sz w:val="20"/>
          <w:szCs w:val="20"/>
          <w:color w:val="auto"/>
        </w:rPr>
      </w:pPr>
    </w:p>
    <w:p>
      <w:pPr>
        <w:ind w:right="40"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—We purchase components of our inventory from certain suppliers and use several independent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0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As of June 30, 2025, we had $714.4 million of non-cancelable inventory purchase commitments with our independent contract manufacturers. We recorded a liability for these purchase commitments for quantities in excess of our future estimated demand forecasts, consistent with the valuation of our excess and obsolete inventory. As of June 30, 2025 and December 31, 2024, the liability for these inventory purchase commitments was $41.9 million and $54.0 million, respectively, and was recorded in accrued liabilities on our condensed consolidated balance sheets. The expense related to such accrued liability for inventory purchase commitments is recorded in cost of product revenue on the condensed consolidated statements of income. It was immaterial during the three and six months ended June 30, 2025, and was $7.0 million and $38.6 million during the three and six months ended June 30, 2024, respectively.</w:t>
      </w:r>
    </w:p>
    <w:p>
      <w:pPr>
        <w:spacing w:after="0" w:line="226"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June 30, 2025, we had $102.7 million in other contractual commitments having a remaining term in excess of one year that are non-cancelable.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we had $93.4 million in contractual commitments related to payments for operating leases.</w:t>
      </w:r>
    </w:p>
    <w:p>
      <w:pPr>
        <w:spacing w:after="0" w:line="23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 Litigation loss contingency accruals associated with outstanding cases were not material as of June 30, 2025 and December 31, 2024.</w:t>
      </w:r>
    </w:p>
    <w:p>
      <w:pPr>
        <w:spacing w:after="0" w:line="221"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On March 21, 2019, we were sued by Alorica Inc. (“Alorica”) in Santa Clara County Superior Court in California. Alorica alleged breach of warranty and misrepresentation claims, which we denied. After trial, a jury returned a verdict fully in favor of us and against Alorica on October 4, 2024. Alorica has filed a notice of appeal. We believe that the ultimate outcome of this matter will not materially impact our financial position, results of operations or cash flows. However, any further legal proceedings, including Alorica’s appeal, would be subject to inherent uncertainties, and a future unfavorable ruling could occur. No loss accrual had been recorded as of June 30, 2025 or December 31, 2024 related to this litigation.</w:t>
      </w:r>
    </w:p>
    <w:p>
      <w:pPr>
        <w:spacing w:after="0" w:line="2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—We enter into indemnification provisions in the ordinary course of business with other companies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customers, and vendors, where we agree to indemnify, hold harmless, and reimburse the indemnified party for certain losses suffered or incurred by the indemnified party as a result of our activities, including defending against third-party claims asserting various allegations such as product defects, breach of representations or covenants,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16"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claims or proceedings related to these types of matters that we believe are likely to have a material adverse effect on our financial position.</w:t>
      </w:r>
    </w:p>
    <w:p>
      <w:pPr>
        <w:spacing w:after="0" w:line="200"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PLANS AND SHARE REPURCHASE PROGRAM</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maintain the Amended and Restated Fortinet, Inc. 2009 Equity Incentive Plan (the “Amended Plan”) pursuant to which we have granted RSUs, stock options and PSUs. As of June 30, 2025, there were a total of 48.9 million shares of common stock available for grant under the Amended Plan.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66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jc w:val="right"/>
              <w:ind w:right="53"/>
              <w:spacing w:after="0" w:line="161" w:lineRule="exact"/>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14"/>
        </w:trPr>
        <w:tc>
          <w:tcPr>
            <w:tcW w:w="70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6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29"/>
        </w:trPr>
        <w:tc>
          <w:tcPr>
            <w:tcW w:w="8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2025</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June 30, 2025, total compensation expense related to unvested RSUs granted to employees and non-employees under the Amended Plan, but not yet recognized, was $574.6 million, with a weighted-average remaining vesting period of 2.9 years.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Market/Performance-Based PSUs</w:t>
      </w:r>
    </w:p>
    <w:p>
      <w:pPr>
        <w:spacing w:after="0" w:line="24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7"/>
          <w:szCs w:val="17"/>
          <w:color w:val="auto"/>
        </w:rPr>
        <w:t>We grant market/performance-based PSUs under the Amended Plan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spacing w:after="0" w:line="19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PSUs for the periods presented below (in millions, except per share amounts):</w:t>
      </w:r>
    </w:p>
    <w:p>
      <w:pPr>
        <w:spacing w:after="0" w:line="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Performance Stock Units Outstanding</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166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right"/>
              <w:ind w:right="53"/>
              <w:spacing w:after="0" w:line="175" w:lineRule="exact"/>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14"/>
        </w:trPr>
        <w:tc>
          <w:tcPr>
            <w:tcW w:w="70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6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0" w:type="dxa"/>
            <w:vAlign w:val="bottom"/>
          </w:tcPr>
          <w:p>
            <w:pPr>
              <w:spacing w:after="0"/>
              <w:rPr>
                <w:sz w:val="1"/>
                <w:szCs w:val="1"/>
                <w:color w:val="auto"/>
              </w:rPr>
            </w:pPr>
          </w:p>
        </w:tc>
      </w:tr>
      <w:tr>
        <w:trPr>
          <w:trHeight w:val="230"/>
        </w:trPr>
        <w:tc>
          <w:tcPr>
            <w:tcW w:w="8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0" w:type="dxa"/>
            <w:vAlign w:val="bottom"/>
          </w:tcPr>
          <w:p>
            <w:pPr>
              <w:spacing w:after="0"/>
              <w:rPr>
                <w:sz w:val="1"/>
                <w:szCs w:val="1"/>
                <w:color w:val="auto"/>
              </w:rPr>
            </w:pP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2025</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As of June 30, 2025, total compensation expense related to unvested PSUs that were granted to certain of our executives, but not yet recognized, was $30.0 million. This expense is expected to be amortized on a graded vesting method over a weighted-average vesting period of 2.3 years.</w:t>
      </w:r>
    </w:p>
    <w:p>
      <w:pPr>
        <w:spacing w:after="0" w:line="16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RSUs and PSUs settle into shares of common stock upon vesting. Upon the vesting of the RSUs and PSUs, we net-settle the RSUs and PSUs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960" w:type="dxa"/>
            <w:vAlign w:val="bottom"/>
          </w:tcPr>
          <w:p>
            <w:pPr>
              <w:spacing w:after="0"/>
              <w:rPr>
                <w:sz w:val="13"/>
                <w:szCs w:val="13"/>
                <w:color w:val="auto"/>
              </w:rPr>
            </w:pPr>
          </w:p>
        </w:tc>
        <w:tc>
          <w:tcPr>
            <w:tcW w:w="1080" w:type="dxa"/>
            <w:vAlign w:val="bottom"/>
          </w:tcPr>
          <w:p>
            <w:pPr>
              <w:jc w:val="center"/>
              <w:ind w:left="337"/>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336"/>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3"/>
                <w:szCs w:val="13"/>
                <w:color w:val="auto"/>
              </w:rPr>
            </w:pPr>
          </w:p>
        </w:tc>
        <w:tc>
          <w:tcPr>
            <w:tcW w:w="1180" w:type="dxa"/>
            <w:vAlign w:val="bottom"/>
          </w:tcPr>
          <w:p>
            <w:pPr>
              <w:jc w:val="right"/>
              <w:ind w:right="355"/>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336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0" w:type="dxa"/>
            <w:vAlign w:val="bottom"/>
            <w:gridSpan w:val="3"/>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640" w:type="dxa"/>
            <w:vAlign w:val="bottom"/>
          </w:tcPr>
          <w:p>
            <w:pPr>
              <w:spacing w:after="0"/>
              <w:rPr>
                <w:sz w:val="13"/>
                <w:szCs w:val="13"/>
                <w:color w:val="auto"/>
              </w:rPr>
            </w:pPr>
          </w:p>
        </w:tc>
        <w:tc>
          <w:tcPr>
            <w:tcW w:w="1680" w:type="dxa"/>
            <w:vAlign w:val="bottom"/>
            <w:tcBorders>
              <w:top w:val="single" w:sz="8" w:color="auto"/>
            </w:tcBorders>
            <w:gridSpan w:val="2"/>
          </w:tcPr>
          <w:p>
            <w:pPr>
              <w:ind w:left="5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580" w:type="dxa"/>
            <w:vAlign w:val="bottom"/>
            <w:tcBorders>
              <w:top w:val="single" w:sz="8" w:color="auto"/>
            </w:tcBorders>
          </w:tcPr>
          <w:p>
            <w:pPr>
              <w:jc w:val="right"/>
              <w:ind w:right="41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1660" w:type="dxa"/>
            <w:vAlign w:val="bottom"/>
            <w:tcBorders>
              <w:top w:val="single" w:sz="8" w:color="auto"/>
            </w:tcBorders>
            <w:gridSpan w:val="2"/>
          </w:tcPr>
          <w:p>
            <w:pPr>
              <w:ind w:left="4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540" w:type="dxa"/>
            <w:vAlign w:val="bottom"/>
            <w:tcBorders>
              <w:top w:val="single" w:sz="8" w:color="auto"/>
            </w:tcBorders>
          </w:tcPr>
          <w:p>
            <w:pPr>
              <w:jc w:val="right"/>
              <w:ind w:right="39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6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14"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100" w:type="dxa"/>
            <w:vAlign w:val="bottom"/>
            <w:tcBorders>
              <w:top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2025</w:t>
            </w:r>
          </w:p>
        </w:tc>
        <w:tc>
          <w:tcPr>
            <w:tcW w:w="1100" w:type="dxa"/>
            <w:vAlign w:val="bottom"/>
            <w:tcBorders>
              <w:bottom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vest—June 30, 2025</w:t>
            </w:r>
          </w:p>
        </w:tc>
        <w:tc>
          <w:tcPr>
            <w:tcW w:w="1100" w:type="dxa"/>
            <w:vAlign w:val="bottom"/>
            <w:tcBorders>
              <w:bottom w:val="single" w:sz="8" w:color="auto"/>
            </w:tcBorders>
          </w:tcPr>
          <w:p>
            <w:pPr>
              <w:jc w:val="center"/>
              <w:ind w:left="652"/>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exercisable—June 30, 2025</w:t>
            </w:r>
          </w:p>
        </w:tc>
        <w:tc>
          <w:tcPr>
            <w:tcW w:w="1100" w:type="dxa"/>
            <w:vAlign w:val="bottom"/>
            <w:tcBorders>
              <w:bottom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at the date of the balance sheet for all in-the-money stock options. Stock compensation expense is recognized on a straight-line basis over the vesting period of each stock option. As of June 30, 2025, total compensation expense related to unvested stock options granted to employees but not yet recognized was $57.3 million, with a weighted-average remaining vesting period of 2.8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760" w:type="dxa"/>
            <w:vAlign w:val="bottom"/>
            <w:gridSpan w:val="4"/>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9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4"/>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54"/>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1080" w:type="dxa"/>
            <w:vAlign w:val="bottom"/>
          </w:tcPr>
          <w:p>
            <w:pPr>
              <w:jc w:val="center"/>
              <w:ind w:left="356"/>
              <w:spacing w:after="0" w:line="158"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5"/>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center"/>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
        </w:trPr>
        <w:tc>
          <w:tcPr>
            <w:tcW w:w="49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15"/>
        </w:trPr>
        <w:tc>
          <w:tcPr>
            <w:tcW w:w="1124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by award type (in millions):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4"/>
        </w:trPr>
        <w:tc>
          <w:tcPr>
            <w:tcW w:w="49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1080" w:type="dxa"/>
            <w:vAlign w:val="bottom"/>
          </w:tcPr>
          <w:p>
            <w:pPr>
              <w:jc w:val="center"/>
              <w:ind w:left="356"/>
              <w:spacing w:after="0" w:line="158"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5"/>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center"/>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0"/>
        </w:trPr>
        <w:tc>
          <w:tcPr>
            <w:tcW w:w="49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29"/>
        </w:trPr>
        <w:tc>
          <w:tcPr>
            <w:tcW w:w="1124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condensed consolidated statements of income is (in</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1"/>
        </w:trPr>
        <w:tc>
          <w:tcPr>
            <w:tcW w:w="49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1080" w:type="dxa"/>
            <w:vAlign w:val="bottom"/>
          </w:tcPr>
          <w:p>
            <w:pPr>
              <w:jc w:val="center"/>
              <w:ind w:left="356"/>
              <w:spacing w:after="0" w:line="158"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5"/>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center"/>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1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During the three and six months ended June 30, 2025, we repurchased 4.6 million shares of our common stock under the Repurchase Program in open-market transactions, at a weighted-average price of $87.89 per share, for an aggregate purchase price of $401.1 million, which excludes a $0.8 million accrual related to the 1% excise tax imposed by the Inflation Reduction Act of 2022. As of June 30, 2025, approximately $1.63 billion remained available for future share repurchases under the Repurchase Program.</w:t>
      </w: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15% for the three months ended June 30, 2025, compared to an effective tax rate of 16% for the same period last year. Our effective tax rate was 17% for the six months ended June 30, 2025, compared to an effective tax rate of 14% for the same period last year. The tax rates for the three months ended June 30, 2025 and 2024 were comprised of U.S. federal and state taxes, withholding taxes and foreign taxes that amounted to $114.6 million and $109.9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color w:val="auto"/>
        </w:rPr>
        <w:t>respectively. The tax rate for the three months ended June 30, 2025 included a tax benefit of $25.1 million from the foreign-derived intangible income (“FDII”) deduction, and excess tax benefits from stock-based compensation expense of $12.4 million. The tax rate for the three months ended June 30, 2024 was impacted by a tax benefit of $27.2 million from the FDII deduction, and excess tax benefits from stock-based compensation expense of $6.2 million.</w:t>
      </w:r>
    </w:p>
    <w:p>
      <w:pPr>
        <w:spacing w:after="0" w:line="20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tax rates for the six months ended June 30, 2025 and 2024 were composed of U.S. federal and state taxes, withholding taxes and foreign taxes that amounted to $243.2 million and $191.3 million, respectively. The tax rate for the six months ended June 30, 2025 included a tax provision of</w:t>
      </w:r>
    </w:p>
    <w:p>
      <w:pPr>
        <w:spacing w:after="0" w:line="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7"/>
          <w:szCs w:val="17"/>
          <w:color w:val="auto"/>
        </w:rPr>
        <w:t>$30.6 million related to the derecognition of deferred tax assets from the business combination with Linksys, a tax benefit of $50.9 million from the FDII deduction, and excess tax benefits from stock-based compensation expense of $49.3 million. The tax rate for the six months ended June 30, 2024 was impacted by a tax benefit of $50.8 million from the FDII deduction, and excess tax benefits from stock-based compensation expense of $24.5 million.</w:t>
      </w:r>
    </w:p>
    <w:p>
      <w:pPr>
        <w:spacing w:after="0" w:line="204"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As of June 30, 2025 and December 31, 2024, unrecognized tax benefits were $83.0 million and $75.9 million, respectively. If recognized, $67.6 million of the unrecognized tax benefits as of June 30, 2025 would favorably affect our effective tax rate. It is our policy to include accrued interest and penalties related to unrecognized tax benefits in income tax expense. As of June 30, 2025 and December 31, 2024, accrued interest and penalties were $10.8 million and $8.8 million, respectively.</w:t>
      </w:r>
    </w:p>
    <w:p>
      <w:pPr>
        <w:spacing w:after="0" w:line="2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examination by U.S federal income tax authorities for tax years prior to 2020 and by U.S. state and foreign tax authorities in our significant jurisdictions for tax years prior to 2016. We currently have ongoing tax audits in the United Kingdom, Canada, Germany and several other foreign jurisdictions. The focus of these audits is the inter-company profit allocation.</w:t>
      </w:r>
    </w:p>
    <w:p>
      <w:pPr>
        <w:spacing w:after="0" w:line="191"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Internal Revenue Service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w:t>
      </w:r>
    </w:p>
    <w:p>
      <w:pPr>
        <w:spacing w:after="0" w:line="21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(the “OECD”) enacted model rules for a new global minimum tax framework (“BEPS Pillar Two”), and various governments around the world have enacted, or are in the process of enacting, legislation on this. The OECD continues to release additional guidance on these rules. Based on the enacted laws, BEPS Pillar Two has no impact to our effective tax rate or cash flows for the six months ended June 30, 2025. We will continue to evaluate the impact of these tax law changes on future reporting periods.</w:t>
      </w:r>
    </w:p>
    <w:p>
      <w:pPr>
        <w:spacing w:after="0" w:line="204"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the three months ended June 30, 2025 and 2024 were $5.1 million and $4.3 million, respectively. Our matching contributions to our 401(k) Plan and the RRSP for the six months ended June 30, 2025 and 2024 were $10.7 million and $10.6 million, respectively.</w:t>
      </w:r>
    </w:p>
    <w:p>
      <w:pPr>
        <w:spacing w:after="0" w:line="21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who are held accountable for operations, operating results and plans for levels or components below the consolidated unit level. Accordingly, we have determined that we have one operating segment, and therefore, one reportable segment.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certain financial data for our reportable segment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Other sales and marketing expense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Commission expense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 Excludes commission expense.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 The following table presents other segment items (in millions):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398"/>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other segment information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98"/>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3"/>
        </w:trPr>
        <w:tc>
          <w:tcPr>
            <w:tcW w:w="4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Significant non-cash items:</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4900" w:type="dxa"/>
            <w:vAlign w:val="bottom"/>
          </w:tcPr>
          <w:p>
            <w:pPr>
              <w:ind w:left="4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30"/>
        </w:trPr>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70"/>
        </w:trPr>
        <w:tc>
          <w:tcPr>
            <w:tcW w:w="4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8,052.9</w:t>
            </w: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ind w:left="7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9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3"/>
                <w:szCs w:val="13"/>
                <w:color w:val="auto"/>
              </w:rPr>
            </w:pPr>
          </w:p>
        </w:tc>
        <w:tc>
          <w:tcPr>
            <w:tcW w:w="1440" w:type="dxa"/>
            <w:vAlign w:val="bottom"/>
            <w:gridSpan w:val="4"/>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3"/>
                <w:szCs w:val="13"/>
                <w:color w:val="auto"/>
              </w:rPr>
            </w:pPr>
          </w:p>
        </w:tc>
        <w:tc>
          <w:tcPr>
            <w:tcW w:w="1300" w:type="dxa"/>
            <w:vAlign w:val="bottom"/>
            <w:gridSpan w:val="4"/>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4"/>
          </w:tcPr>
          <w:p>
            <w:pPr>
              <w:ind w:left="3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314"/>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3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29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47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shd w:val="clear" w:color="auto" w:fill="CCEEFF"/>
          </w:tcPr>
          <w:p>
            <w:pPr>
              <w:spacing w:after="0"/>
              <w:rPr>
                <w:sz w:val="18"/>
                <w:szCs w:val="18"/>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435.7</w:t>
            </w: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928.4</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49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360.2</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Total Americas</w:t>
            </w:r>
          </w:p>
        </w:tc>
        <w:tc>
          <w:tcPr>
            <w:tcW w:w="16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1,288.6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585.6</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1,434.3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3,169.7</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49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9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3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15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9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Americas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EMEA</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1,544.8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6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our revenue:</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9"/>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9"/>
          </w:tcPr>
          <w:p>
            <w:pPr>
              <w:ind w:left="7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4"/>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net accounts receivable: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6"/>
                <w:szCs w:val="16"/>
                <w:color w:val="auto"/>
              </w:rPr>
            </w:pPr>
          </w:p>
        </w:tc>
        <w:tc>
          <w:tcPr>
            <w:tcW w:w="154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494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right="8620" w:hanging="652"/>
        <w:spacing w:after="0" w:line="549" w:lineRule="auto"/>
        <w:tabs>
          <w:tab w:leader="none" w:pos="462"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b w:val="1"/>
          <w:bCs w:val="1"/>
          <w:i w:val="1"/>
          <w:iCs w:val="1"/>
          <w:color w:val="auto"/>
        </w:rPr>
        <w:t>One Big Beautiful Bill Act</w:t>
      </w:r>
    </w:p>
    <w:p>
      <w:pPr>
        <w:spacing w:after="0" w:line="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On July 4, 2025, H.R. 1, An Act to Provide for Reconciliation Pursuant to Title II of House Concurrent Resolution 14 (the “Act”), commonly referred to as the One Big Beautiful Bill Act, was enacted. The Act makes permanent certain elements of the Tax Cuts and Jobs Act, including immediate expensing of U.S. research and development expenditures, immediate expensing of certain eligible assets, and various modifications to the international tax framework. We are evaluating the impact of the Act on our consolidated financial statements, but our preliminary analysis indicates that our cash tax payments for 2025 could be reduced by approximately $100 million to $150 million and our GAAP effective tax rate for 2025 could increase by approximately 1 point as a result of the provisions of the Act.</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Subsequent to June 30, 2025 through the filing of this Quarterly Report on Form 10-Q, we repurchased 1.0 million shares of our common stock at an average price of $72.29 per share, for an aggregate purchase price of $71.2 million, under the Repurchase Program. As of the filing of this Quarterly Report on Form 10-Q, approximately $1.56 billion remained available for future share repurchases through February 28, 2026 under the Repurchase Program.</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00"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and service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from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increasing or decreasing inflation or stagflation, and changing interest rates in many geographies and changes in currency exchange rates and currency regulations;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macroeconomic, geopolitical factors and other disruption on our manufacturing or sales, including tariffs or other trade disruptions, public health issues, wars, natural disasters and economic growth;</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government regulation and other policies;</w:t>
      </w:r>
    </w:p>
    <w:p>
      <w:pPr>
        <w:spacing w:after="0" w:line="252" w:lineRule="exact"/>
        <w:rPr>
          <w:rFonts w:ascii="Times New Roman" w:cs="Times New Roman" w:eastAsia="Times New Roman" w:hAnsi="Times New Roman"/>
          <w:sz w:val="18"/>
          <w:szCs w:val="18"/>
          <w:i w:val="1"/>
          <w:iCs w:val="1"/>
          <w:color w:val="auto"/>
        </w:rPr>
      </w:pPr>
    </w:p>
    <w:p>
      <w:pPr>
        <w:ind w:left="1300" w:right="560" w:hanging="644"/>
        <w:spacing w:after="0" w:line="268"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pricing of our products and services, sales productivity, pipeline and capacity, functionality, value and technology improvements in our product and service offerings;</w:t>
      </w:r>
    </w:p>
    <w:p>
      <w:pPr>
        <w:spacing w:after="0" w:line="199"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06" w:lineRule="exact"/>
        <w:rPr>
          <w:rFonts w:ascii="Times New Roman" w:cs="Times New Roman" w:eastAsia="Times New Roman" w:hAnsi="Times New Roman"/>
          <w:sz w:val="18"/>
          <w:szCs w:val="18"/>
          <w:color w:val="auto"/>
        </w:rPr>
      </w:pPr>
    </w:p>
    <w:p>
      <w:pPr>
        <w:ind w:left="1300" w:right="26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anticipate market changes, including those related to cloud-based and AI solutions and to sell, support and meet service level agreements related to cloud-based solutions;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expectations for the secure networking market;</w:t>
      </w:r>
    </w:p>
    <w:p>
      <w:pPr>
        <w:spacing w:after="0" w:line="252" w:lineRule="exact"/>
        <w:rPr>
          <w:rFonts w:ascii="Times New Roman" w:cs="Times New Roman" w:eastAsia="Times New Roman" w:hAnsi="Times New Roman"/>
          <w:sz w:val="18"/>
          <w:szCs w:val="18"/>
          <w:i w:val="1"/>
          <w:iCs w:val="1"/>
          <w:color w:val="auto"/>
        </w:rPr>
      </w:pPr>
    </w:p>
    <w:p>
      <w:pPr>
        <w:ind w:left="1300" w:right="30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constraints, component availability and other factors affecting our manufacturing capacity, delivery, cost and inventory management;</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forecasts of future demand and targeted inventory levels, including changing market drivers and demands;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backlog from current or prior quarters, including its effect on growth of in-quarter billings and revenue;</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hanging="644"/>
        <w:spacing w:after="0" w:line="267"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00" w:lineRule="exact"/>
        <w:rPr>
          <w:rFonts w:ascii="Times New Roman" w:cs="Times New Roman" w:eastAsia="Times New Roman" w:hAnsi="Times New Roman"/>
          <w:sz w:val="18"/>
          <w:szCs w:val="18"/>
          <w:i w:val="1"/>
          <w:iCs w:val="1"/>
          <w:color w:val="auto"/>
        </w:rPr>
      </w:pPr>
    </w:p>
    <w:p>
      <w:pPr>
        <w:ind w:left="1300" w:right="260" w:hanging="644"/>
        <w:spacing w:after="0" w:line="284"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 including expectations regarding product revenue, service revenue and inventory related charges;</w:t>
      </w:r>
    </w:p>
    <w:p>
      <w:pPr>
        <w:spacing w:after="0" w:line="158" w:lineRule="exact"/>
        <w:rPr>
          <w:rFonts w:ascii="Times New Roman" w:cs="Times New Roman" w:eastAsia="Times New Roman" w:hAnsi="Times New Roman"/>
          <w:sz w:val="18"/>
          <w:szCs w:val="18"/>
          <w:color w:val="auto"/>
        </w:rPr>
      </w:pPr>
    </w:p>
    <w:p>
      <w:pPr>
        <w:ind w:left="1300" w:right="100" w:hanging="644"/>
        <w:spacing w:after="0" w:line="284"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 including sales and marketing expense, research and development expense, general and administrative expense, and expectations regarding these expenses;</w:t>
      </w:r>
    </w:p>
    <w:p>
      <w:pPr>
        <w:sectPr>
          <w:pgSz w:w="11900" w:h="16838" w:orient="portrait"/>
          <w:cols w:equalWidth="0" w:num="1">
            <w:col w:w="11180"/>
          </w:cols>
          <w:pgMar w:left="320" w:top="27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plans and strategy for the acceleration of our data center footprint and our PoPs deployment;</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our gross margins and operating expenses for 2025;</w:t>
      </w:r>
    </w:p>
    <w:p>
      <w:pPr>
        <w:spacing w:after="0" w:line="252" w:lineRule="exact"/>
        <w:rPr>
          <w:rFonts w:ascii="Times New Roman" w:cs="Times New Roman" w:eastAsia="Times New Roman" w:hAnsi="Times New Roman"/>
          <w:sz w:val="18"/>
          <w:szCs w:val="18"/>
          <w:i w:val="1"/>
          <w:iCs w:val="1"/>
          <w:color w:val="auto"/>
        </w:rPr>
      </w:pPr>
    </w:p>
    <w:p>
      <w:pPr>
        <w:ind w:left="1300" w:right="8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and performance stock units versus stock options granted or a decline in our stock price;</w:t>
      </w:r>
    </w:p>
    <w:p>
      <w:pPr>
        <w:spacing w:after="0" w:line="185" w:lineRule="exact"/>
        <w:rPr>
          <w:rFonts w:ascii="Times New Roman" w:cs="Times New Roman" w:eastAsia="Times New Roman" w:hAnsi="Times New Roman"/>
          <w:sz w:val="18"/>
          <w:szCs w:val="18"/>
          <w:i w:val="1"/>
          <w:iCs w:val="1"/>
          <w:color w:val="auto"/>
        </w:rPr>
      </w:pPr>
    </w:p>
    <w:p>
      <w:pPr>
        <w:ind w:left="1300" w:right="40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tax benefits and our effective domestic and global tax rates, the impact of interpretations of or changes to tax law, and the timing of tax payments;</w:t>
      </w:r>
    </w:p>
    <w:p>
      <w:pPr>
        <w:spacing w:after="0" w:line="185" w:lineRule="exact"/>
        <w:rPr>
          <w:rFonts w:ascii="Times New Roman" w:cs="Times New Roman" w:eastAsia="Times New Roman" w:hAnsi="Times New Roman"/>
          <w:sz w:val="18"/>
          <w:szCs w:val="18"/>
          <w:i w:val="1"/>
          <w:iCs w:val="1"/>
          <w:color w:val="auto"/>
        </w:rPr>
      </w:pPr>
    </w:p>
    <w:p>
      <w:pPr>
        <w:ind w:left="1300" w:right="520" w:hanging="644"/>
        <w:spacing w:after="0" w:line="259"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spending related to real estate assets, acquisitions and development, including data centers and points of presence, office building and warehouse investments, as well as other capital expenditures and to the impact on free cash flow and expenses;</w:t>
      </w:r>
    </w:p>
    <w:p>
      <w:pPr>
        <w:spacing w:after="0" w:line="19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estimates of a range of 2025 spending on capital expenditures;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expansions, development, improvements, operating, subleasing and other real property holdings activities;</w:t>
      </w:r>
    </w:p>
    <w:p>
      <w:pPr>
        <w:spacing w:after="0" w:line="238"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4"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Fortinet is a leader in cybersecurity, driving the convergence of networking and security. Our mission is to secure people, devices and data everywhere. Our integrated platform, the Fortinet Security Fabric, spans secure networking, unified SASE and AI-driven security operations (“SecOps”). As of June 30, 2025, our end-customers were located in over 100 countries and included enterprises across a wide variety of market verticals, including financial services, retail, healthcare and operational technology (“OT”) market verticals, communication and security service providers, and government organizations. As a global company headquartered in Sunnyvale, California, our research and development is centered in the United States and Canada with a global footprint of support and centers of excellence around the world. As of June 30, 2025, we held 1,067 U.S. patents and 1,401 global patents, including 288 AI-related patents. We have been recognized in over 140 enterprise analyst reports demonstrating both our vision and execution across security and networking products.</w:t>
      </w:r>
    </w:p>
    <w:p>
      <w:pPr>
        <w:spacing w:after="0" w:line="20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Our competitive differentiation lies in our core technologies, which together provide performance, security, flexibility and integration across diverse environments.</w:t>
      </w:r>
    </w:p>
    <w:p>
      <w:pPr>
        <w:spacing w:after="0" w:line="185" w:lineRule="exact"/>
        <w:rPr>
          <w:sz w:val="20"/>
          <w:szCs w:val="20"/>
          <w:color w:val="auto"/>
        </w:rPr>
      </w:pPr>
    </w:p>
    <w:p>
      <w:pPr>
        <w:ind w:left="660" w:right="180" w:hanging="328"/>
        <w:spacing w:after="0" w:line="24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FortiOS</w:t>
      </w:r>
      <w:r>
        <w:rPr>
          <w:rFonts w:ascii="Times New Roman" w:cs="Times New Roman" w:eastAsia="Times New Roman" w:hAnsi="Times New Roman"/>
          <w:sz w:val="18"/>
          <w:szCs w:val="18"/>
          <w:color w:val="auto"/>
        </w:rPr>
        <w:t>—FortiOS enables the convergence of security and networking to enforce consistent security policies across form factors and edges.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foundation of the Fortinet Security Fabric, FortiOS empowers organizations to unify management and analytics for comprehensive network visibility and control at scale. To further validate our strategy, FortiOS has been recognized across five Gartner Magic Quadrants, including Firewall, Software-Defined Wide-Area</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Network (“SD-WAN”), Security Service Edge (“SSE”), SASE Platforms and Wired and Wireless Local Area Network (“LAN”).</w:t>
      </w:r>
    </w:p>
    <w:p>
      <w:pPr>
        <w:spacing w:after="0" w:line="235" w:lineRule="exact"/>
        <w:rPr>
          <w:sz w:val="20"/>
          <w:szCs w:val="20"/>
          <w:color w:val="auto"/>
        </w:rPr>
      </w:pPr>
    </w:p>
    <w:p>
      <w:pPr>
        <w:jc w:val="both"/>
        <w:ind w:left="660" w:right="280" w:hanging="328"/>
        <w:spacing w:after="0" w:line="25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FortiASIC</w:t>
      </w:r>
      <w:r>
        <w:rPr>
          <w:rFonts w:ascii="Times New Roman" w:cs="Times New Roman" w:eastAsia="Times New Roman" w:hAnsi="Times New Roman"/>
          <w:sz w:val="18"/>
          <w:szCs w:val="18"/>
          <w:color w:val="auto"/>
        </w:rPr>
        <w:t>—Our Application-Specific Integrated Circuit (“ASIC”)-based SPUs increase the speed, scale, efficiency and value of our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improving user experience, reducing footprint and power requirements. From branch and campus to data center solutions, SPU-powered Fortinet appliances deliver superior Security Compute Ratings versus industry alternatives.</w:t>
      </w:r>
    </w:p>
    <w:p>
      <w:pPr>
        <w:spacing w:after="0" w:line="212" w:lineRule="exact"/>
        <w:rPr>
          <w:rFonts w:ascii="Times New Roman" w:cs="Times New Roman" w:eastAsia="Times New Roman" w:hAnsi="Times New Roman"/>
          <w:sz w:val="18"/>
          <w:szCs w:val="18"/>
          <w:color w:val="auto"/>
        </w:rPr>
      </w:pPr>
    </w:p>
    <w:p>
      <w:pPr>
        <w:ind w:left="660" w:right="40" w:hanging="328"/>
        <w:spacing w:after="0" w:line="25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FortiCloud</w:t>
      </w:r>
      <w:r>
        <w:rPr>
          <w:rFonts w:ascii="Times New Roman" w:cs="Times New Roman" w:eastAsia="Times New Roman" w:hAnsi="Times New Roman"/>
          <w:sz w:val="18"/>
          <w:szCs w:val="18"/>
          <w:color w:val="auto"/>
        </w:rPr>
        <w:t>—Our organically built global cloud infrastructure provides customers with global reach, flexible connectivity, and cost savings.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FortiCloud is our private cloud software as a service (“SaaS”) platform, powered by FortiStack, and leveraging software and hardware to optimize and secure all layers.</w:t>
      </w:r>
    </w:p>
    <w:p>
      <w:pPr>
        <w:spacing w:after="0" w:line="198" w:lineRule="exact"/>
        <w:rPr>
          <w:rFonts w:ascii="Times New Roman" w:cs="Times New Roman" w:eastAsia="Times New Roman" w:hAnsi="Times New Roman"/>
          <w:sz w:val="18"/>
          <w:szCs w:val="18"/>
          <w:color w:val="auto"/>
        </w:rPr>
      </w:pPr>
    </w:p>
    <w:p>
      <w:pPr>
        <w:ind w:left="660" w:right="160" w:hanging="328"/>
        <w:spacing w:after="0" w:line="23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FortiAI</w:t>
      </w:r>
      <w:r>
        <w:rPr>
          <w:rFonts w:ascii="Times New Roman" w:cs="Times New Roman" w:eastAsia="Times New Roman" w:hAnsi="Times New Roman"/>
          <w:sz w:val="18"/>
          <w:szCs w:val="18"/>
          <w:color w:val="auto"/>
        </w:rPr>
        <w:t>—FortiAI includes FortiAI-Protect, which defends against emerging AI-driven threats and ensures secure AI usage; FortiAI-Assist,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generative AI product with agentic AI, automates Security Operations Center (“SOC”) and Network Operations Center (“NOC”) operations; and FortiAI-SecureAI, which safeguards AI infrastructure and prevents data leakage into large language models. FortiAI helps security teams make faster, educated decisions while integrating into products like FortiAnalyzer, FortiManager, FortiSIEM, and FortiSOAR to streamline threat investigation, response, and automation.</w:t>
      </w:r>
    </w:p>
    <w:p>
      <w:pPr>
        <w:spacing w:after="0" w:line="211" w:lineRule="exact"/>
        <w:rPr>
          <w:rFonts w:ascii="Times New Roman" w:cs="Times New Roman" w:eastAsia="Times New Roman" w:hAnsi="Times New Roman"/>
          <w:sz w:val="18"/>
          <w:szCs w:val="18"/>
          <w:color w:val="auto"/>
        </w:rPr>
      </w:pPr>
    </w:p>
    <w:p>
      <w:pPr>
        <w:ind w:left="660" w:right="40" w:hanging="328"/>
        <w:spacing w:after="0" w:line="24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FortiEndpoint</w:t>
      </w:r>
      <w:r>
        <w:rPr>
          <w:rFonts w:ascii="Times New Roman" w:cs="Times New Roman" w:eastAsia="Times New Roman" w:hAnsi="Times New Roman"/>
          <w:sz w:val="18"/>
          <w:szCs w:val="18"/>
          <w:color w:val="auto"/>
        </w:rPr>
        <w:t>—FortiEndpoint converges secure connectivity, endpoint protection and advanced capabilities like endpoint detection and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extended detection and response (“XDR”), into a single agent. It simplifies management and enhances visibility while reducing costs and complexity. The solution gives IT teams the visibility and control they need, while security teams benefit from automated threat detection and response. This minimizes the need for manual intervention and provides faster remediation of threats across all environments.</w:t>
      </w:r>
    </w:p>
    <w:p>
      <w:pPr>
        <w:spacing w:after="0" w:line="204"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 Security</w:t>
      </w:r>
      <w:r>
        <w:rPr>
          <w:rFonts w:ascii="Times New Roman" w:cs="Times New Roman" w:eastAsia="Times New Roman" w:hAnsi="Times New Roman"/>
          <w:sz w:val="18"/>
          <w:szCs w:val="18"/>
          <w:color w:val="auto"/>
        </w:rPr>
        <w:t>—The Fortinet Security Fabric enables security for converged IT/OT ecosystems. It also provides an OT Security Platform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features and products to extend Security Fabric capabilities to OT networks in many areas, including factories, plants, remote locations and ships. To help alleviate security risks across the organization, we have continued to enhance our OT Security Platform offerings. These innovations range from edge products to NOC and SOC tools and services to provide effective and efficient networking and cybersecurity performance and operation.</w:t>
      </w:r>
    </w:p>
    <w:p>
      <w:pPr>
        <w:spacing w:after="0" w:line="21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These competitive differentiators provide networking and security professionals with a comprehensive cyber security platform comprised of over 50 products across three solution pillars:</w:t>
      </w:r>
    </w:p>
    <w:p>
      <w:pPr>
        <w:spacing w:after="0" w:line="172" w:lineRule="exact"/>
        <w:rPr>
          <w:sz w:val="20"/>
          <w:szCs w:val="20"/>
          <w:color w:val="auto"/>
        </w:rPr>
      </w:pPr>
    </w:p>
    <w:p>
      <w:pPr>
        <w:ind w:left="660" w:right="20" w:hanging="328"/>
        <w:spacing w:after="0" w:line="238" w:lineRule="auto"/>
        <w:tabs>
          <w:tab w:leader="none" w:pos="655" w:val="left"/>
        </w:tabs>
        <w:numPr>
          <w:ilvl w:val="0"/>
          <w:numId w:val="20"/>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FortiOS, our networking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operating system that is the foundation of our Fortinet Security Fabric platform and supports over 30 functions that can be delivered via a physical, virtual, cloud or SaaS solutions. When delivered through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Our network firewall offerings consist of a FortiGate data center, hyperscale and distributed firewalls, as well as encrypted applications (secure sockets layer inspection, virtual private network and Internet Protocol Security connectivity). Our ability to converge networking and security also enables the ethernet to become an extension of our customers’ security infrastructure through FortiSwitch and FortiLink. Our wireless LAN solution leverages secure networking to provide secure wireless access for the enterprise LAN edge. FortiExtender secures 5G/LTE and remote ethernet extenders to connect and secure any branch environment. Our Secure Connectivity solution includes FortiSwitch secure ethernet switches, FortiAP wireless local area network access points and FortiExtender 5G connectivity gateways.</w:t>
      </w:r>
    </w:p>
    <w:p>
      <w:pPr>
        <w:spacing w:after="0" w:line="212" w:lineRule="exact"/>
        <w:rPr>
          <w:rFonts w:ascii="Times New Roman" w:cs="Times New Roman" w:eastAsia="Times New Roman" w:hAnsi="Times New Roman"/>
          <w:sz w:val="18"/>
          <w:szCs w:val="18"/>
          <w:color w:val="212529"/>
        </w:rPr>
      </w:pPr>
    </w:p>
    <w:p>
      <w:pPr>
        <w:ind w:left="660" w:right="60" w:hanging="328"/>
        <w:spacing w:after="0" w:line="22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Secure Access Service Edge (SASE)</w:t>
      </w:r>
      <w:r>
        <w:rPr>
          <w:rFonts w:ascii="Times New Roman" w:cs="Times New Roman" w:eastAsia="Times New Roman" w:hAnsi="Times New Roman"/>
          <w:sz w:val="18"/>
          <w:szCs w:val="18"/>
          <w:color w:val="auto"/>
        </w:rPr>
        <w:t>—As applications move to the cloud and hybrid workforce is now the norm, enabling secure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users with zero trust framework becomes important. The Fortinet Unified SASE solution includes a single-vendor SASE solution that includes firewall, SD-WAN, secure web gateway, cloud access services broker, DLP and zero trust network access to deliver flexible secure access for all users. We are one of the few vendors to deliver consistent convergence and AI-powered security across Secure SD-WAN and SSE to enable a single-vendor SASE framework with a cloud-centric architecture powered by FortiOS. Our global and scalable cloud network includes over 150 PoPs to deliver the seamless secure access experience. Given this, we believe we are well positioned to support customers expanding from SD-WAN to a single-vendor SASE platform. Additionally, we offer a full suite of comprehensive, integrated cloud security solutions that enable customers to secure their applications from code to cloud. Our solutions include application security that includes our web application firewalls, cloud network security with virtualized firewalls and cloud-native firewalls, cloud-native application protection and code security. We deliver a holistic approach to cloud security, offering a single unified platform, consolidating protection across multiple disparate tools, including coding, deploying, and running applications across hybrid and multi-clouds. Additionally, we also offer flexible consumption licensing programs that enable organizations to dynamically optimize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560"/>
        <w:spacing w:after="0" w:line="250" w:lineRule="auto"/>
        <w:rPr>
          <w:sz w:val="20"/>
          <w:szCs w:val="20"/>
          <w:color w:val="auto"/>
        </w:rPr>
      </w:pPr>
      <w:r>
        <w:rPr>
          <w:rFonts w:ascii="Times New Roman" w:cs="Times New Roman" w:eastAsia="Times New Roman" w:hAnsi="Times New Roman"/>
          <w:sz w:val="18"/>
          <w:szCs w:val="18"/>
          <w:color w:val="auto"/>
        </w:rPr>
        <w:t>their cloud security needs and investments as well as readily meet their cloud minimum spend commitment obligations with Cloud Service Providers.</w:t>
      </w:r>
    </w:p>
    <w:p>
      <w:pPr>
        <w:spacing w:after="0" w:line="199" w:lineRule="exact"/>
        <w:rPr>
          <w:sz w:val="20"/>
          <w:szCs w:val="20"/>
          <w:color w:val="auto"/>
        </w:rPr>
      </w:pPr>
    </w:p>
    <w:p>
      <w:pPr>
        <w:ind w:left="660" w:hanging="328"/>
        <w:spacing w:after="0" w:line="23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AI-Driven Security Operations (SecOps)</w:t>
      </w:r>
      <w:r>
        <w:rPr>
          <w:rFonts w:ascii="Times New Roman" w:cs="Times New Roman" w:eastAsia="Times New Roman" w:hAnsi="Times New Roman"/>
          <w:sz w:val="18"/>
          <w:szCs w:val="18"/>
          <w:color w:val="auto"/>
        </w:rPr>
        <w:t>—Our AI-Driven SecOps portfolio provides a comprehensive suite of cybersecurity solutions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identify, protect, detect, respond and recover from threats, all integrated within the Fortinet Security Fabric. At the core is </w:t>
      </w:r>
      <w:r>
        <w:rPr>
          <w:rFonts w:ascii="Times New Roman" w:cs="Times New Roman" w:eastAsia="Times New Roman" w:hAnsi="Times New Roman"/>
          <w:sz w:val="18"/>
          <w:szCs w:val="18"/>
          <w:color w:val="333333"/>
        </w:rPr>
        <w:t>FortiAnalyzer,</w:t>
      </w:r>
      <w:r>
        <w:rPr>
          <w:rFonts w:ascii="Times New Roman" w:cs="Times New Roman" w:eastAsia="Times New Roman" w:hAnsi="Times New Roman"/>
          <w:sz w:val="18"/>
          <w:szCs w:val="18"/>
          <w:color w:val="auto"/>
        </w:rPr>
        <w:t xml:space="preserve"> which serves as the central SOC platform with its unified data lake that provides built-in Security information and event management (“SIEM”), Security, orchestration, automation, and response (“SOAR”), XDR and threat intelligence, enabling centralized visibility, analytics and automation with complete control. FortiSIEM delivers robust security information and event management for more advanced SOC requirements, while FortiSOAR enables automated orchestration and playbook-driven response. This solution set also includes FortiEDR, FortiXDR, FortiNDR, FortiSandbox, FortiDeceptor, FortiDLP and FortiRecon, helping organizations achieve defense in depth, ensuring attackers face multiple layers of detection and mitigation across endpoints, networks, and applications. To bolster their security posture, organizations contending with staff shortages can tap into FortiGuard services, including SOC-as-a-Service, Managed detection and response, Security Posture Assessment and Incident Response. Finally, FortiAI generative AI assistance streamlines operations, helping security teams stay ahead of an ever-evolving threat landscape.</w:t>
      </w:r>
    </w:p>
    <w:p>
      <w:pPr>
        <w:spacing w:after="0" w:line="213" w:lineRule="exact"/>
        <w:rPr>
          <w:sz w:val="20"/>
          <w:szCs w:val="20"/>
          <w:color w:val="auto"/>
        </w:rPr>
      </w:pPr>
    </w:p>
    <w:p>
      <w:pPr>
        <w:jc w:val="both"/>
        <w:ind w:right="140" w:firstLine="648"/>
        <w:spacing w:after="0"/>
        <w:rPr>
          <w:sz w:val="20"/>
          <w:szCs w:val="20"/>
          <w:color w:val="auto"/>
        </w:rPr>
      </w:pPr>
      <w:r>
        <w:rPr>
          <w:rFonts w:ascii="Times New Roman" w:cs="Times New Roman" w:eastAsia="Times New Roman" w:hAnsi="Times New Roman"/>
          <w:sz w:val="18"/>
          <w:szCs w:val="18"/>
          <w:color w:val="auto"/>
        </w:rPr>
        <w:t>FortiGuard Labs is our cybersecurity threat intelligence and research organization comprised of experienced threat hunters, researchers, analysts, engineers and data scientists who develop and utilize Machine Learning (“ML”) and AI technologies to provide timely protection updates and actionable threat intelligence for the benefit of our customers. Using millions of global network sensors, FortiGuard Labs monitors the worldwide attack surface and employs AI to mine that data for new threats.</w:t>
      </w:r>
    </w:p>
    <w:p>
      <w:pPr>
        <w:spacing w:after="0" w:line="208"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FortiGuard and Other Security Services </w:t>
      </w:r>
      <w:r>
        <w:rPr>
          <w:rFonts w:ascii="Times New Roman" w:cs="Times New Roman" w:eastAsia="Times New Roman" w:hAnsi="Times New Roman"/>
          <w:sz w:val="18"/>
          <w:szCs w:val="18"/>
          <w:color w:val="auto"/>
        </w:rPr>
        <w:t>are a suite of AI-powered security capabilities that are natively integrated as part of the Fortinet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199" w:lineRule="exact"/>
        <w:rPr>
          <w:sz w:val="20"/>
          <w:szCs w:val="20"/>
          <w:color w:val="auto"/>
        </w:rPr>
      </w:pPr>
    </w:p>
    <w:p>
      <w:pPr>
        <w:ind w:right="120"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FortiCare Technical Support Service </w:t>
      </w:r>
      <w:r>
        <w:rPr>
          <w:rFonts w:ascii="Times New Roman" w:cs="Times New Roman" w:eastAsia="Times New Roman" w:hAnsi="Times New Roman"/>
          <w:sz w:val="18"/>
          <w:szCs w:val="18"/>
          <w:color w:val="auto"/>
        </w:rPr>
        <w:t>is a per-device technical support service, which provides customers access to experts to ensure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effective operations and maintenance of their Fortinet capabilities. Global technical support is offered 24x7 with flexible add-ons, including enhanced service-level agreements and priority hardware replacement through in-country and local depots. Organizations have the flexibility to procure different levels of service for different devices based on their availability needs. We offer three per-device support options tailored to the needs of our enterprise customers: FortiCare Elite, FortiCare Premium and FortiCare Essential. The FortiCare Elite service aims to provide a 15-minute response time for key product families.</w:t>
      </w:r>
    </w:p>
    <w:p>
      <w:pPr>
        <w:spacing w:after="0" w:line="213"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18"/>
          <w:szCs w:val="18"/>
          <w:color w:val="auto"/>
        </w:rPr>
        <w:t>In addition to FortiCare device level services, Advanced Support service options are available per account. These services are available for regional account support in three options: Core, Pro and Pro Plus, and can be available or provided on a global basis at the Pro and Pro Plus levels. Advanced Support brings support directly to each account, helping account holders to make their operations more effective and to plan and manage their solution lifecycle.</w:t>
      </w:r>
    </w:p>
    <w:p>
      <w:pPr>
        <w:spacing w:after="0" w:line="21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Additionally, we are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approximately two million certifications to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56" w:lineRule="exact"/>
        <w:rPr>
          <w:sz w:val="20"/>
          <w:szCs w:val="20"/>
          <w:color w:val="auto"/>
        </w:rPr>
      </w:pPr>
    </w:p>
    <w:p>
      <w:pPr>
        <w:ind w:left="660" w:right="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$1.63 billion and $3.17 billion during the three and six months ended June 30, 2025, an increase of 14% in each period, compared to $1.43 billion and $2.79 billion in the same periods last year. Product revenue was $508.9 million and $968.0 million during the three and six months ended June 30, 2025, an increase of 13% and 12%, respectively, compared to $451.9 million and $860.8 million in the same periods last year. Service revenue was $1.12 billion and $2.20 billion during the three and six months ended June 30, 2025, an increase of 14% in each period, compared to $982.4 million and $1.93 billion in the same periods last year.</w:t>
      </w:r>
    </w:p>
    <w:p>
      <w:pPr>
        <w:spacing w:after="0" w:line="210"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$1.32 billion and $2.56 billion during the three and six months ended June 30, 2025, an increase of 13% and 16%, respectively, compared to $1.16 billion and $2.21 billion in the same periods last year.</w:t>
      </w:r>
    </w:p>
    <w:p>
      <w:pPr>
        <w:spacing w:after="0" w:line="188"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margin was 80.7% and 80.8% during the three and six months ended June 30, 2025, a decrease of 0.1 percentage points and an increase of 1.6 percentage points, respectively, compared to 80.8% and 79.2% in the same periods last year.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right="2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$458.0 million and $911.8 million and during the three and six months ended June 30, 2025, an increase of 5% and 20%, respectively, compared to $437.2 million and $758.4 million in the same periods last year.</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was 28.1% and 28.8% during the three and six months ended June 30, 2025, a decrease of 2.4 percentage points and an increase of 1.6 percentage points, respectively, compared to 30.5% and 27.2% in the same periods last year.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short-term and long-term investments were $4.67 billion as of June 30,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$6.57 billion, including short-term deferred revenue of $3.41 billion, as of June 30, 2025.</w:t>
      </w:r>
    </w:p>
    <w:p>
      <w:pPr>
        <w:spacing w:after="0" w:line="252"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$1.32 billion during the six months ended June 30, 2025, an increase of $142.8 million, or 12%, compared to the same period last year.</w:t>
      </w:r>
    </w:p>
    <w:p>
      <w:pPr>
        <w:spacing w:after="0" w:line="189"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Revenue continues to be diversified globally, which remains a key strength of our business. During the three months ended June 30, 2025, the EMEA region, the Americas region and the APAC region contributed 41%, 40% and 19% of our total revenue, respectively, and increased 18%, 11% and 11% compared to the same period last year, respectively. During the six months ended June 30, 2025, EMEA, the Americas and APAC regions contributed 41%, 41% and 18% of our total revenue, respectively, and increased by 17%, 12% and 10% compared to the same period last year, respectively.</w:t>
      </w:r>
    </w:p>
    <w:p>
      <w:pPr>
        <w:spacing w:after="0" w:line="173" w:lineRule="exact"/>
        <w:rPr>
          <w:sz w:val="20"/>
          <w:szCs w:val="20"/>
          <w:color w:val="auto"/>
        </w:rPr>
      </w:pPr>
    </w:p>
    <w:p>
      <w:pPr>
        <w:jc w:val="both"/>
        <w:ind w:right="300" w:firstLine="648"/>
        <w:spacing w:after="0" w:line="250" w:lineRule="auto"/>
        <w:rPr>
          <w:sz w:val="20"/>
          <w:szCs w:val="20"/>
          <w:color w:val="auto"/>
        </w:rPr>
      </w:pPr>
      <w:r>
        <w:rPr>
          <w:rFonts w:ascii="Times New Roman" w:cs="Times New Roman" w:eastAsia="Times New Roman" w:hAnsi="Times New Roman"/>
          <w:sz w:val="18"/>
          <w:szCs w:val="18"/>
          <w:color w:val="auto"/>
        </w:rPr>
        <w:t>Product revenue increased 13% and 12% during the three and six months ended June 30, 2025, respectively, compared to the same periods last year. We experienced product revenue growth across our hardware products and software licensing, mainly benefited from growth in secure networking hardware products and term licenses. We expect our product revenue to continue to grow for the remainder of 2025.</w:t>
      </w:r>
    </w:p>
    <w:p>
      <w:pPr>
        <w:spacing w:after="0" w:line="204"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Service revenue growth during the three and six months ended June 30, 2025 was 14% in each period, as compared to the same periods last year, primarily driven by the strength of our security subscription revenue, which grew 15% and 16%, respectively. The increase was primarily due to the recognition of service revenue from our growing deferred revenue balance related to FortiGuard and other security subscriptions delivered to on-premise and cloud-based environments and strength in unified SASE and SecOps. We expect our service revenue to continue to grow for the remainder of 2025, with growth opportunities that include unified SASE and SecOps offerings as well as the year over year increase in current deferred revenue.</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billings were diversified on a geographic basis. During the three months ended June 30, 2025, seven countries represented approximately 50% of our billings and the remaining approximately 50% in the aggregate were from over 100 countries that each individually contributed less than 3% of our billings.</w:t>
      </w:r>
    </w:p>
    <w:p>
      <w:pPr>
        <w:spacing w:after="0" w:line="18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Total gross margin decreased 0.1 percentage points during the three months ended June 30, 2025 compared to the same period last year, primarily driven by increased cloud service costs, partially offset by the benefit from normalized inventory related reserves expense in comparison to elevated levels we saw in the same period in 2024. Total gross margin increased 1.6 percentage points during the six months ended June 30, 2025 compared to the same period last year, primarily driven by increased product gross margin benefiting from lower impact of inventory reserves expense in comparison to the first half of 2024. Our overall gross margin for the full year of 2025 will be impacted by service and product revenue mix and their respective gross margins. We do not expect our product gross margin to significantly change for the full year 2025 as compared to 2024. We expect our service gross margin to decrease for the full year of 2025 compared to 2024, as we expand our data center footprint and colocation and cloud hosting capacity to support the growth in our unified SASE and SecOps offerings. We currently do not expect the U.S. tariffs to have a meaningful impact on our gross margin. If tariffs increase in the future, we expect any resulting impact on our gross margin to mostly be on our hardware sales to U.S. customers.</w:t>
      </w:r>
    </w:p>
    <w:p>
      <w:pPr>
        <w:spacing w:after="0" w:line="212"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Operating expenses as a percentage of revenue increased 2.3 and 0.1 percentage points during the three and six months ended June 30, 2025, respectively, compared to the same periods last year, mainly driven by an increase in personnel-related costs in research and development and sales and marketing. Headcount increased to 14,898 employees as of June 30, 2025, a 10% increase compared to 13,527 as of June 30, 2024.</w:t>
      </w:r>
    </w:p>
    <w:p>
      <w:pPr>
        <w:spacing w:after="0" w:line="20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Operating margin decreased 2.4 percentage points during the three months ended June 30, 2025, as a result of increase in operating expenses as a percentage of revenue and decreased gross margin. Operating margin increased 1.6 percentage points during the six months ended June 30, 2025, as a result of improvement in gross margin. We expect our operating margin to decrease for the full year of 2025 compared to 2024 as we grow our sales and marketing and research and development workforce organically and through acquisitions, increase our product development investments, and expand our data center footprint and our colocation and cloud hosting capacity to support business growth. In addition, we expect higher operating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expenses driven in part by the weakening of the U.S. dollar compared to foreign currencies, as a portion of our expenses are incurred and paid in currencies other than the U.S. dollar.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and Geopolitical Developments</w:t>
      </w:r>
    </w:p>
    <w:p>
      <w:pPr>
        <w:spacing w:after="0" w:line="256"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212529"/>
        </w:rPr>
        <w:t>Our overall performance depends in part on worldwide economic and geopolitical conditions, such as trade policies and tariffs, GDP growth or contraction (both domestically and internationally), geopolitical instability and uncertainty, the war in Ukraine or tensions between China and Taiwan, and their impact on customer behavior. Worsening economic conditions, including tariffs, inflation, changing interest rates and other trade disruptions, slower growth, any recession, fluctuations in foreign exchange rates and other changes in economic conditions, may result in decreased sales productivity, lower growth and adversely affect our results of operations and financial performance. We have seen, and could continue to see,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 For example, earlier this year the United States announced tariffs on imported goods from most countries, some of which have been temporarily suspended or adjusted from time to time. U.S. tariffs, and any new or additional retaliatory tariffs that could be imposed by other countries in response to such U.S. tariffs could have a material adverse impact on global trade, supply chains worldwide, and other worldwide economic and geopolitical conditions, which could increase our product costs for the remainder of 2025 and beyond, and also affect customer sentiment in deciding whether to purchase our products. We continue to monitor the impact of tariffs on our business.</w:t>
      </w:r>
    </w:p>
    <w:p>
      <w:pPr>
        <w:spacing w:after="0" w:line="219"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color w:val="212529"/>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Part II, Item 1A “Risk Factors” in this Form 10-Q.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enterprise customers, service providers, systems integrators and large enterprises. We also sell our software licenses and cloud delivered services via different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secure networking, unified SASE and security operations technology products or users, depending on the end-customer’s size and security requirements.</w:t>
      </w:r>
    </w:p>
    <w:p>
      <w:pPr>
        <w:spacing w:after="0" w:line="21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customers purchase our hardware products, software licenses, SaaS subscriptions and cloud-delivered solutions, including our FortiGuard security subscriptions and FortiCare technical support services. Depending on the solution, these may be sold in a bundle or standalone as part of a solution sale. We generally invoice at the time of our sale for the total price of the products and services. Standard payment terms are generally no more than 60 days, though we may offer extended payment terms to certain distributors or large enterprises.</w:t>
      </w:r>
    </w:p>
    <w:p>
      <w:pPr>
        <w:spacing w:after="0" w:line="19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offer our products hosted in our own data centers, PoPs, and through colocations and major cloud service providers, including Amazon Web Services, Microsoft Azure and Google Cloud.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operating activities below under “—Liquidity and Capital Resources.” Deferred revenue, billings (non-GAAP), and free cash flow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are discussed immediately below the following table: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Or As Of</w:t>
            </w:r>
          </w:p>
        </w:tc>
      </w:tr>
      <w:tr>
        <w:trPr>
          <w:trHeight w:val="211"/>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3"/>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6,567.6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5,896.2</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(non-GAAP)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451.9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r>
    </w:tbl>
    <w:p>
      <w:pPr>
        <w:spacing w:after="0" w:line="304"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short-term and total deferred revenue growth and the mix of short-term and long-term deferred revenue because deferred revenue represents a significant portion of free cash flow and of revenue to be recognized in future periods. Deferred revenue was $6.57 billion as of June 30, 2025, an increase of $206.7 million, or 3%, from December 31, 2024. Short-term deferred revenue was $3.41 billion as of June 30, 2025, an increase of $136.3 million, or 4%, from December 31, 2024.</w:t>
      </w:r>
    </w:p>
    <w:p>
      <w:pPr>
        <w:spacing w:after="0" w:line="210"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GAAP plus the change in deferred revenue from the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and cash flows.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$1.78 billion for the three months ended June 30, 2025, an increase of 15% compared to $1.54 billion in the same period last year.</w:t>
      </w:r>
    </w:p>
    <w:p>
      <w:pPr>
        <w:spacing w:after="0" w:line="20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Our backlog may fluctuate over quarters. A reduction to backlog increases our aggregate billings and revenue during the quarter when delivered. If we experience supply chain shortages and cannot fulfill orders or if customers cancel or delay delivery of orders, our backlog may be affected, which will negatively impact our aggregate backlog to billings conversion and revenue in such quarter.</w:t>
      </w:r>
    </w:p>
    <w:p>
      <w:pPr>
        <w:spacing w:after="0" w:line="217"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4"/>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w:t>
            </w: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3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significant non-recurring items, such as proceeds from IP matters. We believe free cash flow to be a liquidity measure that provides useful information to management and investors about the amount of cash generated by the business that, after capital expenditures and net of proceeds from IP matters,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significant non-recurring items, such as proceeds from IP matters, investing activities other than capital expenditures and cash flows from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financing activities. Management accounts for this limitation by providing information about our proceeds from IP matters, our capital expenditures and other investing and financing activities on the condensed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5"/>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4"/>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8"/>
              </w:rPr>
              <w:t>451.9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342.0</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8"/>
              </w:rPr>
              <w:t>284.1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318.9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(50.1)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center"/>
              <w:ind w:left="652"/>
              <w:spacing w:after="0" w:line="203" w:lineRule="exact"/>
              <w:rPr>
                <w:sz w:val="20"/>
                <w:szCs w:val="20"/>
                <w:color w:val="auto"/>
              </w:rPr>
            </w:pPr>
            <w:r>
              <w:rPr>
                <w:rFonts w:ascii="Times New Roman" w:cs="Times New Roman" w:eastAsia="Times New Roman" w:hAnsi="Times New Roman"/>
                <w:sz w:val="18"/>
                <w:szCs w:val="18"/>
                <w:color w:val="auto"/>
              </w:rPr>
              <w:t>(414.2)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860"/>
              <w:spacing w:after="0" w:line="203" w:lineRule="exact"/>
              <w:rPr>
                <w:sz w:val="20"/>
                <w:szCs w:val="20"/>
                <w:color w:val="auto"/>
              </w:rPr>
            </w:pPr>
            <w:r>
              <w:rPr>
                <w:rFonts w:ascii="Times New Roman" w:cs="Times New Roman" w:eastAsia="Times New Roman" w:hAnsi="Times New Roman"/>
                <w:sz w:val="18"/>
                <w:szCs w:val="18"/>
                <w:color w:val="auto"/>
              </w:rPr>
              <w:t>(14.0)</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as of and for the six months ended June 30, 2025, as compared to the critical accounting policies and estimates described in our Annual Report on Form 10-K filed with the SEC on February 21, 2025 (the “Form 10-K”).</w:t>
      </w:r>
    </w:p>
    <w:p>
      <w:pPr>
        <w:spacing w:after="0" w:line="18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and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5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5"/>
              </w:rPr>
              <w:t>11 %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20" w:type="dxa"/>
            <w:vAlign w:val="bottom"/>
            <w:tcBorders>
              <w:bottom w:val="single" w:sz="8" w:color="CCEEFF"/>
            </w:tcBorders>
          </w:tcPr>
          <w:p>
            <w:pPr>
              <w:ind w:left="10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4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Total revenue increased $195.7 million, or 14%, during the three months ended June 30, 2025 compared to the same period last year. We continued to experience diversification of revenue geographically, and across customer and industry verticals. Revenue from all regions grew, with EMEA contributing the largest portion of the increase on an absolute dollar basis and on a percentage basis.</w:t>
      </w:r>
    </w:p>
    <w:p>
      <w:pPr>
        <w:spacing w:after="0" w:line="204" w:lineRule="exact"/>
        <w:rPr>
          <w:sz w:val="20"/>
          <w:szCs w:val="20"/>
          <w:color w:val="auto"/>
        </w:rPr>
      </w:pPr>
    </w:p>
    <w:p>
      <w:pPr>
        <w:jc w:val="both"/>
        <w:ind w:right="560" w:firstLine="648"/>
        <w:spacing w:after="0" w:line="242" w:lineRule="auto"/>
        <w:rPr>
          <w:sz w:val="20"/>
          <w:szCs w:val="20"/>
          <w:color w:val="auto"/>
        </w:rPr>
      </w:pPr>
      <w:r>
        <w:rPr>
          <w:rFonts w:ascii="Times New Roman" w:cs="Times New Roman" w:eastAsia="Times New Roman" w:hAnsi="Times New Roman"/>
          <w:sz w:val="18"/>
          <w:szCs w:val="18"/>
          <w:color w:val="auto"/>
        </w:rPr>
        <w:t>Product revenue increased $57.0 million, or 13%, during the three months ended June 30, 2025 compared to the same period last year. We experienced product revenue growth across our hardware products and software licensing, mainly driven by growth in secure networking hardware products and term licenses.</w:t>
      </w:r>
    </w:p>
    <w:p>
      <w:pPr>
        <w:spacing w:after="0" w:line="2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Service revenue increased $138.7 million, or 14%, during the three months ended June 30, 2025 compared to the same period last year. Security subscription revenue increased $85.7 million, or 15%, and technical support and other services revenue increased $53.0 million, or 13%, during the three months ended June 30, 2025 compared to the same period last year. The increase was primarily due to the recognition of revenue from our growing deferred revenue balance related to FortiGuard and other security subscriptions delivered to on-premise and cloud-based environments and growth in SaaS solutions, including unified SASE and SecOps.</w:t>
      </w:r>
    </w:p>
    <w:p>
      <w:pPr>
        <w:spacing w:after="0" w:line="225"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Of the service revenue recognized during the three months ended June 30, 2025, 90% was included in the deferred revenue balance as of March 31, 2025. Of the service revenue recognized during the three months ended June 30, 2024, 90% was included in the deferred revenue balance as of March 31, 2024.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9"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6"/>
                <w:szCs w:val="16"/>
                <w:color w:val="auto"/>
              </w:rPr>
            </w:pPr>
          </w:p>
        </w:tc>
        <w:tc>
          <w:tcPr>
            <w:tcW w:w="204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6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165.9</w:t>
            </w:r>
          </w:p>
        </w:tc>
        <w:tc>
          <w:tcPr>
            <w:tcW w:w="100" w:type="dxa"/>
            <w:vAlign w:val="bottom"/>
          </w:tcPr>
          <w:p>
            <w:pPr>
              <w:spacing w:after="0"/>
              <w:rPr>
                <w:sz w:val="19"/>
                <w:szCs w:val="19"/>
                <w:color w:val="auto"/>
              </w:rPr>
            </w:pP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155.1</w:t>
            </w:r>
          </w:p>
        </w:tc>
        <w:tc>
          <w:tcPr>
            <w:tcW w:w="120" w:type="dxa"/>
            <w:vAlign w:val="bottom"/>
          </w:tcPr>
          <w:p>
            <w:pPr>
              <w:spacing w:after="0"/>
              <w:rPr>
                <w:sz w:val="19"/>
                <w:szCs w:val="19"/>
                <w:color w:val="auto"/>
              </w:rPr>
            </w:pPr>
          </w:p>
        </w:tc>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8"/>
              </w:rPr>
              <w:t>149.0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119.9</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2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8"/>
              </w:rPr>
              <w:t>314.9</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275.0</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Total gross margin decreased 0.1 percentage points during the three months ended June 30, 2025 compared to the same period last year, primarily driven by decreased service gross margin, partially offset by increased product gross margin.</w:t>
      </w:r>
    </w:p>
    <w:p>
      <w:pPr>
        <w:spacing w:after="0" w:line="189"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Product gross margin increased 1.7 percentage points during the three months ended June 30, 2025 compared to the same period last year, as inventory related reserves expense normalized from the elevated levels we saw in the first half of 2024. Cost of product revenue was comprised primarily of third-party contract manufacturers’ costs, and costs of materials used in production.</w:t>
      </w:r>
    </w:p>
    <w:p>
      <w:pPr>
        <w:spacing w:after="0" w:line="211"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Service gross margin decreased 1.1 percentage points during the three months ended June 30, 2025 compared to the same period last year, primarily driven by an increase in cloud service costs as a result of our acquisitions and investment in data centers, partially offset by service revenue growth outpacing labor, replacement, and repair costs increase. Cost of service revenue was comprised primarily of personnel-related costs, replacement and repair costs, cloud services costs from data centers, colocation provider and cloud providers, infrastructure, software and delivery costs, and facility-related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left="734"/>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73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6"/>
                <w:szCs w:val="16"/>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0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jc w:val="both"/>
        <w:ind w:right="180" w:firstLine="648"/>
        <w:spacing w:after="0" w:line="239" w:lineRule="auto"/>
        <w:rPr>
          <w:sz w:val="20"/>
          <w:szCs w:val="20"/>
          <w:color w:val="auto"/>
        </w:rPr>
      </w:pPr>
      <w:r>
        <w:rPr>
          <w:rFonts w:ascii="Times New Roman" w:cs="Times New Roman" w:eastAsia="Times New Roman" w:hAnsi="Times New Roman"/>
          <w:sz w:val="18"/>
          <w:szCs w:val="18"/>
          <w:color w:val="auto"/>
        </w:rPr>
        <w:t>Research and development expense increased $44.1 million, or 27%, during the three months ended June 30, 2025 compared to the same period last year, primarily due to an increase of $31.3 million in personnel-related costs as a result of increased headcount and compensation rates to support the development of new products and continued enhancements to our existing products and the impact of the recent acquisitions. In addition, non-personnel-related product development costs increased $12.1 million. We currently intend to continue investing in our research and development organization, and expect research and development expense to increase in absolute dollars year over year during the remainder of 2025.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Sales and marketing expense increased $90.7 million, or 18%, during the three months ended June 30, 2025 compared to the same period last year, primarily due to an increase of $71.8 million in personnel-related costs, an increase of $7.0 million in marketing program and related expenses and unfavorable impact of foreign currency fluctuations. We currently intend to continue to make investments in sales and marketing resources, which are critical to support our future growth, and expect our sales and marketing expense to increase in absolute dollars year over year during the remainder of 2025.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remained flat during the three months ended June 30, 2025 compared to the same period last year. We currently expect general and administrative expense to increase in absolute dollars year over year during the remainder of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We generated operating income of $458.0 million during the three months ended June 30, 2025, an increase of $20.8 million, or 5%, compared to $437.2 million in the same period last year. Operating margin was 28.1% during the three months ended June 30, 2025, compared to 30.5% in the same period last year. The 2.4 percentage points decrease in operating margin was primarily due to 1.4 and 1.3 percentage points increases in research and development expense and sales and marketing expense as a percentage of revenue, respectively, and 0.1 percentage points decrease in gross margin, partially offset by 0.4 percentage points decrease in general and administrative expense as a percentage of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16"/>
                <w:szCs w:val="16"/>
                <w:color w:val="auto"/>
              </w:rPr>
            </w:pPr>
          </w:p>
        </w:tc>
        <w:tc>
          <w:tcPr>
            <w:tcW w:w="1440" w:type="dxa"/>
            <w:vAlign w:val="bottom"/>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460" w:type="dxa"/>
            <w:vAlign w:val="bottom"/>
          </w:tcPr>
          <w:p>
            <w:pPr>
              <w:spacing w:after="0"/>
              <w:rPr>
                <w:sz w:val="16"/>
                <w:szCs w:val="16"/>
                <w:color w:val="auto"/>
              </w:rPr>
            </w:pPr>
          </w:p>
        </w:tc>
        <w:tc>
          <w:tcPr>
            <w:tcW w:w="1760" w:type="dxa"/>
            <w:vAlign w:val="bottom"/>
            <w:vMerge w:val="restart"/>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60" w:type="dxa"/>
            <w:vAlign w:val="bottom"/>
            <w:gridSpan w:val="3"/>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45.0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38.3</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6.7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0.4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21.1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increased $6.7 million during the three months ended June 30, 2025 compared to the same period last year, primarily as a result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investment balances. Interest income varies depending on our average investment balances during the period, types and mix of investments,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Interest expense remained comparatively flat during the three months ended June 30, 2025 compared to the same period last year.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million change in other income (expense)—net during the three months ended June 30, 2025 compared to the same period last year, was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 $11.6 million gain on marketable equity securities and a $7.6 million increase in foreign currency exchange gains.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3220" w:type="dxa"/>
            <w:vAlign w:val="bottom"/>
            <w:tcBorders>
              <w:bottom w:val="single" w:sz="8" w:color="auto"/>
            </w:tcBorders>
            <w:gridSpan w:val="3"/>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260" w:type="dxa"/>
            <w:vAlign w:val="bottom"/>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6"/>
                <w:szCs w:val="16"/>
                <w:color w:val="auto"/>
              </w:rPr>
            </w:pPr>
          </w:p>
        </w:tc>
        <w:tc>
          <w:tcPr>
            <w:tcW w:w="132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6"/>
                <w:szCs w:val="16"/>
                <w:color w:val="auto"/>
              </w:rPr>
            </w:pPr>
          </w:p>
        </w:tc>
        <w:tc>
          <w:tcPr>
            <w:tcW w:w="138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6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1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8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77.1</w:t>
            </w:r>
          </w:p>
        </w:tc>
        <w:tc>
          <w:tcPr>
            <w:tcW w:w="132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76.5</w:t>
            </w:r>
          </w:p>
        </w:tc>
        <w:tc>
          <w:tcPr>
            <w:tcW w:w="138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15% for the three months ended June 30, 2025 compared to an effective tax rate of 16% for the same period last year. The provision for income taxes for the three months ended June 30, 2025 was primarily comprised of U.S. federal and state taxes, withholding taxes and foreign taxes totaling $114.6 million, which was favorably affected by a tax benefit of $25.1 million from the foreign-derived intangible income deduction (the “FDII deduction”) and excess tax benefits from stock-based compensation expense of $12.4 million.</w:t>
      </w:r>
    </w:p>
    <w:p>
      <w:pPr>
        <w:spacing w:after="0" w:line="20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provision for income taxes for the three months ended June 30, 2024 was comprised of U.S. federal and state taxes, withholding taxes, and foreign taxes totaling $109.9 million, which were favorably affected by a tax benefit of $27.2 million from the FDII deduction and excess tax benefits from stock-based compensation expense of $6.2 million.</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On July 4, 2025, H.R. 1, the Act, commonly referred to as the One Big Beautiful Bill Act, was enacted. The Act makes permanent certain elements of the Tax Cuts and Jobs Act, including immediate expensing of U.S. research and development expenditures, immediate expensing of certain eligible assets, and various modifications to the international tax framework. We are evaluating the impact of the Act on our consolidated financial statements, but our preliminary analysis indicates that our cash tax payments for 2025 could be reduced by approximately $100 million to $150 million and our GAAP effective tax rate for 2025 could increase by approximately 1 point as a result of the provisions of the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97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60" w:type="dxa"/>
            <w:vAlign w:val="bottom"/>
          </w:tcPr>
          <w:p>
            <w:pPr>
              <w:spacing w:after="0"/>
              <w:rPr>
                <w:sz w:val="16"/>
                <w:szCs w:val="16"/>
                <w:color w:val="auto"/>
              </w:rPr>
            </w:pPr>
          </w:p>
        </w:tc>
        <w:tc>
          <w:tcPr>
            <w:tcW w:w="1400" w:type="dxa"/>
            <w:vAlign w:val="bottom"/>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Loss from equity method investments decreased $11.9 million during the three months ended June 30, 2025 compared to the same period last year was primarily driven by an $8.0 million other-than-temporary impairment (“OTTI”) charge and a $3.8 million loss due to our proportionate share of Linksys’ financial results including our share of the amortization of the basis differences during the three months ended June 30, 2024.</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and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5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2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4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Total revenue increased $382.1 million, or 14%, during the six months ended June 30, 2025 compared to the same period last year. We continued to experience diversification of revenue geographically, and across customer and industry verticals. Revenue from all regions grew, with EMEA contributing the largest portion of the increase on an absolute dollar basis and on a percentage basis.</w:t>
      </w:r>
    </w:p>
    <w:p>
      <w:pPr>
        <w:spacing w:after="0" w:line="189"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Product revenue increased $107.2 million, or 12%, during the six months ended June 30, 2025 compared to the same period last year. We experienced product revenue growth across our hardware products and software licensing mainly benefited from growth in secure networking hardware products and term licenses.</w:t>
      </w:r>
    </w:p>
    <w:p>
      <w:pPr>
        <w:spacing w:after="0" w:line="204"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Service revenue increased $274.9 million, or 14%, during the six months ended June 30, 2025 compared to the same period last year. Security subscription revenue increased $171.9 million, or 16%, and technical support and other services revenue increased $103.0 million, or 12%, during the six months ended June 30, 2025 compared to the same period last year. The increase was primarily due to the recognition of revenue from our growing deferred revenue balance related to FortiGuard and other security subscriptions delivered to on-premise and cloud-based environments and growth in SaaS solutions, including unified SASE and SecOps.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the service revenue recognized during the six months ended June 30, 2025, 84% was included in the deferred revenue balance as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Of the service revenue recognized during the six months ended June 30, 2024, 84% was included in the deferred revenue balance as of</w:t>
      </w: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Pr>
          <w:p>
            <w:pPr>
              <w:spacing w:after="0"/>
              <w:rPr>
                <w:sz w:val="16"/>
                <w:szCs w:val="16"/>
                <w:color w:val="auto"/>
              </w:rPr>
            </w:pPr>
          </w:p>
        </w:tc>
        <w:tc>
          <w:tcPr>
            <w:tcW w:w="204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6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8"/>
              </w:rPr>
              <w:t>315.8</w:t>
            </w:r>
          </w:p>
        </w:tc>
        <w:tc>
          <w:tcPr>
            <w:tcW w:w="100" w:type="dxa"/>
            <w:vAlign w:val="bottom"/>
          </w:tcPr>
          <w:p>
            <w:pPr>
              <w:spacing w:after="0"/>
              <w:rPr>
                <w:sz w:val="19"/>
                <w:szCs w:val="19"/>
                <w:color w:val="auto"/>
              </w:rPr>
            </w:pP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337.9</w:t>
            </w:r>
          </w:p>
        </w:tc>
        <w:tc>
          <w:tcPr>
            <w:tcW w:w="120" w:type="dxa"/>
            <w:vAlign w:val="bottom"/>
          </w:tcPr>
          <w:p>
            <w:pPr>
              <w:spacing w:after="0"/>
              <w:rPr>
                <w:sz w:val="19"/>
                <w:szCs w:val="19"/>
                <w:color w:val="auto"/>
              </w:rPr>
            </w:pPr>
          </w:p>
        </w:tc>
        <w:tc>
          <w:tcPr>
            <w:tcW w:w="120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98"/>
              </w:rPr>
              <w:t>292.2</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241.8</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50.4</w:t>
            </w:r>
          </w:p>
        </w:tc>
        <w:tc>
          <w:tcPr>
            <w:tcW w:w="2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2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98"/>
              </w:rPr>
              <w:t>608.0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579.7</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28.3</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79.2 %</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Total gross margin increased 1.6 percentage points during the six months ended June 30, 2025 compared to the same period last year, primarily driven by increased product gross margin.</w:t>
      </w:r>
    </w:p>
    <w:p>
      <w:pPr>
        <w:spacing w:after="0" w:line="18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Product gross margin increased 6.7 percentage points during the six months ended June 30, 2025 compared to the same period last year, as inventory related reserves expense normalized from the elevated levels we saw in the first half of 2024. Cost of product revenue was comprised primarily of third-party contract manufacturers’ costs and costs of materials used in production.</w:t>
      </w:r>
    </w:p>
    <w:p>
      <w:pPr>
        <w:spacing w:after="0" w:line="204"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Service gross margin decreased 0.8 percentage points during the six months ended June 30, 2025 compared to the same period last year, primarily due to an increase in cloud service costs, partially offset by service revenue growth outpacing labor, replacement, and repair costs increase. Cost of service revenue was comprised primarily of personnel-related costs, replacement and repair costs, cloud services costs from data centers, colocation provider and cloud providers, infrastructure, software and delivery costs, and facility-related costs.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center"/>
              <w:ind w:left="67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left="75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73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6"/>
                <w:szCs w:val="16"/>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200" w:type="dxa"/>
            <w:vAlign w:val="bottom"/>
          </w:tcPr>
          <w:p>
            <w:pPr>
              <w:spacing w:after="0"/>
              <w:rPr>
                <w:sz w:val="16"/>
                <w:szCs w:val="16"/>
                <w:color w:val="auto"/>
              </w:rPr>
            </w:pPr>
          </w:p>
        </w:tc>
        <w:tc>
          <w:tcPr>
            <w:tcW w:w="9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Research and development expense increased $69.7 million, or 21%, during the six months ended June 30, 2025 compared to the same period last year, primarily due to an increase of $52.0 million in personnel-related costs as a result of increased headcount and compensation rates to support the development of new products and continued enhancements to our existing products and the impact of the recent acquisitions. In addition, non-personnel-related product development costs increased $19.3 million.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Sales and marketing expense increased $132.3 million, or 13%, during the six months ended June 30, 2025 compared to the same period last year, primarily due to an increase of $100.2 million in personnel-related costs. In addition, marketing program and related expenses increased $12.5 million and amortization expense of certain intangible assets increased $9.2 million.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$3.7 million, or 3%, during the six months ended June 30, 2025 compared to the same period last year, primarily due to an increase of $2.7 million in personnel-related costs and an increase of $1.0 million in subscriptions and other expense.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generated operating income of $911.8 million during the six months ended June 30, 2025, an increase of $153.4 million, or 20%, compared to $758.4 million in the same period last year. Operating margin was 28.8% during the six months ended June 30, 2025, compared to 27.2% in the same period last year. The 1.6 percentage points increase in operating margin was primarily due to 1.6 percentage points increase in gross margin.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2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460" w:type="dxa"/>
            <w:vAlign w:val="bottom"/>
          </w:tcPr>
          <w:p>
            <w:pPr>
              <w:spacing w:after="0"/>
              <w:rPr>
                <w:sz w:val="16"/>
                <w:szCs w:val="16"/>
                <w:color w:val="auto"/>
              </w:rPr>
            </w:pPr>
          </w:p>
        </w:tc>
        <w:tc>
          <w:tcPr>
            <w:tcW w:w="1760" w:type="dxa"/>
            <w:vAlign w:val="bottom"/>
            <w:vMerge w:val="restart"/>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20" w:type="dxa"/>
            <w:vAlign w:val="bottom"/>
            <w:gridSpan w:val="3"/>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89.3</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18.8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(9.5)</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0.6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50.1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Interest income increased $18.8 million during the six months ended June 30, 2025 compared to the same period last year, primarily as a result of investment balances. Interest income varies depending on our average investment balances during the period, types and mix of investments, and interest rates. Interest expense remained comparatively flat during the six months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ended June 30, 2025 compared to the same period last year. The $50.1 million change in other income (expense)—net during the six months ended June 30, 2025 compared to the same period last year, was primarily due to a gain on bargain purchase of $39.9 million related to our acquisition of Linksys in the first quarter of 2025 and a $12.1 million increase in foreign currency exchange gains.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2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220" w:type="dxa"/>
            <w:vAlign w:val="bottom"/>
          </w:tcPr>
          <w:p>
            <w:pPr>
              <w:jc w:val="center"/>
              <w:ind w:left="55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6"/>
                <w:szCs w:val="16"/>
                <w:color w:val="auto"/>
              </w:rPr>
            </w:pPr>
          </w:p>
        </w:tc>
        <w:tc>
          <w:tcPr>
            <w:tcW w:w="130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20" w:type="dxa"/>
            <w:vAlign w:val="bottom"/>
          </w:tcPr>
          <w:p>
            <w:pPr>
              <w:spacing w:after="0"/>
              <w:rPr>
                <w:sz w:val="16"/>
                <w:szCs w:val="16"/>
                <w:color w:val="auto"/>
              </w:rPr>
            </w:pPr>
          </w:p>
        </w:tc>
        <w:tc>
          <w:tcPr>
            <w:tcW w:w="13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6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8"/>
              </w:rPr>
              <w:t>173.6</w:t>
            </w:r>
          </w:p>
        </w:tc>
        <w:tc>
          <w:tcPr>
            <w:tcW w:w="130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116.0</w:t>
            </w:r>
          </w:p>
        </w:tc>
        <w:tc>
          <w:tcPr>
            <w:tcW w:w="134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57.6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1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Our effective tax rate was 17% for the six months ended June 30, 2025 compared to an effective tax rate of 14% for the same period last year. The provision for income taxes for the six months ended June 30, 2025 was primarily comprised of U.S. federal and state taxes, withholding taxes and foreign taxes that were $243.2 million and a tax provision of $30.6 million related to the derecognition of deferred tax assets from the business combination with Linksys. This provision for income taxes was favorably affected by a tax benefit of $50.9 million from the FDII deduction, and excess tax benefits from stock-based compensation expense of $49.3 million.</w:t>
      </w:r>
    </w:p>
    <w:p>
      <w:pPr>
        <w:spacing w:after="0" w:line="212"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The provision for income taxes for the six months ended June 30, 2024 was comprised of U.S. federal and state taxes, withholding taxes, and foreign taxes that were $191.3 million, which were favorably affected by a tax benefit of $50.8 million from the FDII deduction, and excess tax benefits from stock-based compensation expense of $24.5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1077"/>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740" w:type="dxa"/>
            <w:vAlign w:val="bottom"/>
          </w:tcPr>
          <w:p>
            <w:pPr>
              <w:spacing w:after="0"/>
              <w:rPr>
                <w:sz w:val="16"/>
                <w:szCs w:val="16"/>
                <w:color w:val="auto"/>
              </w:rPr>
            </w:pPr>
          </w:p>
        </w:tc>
        <w:tc>
          <w:tcPr>
            <w:tcW w:w="1160" w:type="dxa"/>
            <w:vAlign w:val="bottom"/>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center"/>
              <w:ind w:right="27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$29.1 million change in gain (loss) from equity method investments during the six months ended June 30, 2025 compared to the same period last year was primarily driven by a $10.8 million gain related to our acquisition of Linksys in the first quarter of 2025 and a $10.2 million loss due to our proportionate share of Linksys’ financial results including our share of the amortization of the basis differences and an OTTI charge of $8.0 million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93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09"/>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7"/>
        </w:trPr>
        <w:tc>
          <w:tcPr>
            <w:tcW w:w="8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8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Liquidity and capital resources are primarily impacted by our operating activities, as well as real estate purchases, other capital expenditures and business acquisitions, repurchases of our common stock, payment of taxes in connection with the net settlement of equity awards and proceeds from the issuance of common stock and investment grade debt.</w:t>
      </w:r>
    </w:p>
    <w:p>
      <w:pPr>
        <w:spacing w:after="0" w:line="190"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changing interest rates, economic strength, supply chain capacity and disruptions, tariffs and other trade restrictions, international conflicts, including the war in Ukraine or tensions between China and Taiwan, an increase in installment billing, and our ability to execute. We expect proceeds from the exercise of stock options in future years to continue to be impacted by the increased mix of restricted stock units and performance stock units versus stock options granted to our employees and to vary based on our share price.</w:t>
      </w:r>
    </w:p>
    <w:p>
      <w:pPr>
        <w:spacing w:after="0" w:line="21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During the six months ended June 30, 2025, we repurchased 4.6 million shares of common stock under the Repurchase program for an aggregate purchase price of $401.1 million. As of June 30, 2025, approximately $1.63 billion remained available for future share repurchases. Refer to Note 11. Equity Plans and Share Repurchase Program.</w:t>
      </w:r>
    </w:p>
    <w:p>
      <w:pPr>
        <w:spacing w:after="0" w:line="198"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We expect to continue to increase our data centers, PoPs, office and warehouse capacity to support growth and the expansion of existing services or introduction of new services. As we purchase new properties, we will work to incorporate these properties into the environmental goals we have established. We estimate capital expenditures to be between approximately $146 million and $196 million in second half of 2025.</w:t>
      </w:r>
    </w:p>
    <w:p>
      <w:pPr>
        <w:spacing w:after="0" w:line="204"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believe that our cash provided by operating activities, together with our existing cash, cash equivalents and investments will be sufficient to meet our anticipated cash needs and do not currently intend to retire our Senior Notes early. Refer to Note 9. Debt in Part I, Item 1 of this Quarterly Report on Form 10-Q for information on the Senior Notes. As of June 30, 2025, the current portion of long-term debt and long-term debt, net of unamortized discount and debt issuance costs, were $995.3 million.</w:t>
      </w:r>
    </w:p>
    <w:p>
      <w:pPr>
        <w:spacing w:after="0" w:line="208"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19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These inventory purchase commitments as of June 30, 2025 totaled $714.4 million, an increase of $123.3 million compared to $591.1 million as of December 31, 2024 due to fulfillment of customer demand as our supply availability improved and our continued efforts to work with contract manufacturers and suppliers to optimize our inventory and purchase commitments position. We record a liability for inventory purchase commitments in excess of our future demand forecasts consistent with the valuation of our excess and obsolete inventory. As of June 30, 2025 and December 31, 2024, the liability for these inventory purchase commitments was $41.9 million and $54.0 million, respectively, and was recorded in accrued liabilities on our condensed consolidated balance sheets.</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Inventory and supply chain management remain areas of focus as we balance the need to maintain supply chain flexibility to help ensure</w:t>
      </w:r>
    </w:p>
    <w:p>
      <w:pPr>
        <w:spacing w:after="0" w:line="16"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competitive lead times with the risk of inventory obsolescence because of supply constraints, rapidly changing technology, and customer requirements. We believe the amount of our inventory and purchase commitments is appropriate for our current and expected customer demand and revenue levels.</w:t>
      </w:r>
    </w:p>
    <w:p>
      <w:pPr>
        <w:spacing w:after="0" w:line="199" w:lineRule="exact"/>
        <w:rPr>
          <w:sz w:val="20"/>
          <w:szCs w:val="20"/>
          <w:color w:val="auto"/>
        </w:rPr>
      </w:pPr>
    </w:p>
    <w:p>
      <w:pPr>
        <w:jc w:val="both"/>
        <w:ind w:right="620" w:firstLine="648"/>
        <w:spacing w:after="0" w:line="242" w:lineRule="auto"/>
        <w:rPr>
          <w:sz w:val="20"/>
          <w:szCs w:val="20"/>
          <w:color w:val="auto"/>
        </w:rPr>
      </w:pPr>
      <w:r>
        <w:rPr>
          <w:rFonts w:ascii="Times New Roman" w:cs="Times New Roman" w:eastAsia="Times New Roman" w:hAnsi="Times New Roman"/>
          <w:sz w:val="18"/>
          <w:szCs w:val="18"/>
          <w:color w:val="auto"/>
        </w:rPr>
        <w:t>We also have open purchase orders and contractual obligations in the ordinary course of business for which we have not received goods or services. As of June 30, 2025, we had $102.7 million in other contractual commitments having a remaining term in excess of one year that are non-cancelable.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significant changes to our leases as disclosed in our Annual Report on Form 10-K for the year ended December 31, 2024.</w:t>
      </w:r>
    </w:p>
    <w:p>
      <w:pPr>
        <w:spacing w:after="0" w:line="239"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As of June 30, 2025, our cash, cash equivalents and short-term and long-term investments of $4.67 billion were invested primarily in deposit accounts, commercial paper, corporate debt securities, U.S. government and agency securities, certificates of deposit and term deposits, money market funds and marketable equity securities. It is our investment policy to invest excess cash in a manner that preserves capital, provides liquidity, and generates return without significantly increasing risk. We believe that we have sufficient liquidity to meet our operating requirements for at least the next 12 months and thereafter for the foreseeable future, including our foreseeable future supply obligations, debt repayment, capital expenditures and share repurchases.</w:t>
      </w:r>
    </w:p>
    <w:p>
      <w:pPr>
        <w:spacing w:after="0" w:line="195"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$240.1 million as of June 30, 2025 and $207.8 million as of December 31, 2024.</w:t>
      </w:r>
    </w:p>
    <w:p>
      <w:pPr>
        <w:spacing w:after="0" w:line="17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and debt retirement;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paid for taxes and macroeconomic impacts such as rising inflation and changing interest rates; the war in Ukraine and tensions between China and Taiwan.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1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accounts receivable—net, deferred revenue, deferred contract costs, inventory, deferred tax assets, accounts payable, and accrued liabilities.</w:t>
      </w:r>
    </w:p>
    <w:p>
      <w:pPr>
        <w:spacing w:after="0" w:line="20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operating activities during the six months ended June 30, 2025 provided cash flows of $1.32 billion as a result of the continued growth of our business, improved profitability and our ability to successfully manage our working capital.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Changes in operating assets and liabilities were primarily driven by a decrease of $262.7 million in accounts receivable—net, an increase of $204.8 million in our deferred revenue and an increase of $202.5 million in deferred contract costs during six months ended June 30, 2025. In addition, changes in operating assets and liabilities were driven by an increase of $79.6 million in inventory, an increase of $75.3 million in deferred tax asset, an increase of $46.8 million in accounts payable, and an increase of $32.1 million in prepaid expenses and other current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investments in various companies and business acquisitions. Historically,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cash used in investing activities was $377.0 million, primarily driven by $234.3 million used for the purchases of property and equipment, $101.2 million spent for purchases of investments, net of maturities and sales of investments, and $41.6 million used for payments made in connection with business combinations, net of cash acquired.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the Amended Plan.</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cash used in financing activities was $446.9 million, driven by $401.1 million used to repurchase shares of our common stock and $45.7 million used to pay tax withholding, net of proceeds from the issuance of common stock.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during the six months ended June 30, 2025 compared to the disclosures in Part II, Item 7A of the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June 30, 2025.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June 30, 2025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or 15d-15(f) under the Exchange Act) during the quarter ended June 30, 2025,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10. Commitments and Contingencies in Part I, Item 1 of this Quarterly Report on Form 10-Q for additional information.</w:t>
      </w: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62" w:lineRule="exact"/>
        <w:rPr>
          <w:sz w:val="20"/>
          <w:szCs w:val="20"/>
          <w:color w:val="auto"/>
        </w:rPr>
      </w:pPr>
    </w:p>
    <w:p>
      <w:pPr>
        <w:ind w:left="1300" w:right="8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including macroeconomic and regional economic challenges resulting, for example, from a recession, tariffs, disruptions of global supply chains or other economic downturn, increased inflation or possible stagflation in certain geographies, changing interest rates, the war in Ukraine, tensions between China and Taiwan, or other factors;</w:t>
      </w:r>
    </w:p>
    <w:p>
      <w:pPr>
        <w:spacing w:after="0" w:line="202"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strategy, productivity, retention and execution, and our ability to attract and retain new end-customers or sell additional products and services to our existing end-customers, including customer demand for platform solutions like ours versus point solutions;</w:t>
      </w:r>
    </w:p>
    <w:p>
      <w:pPr>
        <w:spacing w:after="0" w:line="188" w:lineRule="exact"/>
        <w:rPr>
          <w:rFonts w:ascii="Times New Roman" w:cs="Times New Roman" w:eastAsia="Times New Roman" w:hAnsi="Times New Roman"/>
          <w:sz w:val="18"/>
          <w:szCs w:val="18"/>
          <w:color w:val="auto"/>
        </w:rPr>
      </w:pPr>
    </w:p>
    <w:p>
      <w:pPr>
        <w:ind w:left="1300" w:right="78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anticipate market changes related to cloud-based solutions and to sell, support and meet service level agreements related to cloud-based solutions;</w:t>
      </w:r>
    </w:p>
    <w:p>
      <w:pPr>
        <w:spacing w:after="0" w:line="188" w:lineRule="exact"/>
        <w:rPr>
          <w:rFonts w:ascii="Times New Roman" w:cs="Times New Roman" w:eastAsia="Times New Roman" w:hAnsi="Times New Roman"/>
          <w:sz w:val="18"/>
          <w:szCs w:val="18"/>
          <w:color w:val="auto"/>
        </w:rPr>
      </w:pPr>
    </w:p>
    <w:p>
      <w:pPr>
        <w:ind w:left="1300" w:right="140" w:hanging="644"/>
        <w:spacing w:after="0" w:line="26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shortages, including chips and other components, and product inventory shortages, including those caused by factors outside of our control, such as international trade disputes or tariffs, labor or supply chain disruptions, inflation and other cost increases, international conflicts, terrorism, wars, such as the war in Ukraine, tensions between China and Taiwan, critical infrastructure attacks, natural disasters, health emergencies, epidemics and pandemics, power outages and civil unrest;</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including future inventory purchase commitments;</w:t>
      </w:r>
    </w:p>
    <w:p>
      <w:pPr>
        <w:spacing w:after="0" w:line="252"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increase backlog or future inventory purchase commitments and lead to price decreases;</w:t>
      </w:r>
    </w:p>
    <w:p>
      <w:pPr>
        <w:spacing w:after="0" w:line="188"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or regulatory cost increases and any lack of market acceptance of our price increases designed to help offset any supplier or regulatory cost increases;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42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 or changes in shipping terms;</w:t>
      </w:r>
    </w:p>
    <w:p>
      <w:pPr>
        <w:spacing w:after="0" w:line="188" w:lineRule="exact"/>
        <w:rPr>
          <w:rFonts w:ascii="Times New Roman" w:cs="Times New Roman" w:eastAsia="Times New Roman" w:hAnsi="Times New Roman"/>
          <w:sz w:val="18"/>
          <w:szCs w:val="18"/>
          <w:color w:val="auto"/>
        </w:rPr>
      </w:pPr>
    </w:p>
    <w:p>
      <w:pPr>
        <w:jc w:val="both"/>
        <w:ind w:left="1300" w:right="12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the global economy, disruption of global supply chains and creation of significant volatility and disruption of the financial markets due to factors such as tariffs and policy disputes, increased inflation or possible stagflation in certain geographies, changing interest rates, the war in Ukraine, tensions between China and Taiwan and other factors;</w:t>
      </w:r>
    </w:p>
    <w:p>
      <w:pPr>
        <w:spacing w:after="0" w:line="202" w:lineRule="exact"/>
        <w:rPr>
          <w:rFonts w:ascii="Times New Roman" w:cs="Times New Roman" w:eastAsia="Times New Roman" w:hAnsi="Times New Roman"/>
          <w:sz w:val="18"/>
          <w:szCs w:val="18"/>
          <w:color w:val="auto"/>
        </w:rPr>
      </w:pPr>
    </w:p>
    <w:p>
      <w:pPr>
        <w:ind w:left="1300" w:right="20" w:hanging="644"/>
        <w:spacing w:after="0" w:line="281" w:lineRule="auto"/>
        <w:tabs>
          <w:tab w:leader="none" w:pos="12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w:t>
      </w:r>
    </w:p>
    <w:p>
      <w:pPr>
        <w:spacing w:after="0" w:line="191"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compromising of our internal enterprise IT networks, our operational networks, our research and development networks, our back-end labs and cloud stacks hosted in our data centers or PoPs, colocation vendors or public cloud providers, and resulting harm to public perception of our products and services;</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02" w:lineRule="exact"/>
        <w:rPr>
          <w:rFonts w:ascii="Times New Roman" w:cs="Times New Roman" w:eastAsia="Times New Roman" w:hAnsi="Times New Roman"/>
          <w:sz w:val="18"/>
          <w:szCs w:val="18"/>
          <w:color w:val="auto"/>
        </w:rPr>
      </w:pPr>
    </w:p>
    <w:p>
      <w:pPr>
        <w:jc w:val="both"/>
        <w:ind w:left="1300" w:right="6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negative impact on results of operations from any acquisition or equity investment, as well as integration risks related to product plans and products and risks of negative impact by such acquisitions and equity investments on our financial results;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expectations of our operational performance relating to our sustainability commitments;</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customer agreements which contain service-level agreements, under which we guarantee specified availability of our platform and solutions;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and evolving data and other security requirements and enforcement across certain jurisdictions;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as a result of certain events or changes in circumstances;</w:t>
      </w:r>
    </w:p>
    <w:p>
      <w:pPr>
        <w:spacing w:after="0" w:line="252"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188"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lifecycles, refresh cycles or price decreases;</w:t>
      </w:r>
    </w:p>
    <w:p>
      <w:pPr>
        <w:spacing w:after="0" w:line="188"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international trade disputes or tariffs, labor or supply chain disruptions, inflation and other cost increases, international conflicts, terrorism, wars, such as the war in Ukraine, tensions between China and Taiwan, critical infrastructure attacks, natural disasters, health emergencies, epidemics and pandemics, power outages and civil unrest;</w:t>
      </w:r>
    </w:p>
    <w:p>
      <w:pPr>
        <w:spacing w:after="0" w:line="206" w:lineRule="exact"/>
        <w:rPr>
          <w:rFonts w:ascii="Times New Roman" w:cs="Times New Roman" w:eastAsia="Times New Roman" w:hAnsi="Times New Roman"/>
          <w:sz w:val="18"/>
          <w:szCs w:val="18"/>
          <w:color w:val="auto"/>
        </w:rPr>
      </w:pPr>
    </w:p>
    <w:p>
      <w:pPr>
        <w:ind w:left="1300" w:right="160" w:hanging="644"/>
        <w:spacing w:after="0" w:line="261"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including the time it takes to hire sales personnel, the timing of hiring and our ability to hire and retain effective sales personnel, our efforts to align our sales capacity and productivity with market demand and any negative impact to our sales and the effectiveness of our sales team based on changes to sales compensation or to our sales compensation plan;</w:t>
      </w:r>
    </w:p>
    <w:p>
      <w:pPr>
        <w:spacing w:after="0" w:line="206"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and unpredictability of timing to close larger enterprise and large organization deals, and the risk that our sales representatives do not effectively sell products and services;</w:t>
      </w:r>
    </w:p>
    <w:p>
      <w:pPr>
        <w:spacing w:after="0" w:line="189" w:lineRule="exact"/>
        <w:rPr>
          <w:sz w:val="20"/>
          <w:szCs w:val="20"/>
          <w:color w:val="auto"/>
        </w:rPr>
      </w:pPr>
    </w:p>
    <w:p>
      <w:pPr>
        <w:ind w:left="1300" w:hanging="644"/>
        <w:spacing w:after="0" w:line="261"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IoT and OT security opportunities and product refresh cycles;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9" w:lineRule="auto"/>
        <w:tabs>
          <w:tab w:leader="none" w:pos="12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spacing w:after="0" w:line="184" w:lineRule="exact"/>
        <w:rPr>
          <w:rFonts w:ascii="Times New Roman" w:cs="Times New Roman" w:eastAsia="Times New Roman" w:hAnsi="Times New Roman"/>
          <w:sz w:val="17"/>
          <w:szCs w:val="17"/>
          <w:color w:val="auto"/>
        </w:rPr>
      </w:pPr>
    </w:p>
    <w:p>
      <w:pPr>
        <w:ind w:left="1300" w:right="10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6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and fluctuations in backlog levels, which could result in more variability and less predictability in our quarter-to-quarter revenue and operating results;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 including those related to tariffs;</w:t>
      </w:r>
    </w:p>
    <w:p>
      <w:pPr>
        <w:spacing w:after="0" w:line="175" w:lineRule="exact"/>
        <w:rPr>
          <w:rFonts w:ascii="Times New Roman" w:cs="Times New Roman" w:eastAsia="Times New Roman" w:hAnsi="Times New Roman"/>
          <w:sz w:val="18"/>
          <w:szCs w:val="18"/>
          <w:color w:val="auto"/>
        </w:rPr>
      </w:pPr>
    </w:p>
    <w:p>
      <w:pPr>
        <w:jc w:val="both"/>
        <w:ind w:left="1300" w:right="30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caused by 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clearances and certifications that are applicable to our ability to conduct business with the U.S. federal government, other foreign and local governments and other industries and sectors;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and hosted security solutions, including increased demand for such services and uncertainty associated with transition to providing such services, on our billings, revenue, operating margins and free cash flow;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66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 and inventory levels;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 and manage and control operating expenses in order to maintain or improve our operating margins;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collection for our contracts or the contractual term of service sold;</w:t>
      </w:r>
    </w:p>
    <w:p>
      <w:pPr>
        <w:spacing w:after="0" w:line="252"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 and the tax treatment of research and development expenses and the related impact of cash from operations;</w:t>
      </w:r>
    </w:p>
    <w:p>
      <w:pPr>
        <w:spacing w:after="0" w:line="188"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shift or migration from physical appliances that deliver on-premises network security to cloud and SaaS-based security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88"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 such as that caused by the war in Ukraine, tensions between China and Taiwan, and any disruption or negative impact on our ability to sell to, ship product to and support customers in certain regions based on trade restrictions, embargoes and export control law restrictions;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52"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188"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investments and future acquisition and development plans; and</w:t>
      </w:r>
    </w:p>
    <w:p>
      <w:pPr>
        <w:spacing w:after="0" w:line="188"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regional component bans, and requirements for local manufacturing.</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such as a possible recession and possible impacts of inflation or stagflation, tariffs or other trade disruptions, changing interest rates, reduced information technology spending, including firewall and other security spending, or any economic downturn or recession, may adversely impact our business.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tariffs or other trade disruptions, changing interest rates, geopolitical instability and uncertainty, a reduction in information technology spending regardless of macroeconomic conditions, the effects of epidemics and pandemics and the impact of the war in Ukraine or tensions between China and Taiwan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spacing w:after="0" w:line="21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existence of inflation in certain economies has resulted in, and may continue to result in, changing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0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efforts to withdraw from or materially modify international trade agreements, change tax provisions related to global manufacturing and sales or impose new tariffs, economic sanctions or related legislation, could adversely affect our financial condition and results of operations.</w:t>
      </w:r>
    </w:p>
    <w:p>
      <w:pPr>
        <w:spacing w:after="0" w:line="18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Given the international nature of our operations,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0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or increased border taxes or tariffs on foreign imports), trade barriers, economic sanctions and other related policies could harm our results of operations. Recently, the United States has imposed additional import tariffs on certain goods from different countries. For example, earlier this year, the United States announced tariffs on imported goods from most countries, some of which have been temporarily suspended or adjusted from time to time. As a result, other countries have imposed retaliatory tariffs on goods exported from the United States and both the United States and foreign countries have threatened to alter or terminate current trade agreements. While we do not currently expect these tariffs to have a significant effect on our raw material and product import costs, if the United States expands increased tariffs, or if retaliatory trade measures are taken by other countries in response to the U.S. tariffs, the cost of our products could increase, our operations could be disrupted or we could be required to raise our prices, which may result in the loss of customers and harm to our reputation and operating performance. U.S. tariffs, and any new or additional retaliatory tariffs that may be imposed by foreign countries, may also adversely affect our customers and, consequently, demand for our products. The announcement of these tariffs has recently resulted in significant volatility in the stock market. We are monitoring this evolving situation and there can be no assurance that we will be able to mitigate the impacts of any trade measures on our business, which could adversely impact our business, operating results, financial condition, and our stock price.</w:t>
      </w:r>
    </w:p>
    <w:p>
      <w:pPr>
        <w:spacing w:after="0" w:line="21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administrations,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and free cash flow growth may slow or may not continue, and our operating margins may decline.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 slowdown in pipeline growth or for demand for our products or services generally, a shift in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demand from products to services, decrease in services revenue growth, increased competition, execution challenges including sales execution challenges and lack of optimal sales productivity, worldwide or regional economic challenges based on inflation or possible stagflation, a regional recession or a recession in the global economy, changing interest rates, as a result of regional conflicts,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investments, including construction, acquisition, development or leasing of new data centers, data center expansions or office buildings, could involve significant risks to our business.</w:t>
      </w:r>
    </w:p>
    <w:p>
      <w:pPr>
        <w:spacing w:after="0" w:line="18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order to sustain our growth in certain of our existing and new markets, we may acquire or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spacing w:after="0" w:line="207"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and delays for data center equipment, including items such as generators and switchgear;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budget changes;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prices for and delays in obtaining building supplies, raw materials and data center equipment;</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labor disputes and work stoppages with contractors, subcontractors and other third parties;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environmental or regulatory issues and geological problems;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permitting and approvals to open from public agencies and utility companies;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lack of power access or unexpected increases in power needs or connectivity;</w:t>
      </w:r>
    </w:p>
    <w:p>
      <w:pPr>
        <w:spacing w:after="0" w:line="252"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for any reason to meet customer requirements and service level agreements, and any resulting penalties or liabilities related thereto;</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expectations regarding sustainability;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site readiness leading to our failure to meet commitments made to customers; and</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8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207"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pacing w:after="0" w:line="2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20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for 27% of our total net accounts receivable as of June 30, 2025.</w:t>
      </w:r>
    </w:p>
    <w:p>
      <w:pPr>
        <w:spacing w:after="0" w:line="18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spacing w:after="0" w:line="21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Six distributor customers who purchase directly from us accounted for 63% of our total net accounts receivable in the aggregate as of June 30, 2025. See Note 14. Segment Information in Part I, Item 1 of this Quarterly Report on Form 10-Q for distributor customers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provide channel partners with specific programs to assist them with selling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1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Additionally, if our channel partners experience issues such as cyberattacks or other operational disruptions, it could negatively impact our ability to receive orders from them and, among other things, may adversely affect our billings and revenue.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or changes in shipping terms could cause our billings and revenue to fall below expected levels</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223"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52"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40" w:hanging="644"/>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manufacturing or shipping based on power outages, system failures, labor disputes or constraints, excessive demand, natural disasters, geopolitical matters or widespread public health problems including pandemics and epidemics;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52"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1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subscriptions and FortiCare technical support services, and revenue from these services may decline or fluctuate. Because we recognize revenue from these services over the term of the relevant service period, downturns or upturns in sales of FortiGuard and other security subscriptions and FortiCare technical support services are not immediately reflected in full in our operating results.</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subscriptions and FortiCare technical support services revenue has historically accounted for a significant percentage of our total revenue. Revenue from the sale of new, or from the renewal of existing, FortiGuard and other security subscriptions and FortiCare technical support service contracts may decline and fluctuate as a result of a number of factors, including fluctuations and changes in the mix of our sales from secure networking, unified SASE and security operations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such sales. If our sales of new, or renewals of existing, FortiGuard and other security subscriptions and FortiCare technical support service contracts decline, our revenue and revenue growth may decrease and our business could suffer. In addition, in the event significant customers require payment terms for FortiGuard and other security subscriptions and FortiCare technical support services in arrears or for shorter periods of time than annually, such as monthly or quarterly, this may negatively impact our billings and revenue. Furthermore, we recognize FortiGuard and other security subscriptions and FortiCare technical support services revenue ratably over the term of the service period, which is typically from one to five years. As a result, much of the FortiGuard and other security subscriptions and FortiCare technical support services revenue we report each quarter is the recognition of deferred revenue from FortiGuard and other security subscriptions and FortiCare technical support service contracts entered into during previous quarters or years. Consequently, a decline in new or renewed FortiGuard and other security subscriptions and FortiCare technical support service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subscriptions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not maintain or improve our competitive position.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Check Point Software Technologies Ltd., Cisco Systems, Inc. (“Cisco”), CrowdStrike Holdings, Inc. (“CrowdStrike”), F5 Networks, Inc., Hewlett-Packard Enterprise, Huawei Technologies Co., Ltd., Juniper Networks, Inc., Microsoft Corporation (“Microsoft”), Netskope Inc., Palo Alto Networks, Inc., SonicWALL, Inc., Sophos Group Plc, and Zscaler, Inc. (“Zscaler”).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competitive advantages include:</w:t>
      </w:r>
    </w:p>
    <w:p>
      <w:pPr>
        <w:spacing w:after="0" w:line="225"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expertise in certain single point solutions;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certain of our larger competitors may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For example, in February 2025, our Chief Financial Officer, Keith Jensen, announced his upcoming retirement after 11 years at Fortinet.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and may incur other debt in the future, which may adversely affect our financial condition and future financial results.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we had an aggregate of $995.3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3"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to competitive pressures and to adverse economic and industry conditions;</w:t>
      </w:r>
    </w:p>
    <w:p>
      <w:pPr>
        <w:spacing w:after="0" w:line="252"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our industries.</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20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1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203" w:lineRule="exact"/>
        <w:rPr>
          <w:sz w:val="20"/>
          <w:szCs w:val="20"/>
          <w:color w:val="auto"/>
        </w:rPr>
      </w:pPr>
    </w:p>
    <w:p>
      <w:pPr>
        <w:ind w:left="1300" w:hanging="644"/>
        <w:spacing w:after="0" w:line="258"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chain or in manufacturing or shipping, or decreases in demand by channel partners or end-customers, including any such disruption or decreases caused by factors outside of our control such as international trade disputes or tariffs, labor or supply chain disruptions, inflation and other cost increases, international conflicts, terrorism, wars, such as the war in Ukraine, tensions between China and Taiwan, critical infrastructure attacks, natural disasters, health emergencies, epidemics and pandemics, power outages and civil unrest;</w:t>
      </w:r>
    </w:p>
    <w:p>
      <w:pPr>
        <w:spacing w:after="0" w:line="210" w:lineRule="exact"/>
        <w:rPr>
          <w:rFonts w:ascii="Times New Roman" w:cs="Times New Roman" w:eastAsia="Times New Roman" w:hAnsi="Times New Roman"/>
          <w:sz w:val="18"/>
          <w:szCs w:val="18"/>
          <w:color w:val="auto"/>
        </w:rPr>
      </w:pPr>
    </w:p>
    <w:p>
      <w:pPr>
        <w:jc w:val="both"/>
        <w:ind w:left="1300" w:hanging="644"/>
        <w:spacing w:after="0" w:line="312" w:lineRule="auto"/>
        <w:tabs>
          <w:tab w:leader="none" w:pos="129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right="2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changes in trade agreements, tariffs and conflicts such as the war in Ukraine, tensions between China and Taiwan and any expansions thereof, could adversely affect our business and financial performance;</w:t>
      </w:r>
    </w:p>
    <w:p>
      <w:pPr>
        <w:spacing w:after="0" w:line="188"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foreign markets, such as any economic instability caused by economic downturns or recessions, could adversely affect our business and financial performance;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IP rights in some countries;</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88" w:lineRule="exact"/>
        <w:rPr>
          <w:rFonts w:ascii="Times New Roman" w:cs="Times New Roman" w:eastAsia="Times New Roman" w:hAnsi="Times New Roman"/>
          <w:sz w:val="18"/>
          <w:szCs w:val="18"/>
          <w:color w:val="auto"/>
        </w:rPr>
      </w:pPr>
    </w:p>
    <w:p>
      <w:pPr>
        <w:ind w:left="1300" w:right="94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61"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the Digital Operational Resilience Act (“DORA”), import and export control laws, trade laws and regulations, tariffs and retaliatory measures, trade barriers and economic sanctions;</w:t>
      </w:r>
    </w:p>
    <w:p>
      <w:pPr>
        <w:spacing w:after="0" w:line="206"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8" w:lineRule="exact"/>
        <w:rPr>
          <w:rFonts w:ascii="Times New Roman" w:cs="Times New Roman" w:eastAsia="Times New Roman" w:hAnsi="Times New Roman"/>
          <w:sz w:val="18"/>
          <w:szCs w:val="18"/>
          <w:color w:val="auto"/>
        </w:rPr>
      </w:pPr>
    </w:p>
    <w:p>
      <w:pPr>
        <w:jc w:val="both"/>
        <w:ind w:left="1300" w:right="200" w:hanging="644"/>
        <w:spacing w:after="0" w:line="266"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exportation of our products and services, any of which could have a material adverse effect on our business and results of operations.</w:t>
      </w:r>
    </w:p>
    <w:p>
      <w:pPr>
        <w:spacing w:after="0" w:line="25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4" w:lineRule="exact"/>
        <w:rPr>
          <w:sz w:val="20"/>
          <w:szCs w:val="20"/>
          <w:color w:val="auto"/>
        </w:rPr>
      </w:pPr>
    </w:p>
    <w:p>
      <w:pPr>
        <w:ind w:left="1300" w:right="16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5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75" w:lineRule="exact"/>
        <w:rPr>
          <w:rFonts w:ascii="Times New Roman" w:cs="Times New Roman" w:eastAsia="Times New Roman" w:hAnsi="Times New Roman"/>
          <w:sz w:val="18"/>
          <w:szCs w:val="18"/>
          <w:color w:val="auto"/>
        </w:rPr>
      </w:pPr>
    </w:p>
    <w:p>
      <w:pPr>
        <w:ind w:left="1300" w:right="86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88"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8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and scalability, expect a broader range of services, including design, implementation and post go-live services, demand that vendors take on a larger share of risks,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1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8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extended security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20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periodically implement new sales compensation plans, which may change the method, amount and timing for sales-based compensation for our sales personnel. If we are not successful in implementing new sales compensation plans, or members of our sales team react negatively to such new plans, this may negatively impact our ability to execute and grow sales and we may be unable to hire, retain and motivate qualified sales personnel.</w:t>
      </w:r>
    </w:p>
    <w:p>
      <w:pPr>
        <w:spacing w:after="0" w:line="199"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sales are to government organizations, which subjects us to a number of regulatory requirements, their own supply chain constraints and contractual requirements, challenges and risks.</w:t>
      </w:r>
    </w:p>
    <w:p>
      <w:pPr>
        <w:spacing w:after="0" w:line="18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89" w:lineRule="exact"/>
        <w:rPr>
          <w:sz w:val="20"/>
          <w:szCs w:val="20"/>
          <w:color w:val="auto"/>
        </w:rPr>
      </w:pPr>
    </w:p>
    <w:p>
      <w:pPr>
        <w:ind w:left="1300" w:right="16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02" w:lineRule="exact"/>
        <w:rPr>
          <w:rFonts w:ascii="Times New Roman" w:cs="Times New Roman" w:eastAsia="Times New Roman" w:hAnsi="Times New Roman"/>
          <w:sz w:val="18"/>
          <w:szCs w:val="18"/>
          <w:color w:val="auto"/>
        </w:rPr>
      </w:pPr>
    </w:p>
    <w:p>
      <w:pPr>
        <w:ind w:left="1300" w:right="60" w:hanging="644"/>
        <w:spacing w:after="0" w:line="254"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 For example, the newly formed Department of Government Efficiency (“DOGE”) has implemented new policies and oversight mechanisms aimed at reducing federal expenditures, streamlining procurement, and increasing operational efficiency. DOGE has reduced the number of federal employees and agencies. Our business operations, contract awards, and revenue streams are subject to DOGE actions, which may introduce risks to our financial performance and strategic growth. In addition, DOGE could eliminate or reduce the operations of an agency that we work with, terminate employees with whom we have business relations with or cancel or modify a contract with us. Any failure to comply with DOGE actions, shifts in federal procurement strategies, or budgetary reductions imposed by the agency could adversely impact our financial results, competitive positioning, and overall business operations; and</w:t>
      </w:r>
    </w:p>
    <w:p>
      <w:pPr>
        <w:spacing w:after="0" w:line="215"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impact of the war in Ukraine, tensions between China and Taiwan,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20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if we do not have certain certifications, this may restrict our ability to sell to certain customers until we have obtained certain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deals to certified competitors for deals where FedRAMP certification is a requirement.</w:t>
      </w:r>
    </w:p>
    <w:p>
      <w:pPr>
        <w:spacing w:after="0" w:line="20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1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Services, Industry and Customers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errors or vulnerabilities, including critical vulnerabilities, in our products or services, the failure of our products or services to detect or prevent a security incident or the misuse of our products could harm our and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operational results and reputation.</w:t>
      </w:r>
    </w:p>
    <w:p>
      <w:pPr>
        <w:spacing w:after="0" w:line="18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or an unintended disruption to our customers’ operations. Additionally, any perception that our products have vulnerabilities, whether or not accurate, and any actual vulnerabilities may harm our operational results and reputation, more significantly as compared to other companies in other industries.</w:t>
      </w:r>
    </w:p>
    <w:p>
      <w:pPr>
        <w:spacing w:after="0" w:line="21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For example, we recently discovered, and subsequently released to customers an advisory update and patch for, a critical vulnerability in our FortiManager product. We are subject to various risks due to the FortiManager vulnerability, including reputational harm, adverse impacts to customer relationships, potential litigation, and additional regulatory scrutiny, which could negatively impact our business, operating results and financial condition. There can be no assurance that posts on our FortiGuard Labs website, including with respect to the recently announced FortiManager vulnerability, will be sufficiently timely, accurate or complete or that those customers will see such posts or take steps to mitigate the risk of vulnerabilities, and certain customers may be negatively impacted.</w:t>
      </w:r>
    </w:p>
    <w:p>
      <w:pPr>
        <w:spacing w:after="0" w:line="21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or we inadvertently release a product or an update to a product with a defect in it, then the security and integrity of our products and the updates to those products that our customers receive could be exploited by third parties or insiders, or our solutions or updates thereto could cause an unintended disruption to our customers’ operations. Different customers deploy and use our products in different ways, and certain deployments and usages may subject our products to adverse conditions that may negatively impact the effectiveness and useful lifetime of our products. Further, customers may choose not to apply patches in a timely manner for business or operational reasons, or may neglect to upgrade at all and may run unpatched or unsupported devices against our guidance and industry best practice. Such lack of action to remediate known product vulnerabilities in the customer environment could negatively impact their own security posture, increasing the likelihood of exploitation and negatively impacting our reputation. Our networks and products, including cloud-based technology, could be targeted by attacks specifically designed to disrupt our business and harm our operational results and reputation.</w:t>
      </w:r>
    </w:p>
    <w:p>
      <w:pPr>
        <w:spacing w:after="0" w:line="20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cannot ensure that our products will prevent all adverse security events or not cause disruptions to our customers’ operations.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subscriptions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or to disruptions in operations.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An actual, possible or perceived security incident or infection of the network of one of our end-customers or a disruption to their operations, regardless of whether the incident is attributable to the failure of our products or services to prevent or detect the security incident or be the cause of such disruption,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including critical vulnerabilities, in our products, or misuse of our products, could result in:</w:t>
      </w:r>
    </w:p>
    <w:p>
      <w:pPr>
        <w:spacing w:after="0" w:line="183" w:lineRule="exact"/>
        <w:rPr>
          <w:sz w:val="20"/>
          <w:szCs w:val="20"/>
          <w:color w:val="auto"/>
        </w:rPr>
      </w:pPr>
    </w:p>
    <w:p>
      <w:pPr>
        <w:ind w:left="1300" w:right="120" w:hanging="644"/>
        <w:spacing w:after="0" w:line="282"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225"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18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 connect to customers, vendors and partners systems and provide services, or our research and development networks, our back-end labs and cloud stacks hosted in our data centers or PoPs,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1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whether in our owned data centers, cloud providers or colocations,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whether in our owned data centers, cloud providers or colocations.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whether in our owned data centers, cloud providers or colocations,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AI, and malicious parties may use AI to help attack our solutions, systems, and our customers.</w:t>
      </w:r>
    </w:p>
    <w:p>
      <w:pPr>
        <w:spacing w:after="0" w:line="21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including critical vulnerabilities, in our product software and infrastructure in an effort to gain entry into our customers’ networks. In addition, in general threat actors use dark web forums to sell organizations’ stolen credentials. If threat actors sell valid credentials used by our customers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18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subscriptions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spacing w:after="0" w:line="19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product shortages, which may result in lost sales, higher expenses and excess inventory, which may require us to sell our products at discounts and lead to inventory charges or write-offs.</w:t>
      </w:r>
    </w:p>
    <w:p>
      <w:pPr>
        <w:spacing w:after="0" w:line="20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health pandemics and epidemics or manmade events such as civil unrest, labor disruption, tariffs, cyber events, international trade disputes, international conflicts, terrorism, wars or other foreign conflicts, such as the war in Ukraine or tensions between China and Taiwan, and critical infrastructure attacks, our business and financial results could be materially and adversely impacted. The conflicts in the Middle East highlights potential risks associated with geopolitical instability in the region, including disruption to shipping routes, longer lead times for components and products, increased insurance costs for vessels passing through conflict zones, 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response to component shortages in previous periods, we increased our purchase order commitments. Our suppliers have in some instances and may in the future require us to accept or pay for components and finished goods regardless of our level of sales in a particular period, which may negatively or unpredictably impact our operating results and financial condition. For additional information and a further discussion of impacts and risks related to our purchase commitments with our suppliers, refer to Note 10. Commitments and Contingencies in Part I, Item 1 of this Quarterly Report on Form 10-Q.</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which may result in inventory charges and/or write-down of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inadequate to enable us to effectively manage inventory. If we are unable to effectively manage our inventory and that of our channel partners, our results of operations could be adversely affected.</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services or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services or enhancements to the market;</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and service functionality and to supply products and services that meet this demand in a timely fashion;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products and services successful;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 and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and services by our competitors;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or services incorporating open source software.</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spacing w:after="0" w:line="1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spacing w:after="0" w:line="20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2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 particular subscription cloud-based business models and the future demand for our subscription cloud-based models by customers. Additionally, if we are unable to meet the demand to provide our services effectively through a subscription cloud-based model, we may lose customers to competitors.</w:t>
      </w:r>
    </w:p>
    <w:p>
      <w:pPr>
        <w:spacing w:after="0" w:line="21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products from multiple vendors.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additionally third-party manufacturing cost increases and changes in the geopolitical environment could result in lower gross margins and free cash flow.</w:t>
      </w:r>
    </w:p>
    <w:p>
      <w:pPr>
        <w:spacing w:after="0" w:line="20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Accton,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labor disruption, cyber events, international trade disputes, tariffs, international conflicts, terrorism, wars or other foreign conflicts, such as the war in Ukraine or tensions between China and Taiwan,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90% of our hardware is manufactured in Taiwan. Any increase in tensions between China and Taiwan, including threats of military actions or escalation of military activities, could adversely affect our manufacturing operations in Taiwan, which, given the large percentage of our hardware that is manufactured in Taiwan, could have significant impacts on our business and operations.</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proprietary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2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1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Central Processing Units from Intel Corporation (“Intel”) and Advanced Micro Devices, Inc., network and wireless chips from Broadcom Inc., Marvell Technology Group Ltd., Qualcomm Incorporated and Intel, and memory devices from Intel, Micron Technology, ADATA Technology Co., Ltd., Toshiba Corporation, Samsung Electronics Co., Ltd. and Western Digital Technologies, Inc.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1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in some instances have been required to and may in the future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219"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distributors’ inventories in North America. If future price protection adjustments are higher than expected, our future results of operations could be materially and adversely affected.</w:t>
      </w:r>
    </w:p>
    <w:p>
      <w:pPr>
        <w:spacing w:after="0" w:line="2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Additionally, while our U.S distribution agreements contain price protections, our international distribution agreements do not contain such protections.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False positive detection of legitimate non-malicious files as viruses or malware or false identification of legitimate emails as spam, could adversely affect our business.</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heuristics, ML or AI features in our products, which attempt to identify viruses and other threats not based on any known signatures but based on characteristics or anomalies that may indicate that a particular item is a threat. With these features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2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5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14"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existing systems, processes, and controls may not prevent or detect all errors, omissions, or fraud.</w:t>
      </w:r>
    </w:p>
    <w:p>
      <w:pPr>
        <w:spacing w:after="0" w:line="21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0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inaccuracies in our projected capital expenditures could negatively impact our business, operating results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p>
    <w:p>
      <w:pPr>
        <w:spacing w:after="0" w:line="25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AI presents new risks and challenges that may affect our business. We have made, and expect to continue to make investments to integrate AI and ML technology into our solutions, as evidenced by our acquisition of Lacework. AI presents risks, challenges, and potentially unintended consequences that could impact our ability to effectively use of AI successfully in our business. Given the nature of AI technology, we face an evolving regulatory landscape and significant competition from other companies. Our AI efforts may not be successful and our competitors may incorporate AI into their products more quickly or more successfully than us, which could impair our ability to compete effectively and adversely affect our financial results. Data practices by us or others, AI governance, AI development and validation practices that result in controversy could also impair the acceptance of AI solutions. This in turn could undermine confidence in the decisions, predictions, analysis, and effectiveness of our AI-related initiatives. The rapid evolution of AI, including potential government regulation of AI, may require significant additional resources related to AI in our solutions. Our AI-related initiatives may result in new or enhanced governmental or regulatory scrutiny, including regarding the use of AI in our solutions and the marketing of products using AI, litigation, customer reporting or documentation requirements, ethical or social concerns, or other complications. For example, AI technologies, including generative AI, may create content that appears correct but is factually inaccurate (hallucinations) or flawed, or contains copyrighted or other protected material, and if our customers or others use this flawed content to their detriment, or use our AI solutions outside of their intended use cases with an adverse impact to their operations, we may be exposed to brand or reputational harm, competitive harm, or legal liability. If customer data is used to train AI based systems and such data is not adequately anonymized, this may lead to breach of sensitive information and loss of customer trust. The use of AI also brings ethical issues related to privacy, surveillance and consent of use, as well as potential for bias and discrimination. Any of the foregoing could adversely affect our business, reputation, or financial results.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technology in our IT infrastructure could improve internal process but poses security and privacy risks.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adoption of AI in internal processes presents an opportunity to bolster decision making, productivity and customer satisfaction, but the new technology poses risks. AI can be exploited by hackers and malicious actors to develop advanced cyberattacks, bypass security measures, and exploit system vulnerabilities. The use of AI involves handling large amounts of data. If the security measures around the usage of AI are insufficient, there’s risk of data breaches, leading to unauthorized access to sensitive information. Failure to comply with data protection regulations (such as GDPR or the California Consumer Privacy Act (the “CCPA”) and DORA) can result in legal consequences. The intellectual property risks associated with AI include uncertainties around the ownership of AI-generated works, potential infringement of existing patents and copyrights, unauthorized use of third-party data, and exposure of proprietary algorithms or trade secrets. Dependence on AI systems or AI vendors means that any downtime or outages can disrupt business operations. Usage of our confidential data to train the AI models by us or our vendors, could result in legal risk, especially if it involves customer data. Other risks that have been observed in AI models and documented, include risks related to bias, discrimination, job displacements, and violating human rights.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and we may be subject to claims by others that we infringe their propriety technology.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1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 or result in loss of IP.</w:t>
      </w:r>
    </w:p>
    <w:p>
      <w:pPr>
        <w:spacing w:after="0" w:line="15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such as the Alorica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5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2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development practices, procedures and policies. For example, we may experience difficulties integrating an acquired company’s ERP or CRM systems, SaaS delivery systems, sales support, cyber risk management and compliance and other processes and systems, with our current systems and processes. We may also find that the personnel of the companies we acquire do not adequately adhere to our corporate policies and it may take time to bring them in line with our policies and standards. If we are unable to do so efficiently or effectively, our reputation and business, operating results and financial condition could be adversely impacted.</w:t>
      </w:r>
    </w:p>
    <w:p>
      <w:pPr>
        <w:spacing w:after="0" w:line="2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results of certain businesses that we invest in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Further, we are required to record goodwill and intangible assets that are subject to impairment testing on a regular basis and potential periodic impairment charges, which may adversely affect our financial condition and results of operations.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1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or negatively impact our ability to contract.</w:t>
      </w:r>
    </w:p>
    <w:p>
      <w:pPr>
        <w:spacing w:after="0" w:line="18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(the “Framework”) following certain changes to U.S. law intended to address the concerns underlying that court decision with respect to transfers of personal data to the United States. As of December 2024, we are an active participant in the Framework. However, there remains a possibility that our business could be negatively impacted by restrictions on transfers of GDPR-regulated personal data (including transfers made by our customers) to other areas we operate. In addition, it is possible that the updates to U.S. law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1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21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Selling our solutions to governments, both within the U.S and internationally,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such governments,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1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Additionally, this evolving global landscape could impact on our ability to conduct business in certain jurisdictions if the laws, regulation and industry standards in such jurisdictions changed in a manner that is adverse to our business.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spacing w:after="0" w:line="21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spacing w:after="0" w:line="20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8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p>
    <w:p>
      <w:pPr>
        <w:spacing w:after="0" w:line="21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in articles and in complex objects. The SCIP database is established under the WFD and managed by the European Chemicals Agency. We have incurred costs in order to comply with this new requirement. Similar laws and regulations have been passed or are pending in the European Economic Area and the UK.</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EU’s WEEE Directive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 regulations involving single-use plastics in packaging resulting in import taxes in certain countries in the EU have resulted in additional costs to source appropriate packaging for hardware. Alternatively, for our cloud based systems, new EU energy efficiency laws relating to the power usage effectiveness of data centers will require us to source specific data centers or retrofit existing ones to meet the stringent energy efficiency requirements.</w:t>
      </w:r>
    </w:p>
    <w:p>
      <w:pPr>
        <w:spacing w:after="0" w:line="20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1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corporate responsibility and sustainability factors may impose additional costs and expose us to new risks.</w:t>
      </w:r>
    </w:p>
    <w:p>
      <w:pPr>
        <w:spacing w:after="0" w:line="18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Certain investors, employees, customers and other stakeholders have a focus on corporate responsibility. Some investors may use these non-financial performance factors to guide their investment strategies and, in some cases, may choose not to invest in us if they believe our policies and actions relating to corporate responsibility are inadequate. Investor demand for measurement of non-financial performance is addressed by third-party providers of sustainability assessment and ratings on companies. The criteria by which our corporate responsibility practices are assessed may change due to the constant evolution of the global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standards set by various constituencies.</w:t>
      </w:r>
    </w:p>
    <w:p>
      <w:pPr>
        <w:spacing w:after="0" w:line="2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Furthermore, in the event that we communicate certain initiatives and goals regarding corporate responsibility and sustainability matters,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1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86"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67"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corporate tax rates;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tax payments;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52"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88" w:lineRule="exact"/>
        <w:rPr>
          <w:rFonts w:ascii="Times New Roman" w:cs="Times New Roman" w:eastAsia="Times New Roman" w:hAnsi="Times New Roman"/>
          <w:sz w:val="18"/>
          <w:szCs w:val="18"/>
          <w:color w:val="auto"/>
        </w:rPr>
      </w:pPr>
    </w:p>
    <w:p>
      <w:pPr>
        <w:ind w:left="1300" w:right="820" w:hanging="644"/>
        <w:spacing w:after="0" w:line="282"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1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ectPr>
          <w:pgSz w:w="11900" w:h="16838" w:orient="portrait"/>
          <w:cols w:equalWidth="0" w:num="1">
            <w:col w:w="11200"/>
          </w:cols>
          <w:pgMar w:left="320" w:top="27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2024, our internal controls over financial reporting were effective, we cannot predict the outcome of our testing in</w:t>
      </w:r>
    </w:p>
    <w:p>
      <w:pPr>
        <w:spacing w:after="0" w:line="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2025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0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or industry analysts stop publishing research or reports about our business, issue unfavorable commentary, downgrade our shares of common stock or publish inaccurate information, our stock price and trading volume could decline.</w:t>
      </w:r>
    </w:p>
    <w:p>
      <w:pPr>
        <w:spacing w:after="0" w:line="18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equity research and industry analysts publish about us or our business. If one or more of these analysts ceases coverage of our company or fails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share price to decline if our 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which may be exacerbated by share repurchases under our Share Repurchase Program.</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six months ended June 30, 2025, the closing price of our common stock ranged from $84.71 to $114.57 per share.</w:t>
      </w:r>
    </w:p>
    <w:p>
      <w:pPr>
        <w:spacing w:after="0" w:line="2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jc w:val="both"/>
        <w:ind w:right="70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86" w:lineRule="exact"/>
        <w:rPr>
          <w:sz w:val="20"/>
          <w:szCs w:val="20"/>
          <w:color w:val="auto"/>
        </w:rPr>
      </w:pPr>
    </w:p>
    <w:p>
      <w:pPr>
        <w:jc w:val="both"/>
        <w:ind w:right="40" w:firstLine="648"/>
        <w:spacing w:after="0" w:line="272" w:lineRule="auto"/>
        <w:rPr>
          <w:sz w:val="20"/>
          <w:szCs w:val="20"/>
          <w:color w:val="auto"/>
        </w:rPr>
      </w:pPr>
      <w:r>
        <w:rPr>
          <w:rFonts w:ascii="Times New Roman" w:cs="Times New Roman" w:eastAsia="Times New Roman" w:hAnsi="Times New Roman"/>
          <w:sz w:val="17"/>
          <w:szCs w:val="17"/>
          <w:color w:val="auto"/>
        </w:rPr>
        <w:t>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As of June 30, 2025, approximately $1.63 billion remained available for future share repurchases.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60" w:hanging="644"/>
        <w:spacing w:after="0" w:line="282" w:lineRule="auto"/>
        <w:tabs>
          <w:tab w:leader="none" w:pos="1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right="26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1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 economic downturn, the possibility of a recession, inflation, changing interest rates, changes to government spending and regulations, and weakening product demand could adversely affect our business and financial performance.</w:t>
      </w:r>
    </w:p>
    <w:p>
      <w:pPr>
        <w:spacing w:after="0" w:line="18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Economic challenges caused by economic downturn, any resulting recession, inflation, GDP impact (both domestically and internationally) or change in interest rates can weaken and harm our financial position. The U.S. capital markets have experienced and continue to experience extreme volatility and disruption. Further deterioration of the macroeconomic environment and regulatory action may adversely affect our business, operating results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instability, changes in trade policies and agreements and conflicts could adversely affect our business and financial performance.</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Economic uncertainty in various global markets caused by political instability and conflict, such as the war in Ukraine or tensions between China and Taiwan has resulted, and may continue to result in weakened demand for our products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the transition in administrations, changing in the U.S. government’s trade policy and the United States’ ongoing trade disputes with Russia, China and other countries, including the United States’ tariffs, and any new or additional retaliatory tariffs from foreign countries. The continuing effect of any or all of these events could adversely impact demand for our products, harm our operations and weaken our financial results.</w:t>
      </w:r>
    </w:p>
    <w:p>
      <w:pPr>
        <w:spacing w:after="0" w:line="210"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20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or tensions between China and Taiwan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channel partners or end-customers that impacts sales at the end of our quarter could have a significant adverse impact on our quarterly results. For example, if one of our channel partners experiences issues such as cyberattacks or other operational disruptions at the end of a quarter, it could negatively impact our ability to receive orders from them and, among other things, may adversely affect our billings and revenue.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we repurchased under the Repurchase Program during the three months ended June 30, 2025 (in millions, except average price paid per share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7"/>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1"/>
                <w:szCs w:val="1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1"/>
                <w:szCs w:val="11"/>
                <w:color w:val="auto"/>
              </w:rPr>
            </w:pPr>
          </w:p>
        </w:tc>
        <w:tc>
          <w:tcPr>
            <w:tcW w:w="19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94"/>
        </w:trPr>
        <w:tc>
          <w:tcPr>
            <w:tcW w:w="404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 or Program</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96"/>
        </w:trPr>
        <w:tc>
          <w:tcPr>
            <w:tcW w:w="4040" w:type="dxa"/>
            <w:vAlign w:val="bottom"/>
            <w:gridSpan w:val="2"/>
            <w:vMerge w:val="continue"/>
          </w:tcPr>
          <w:p>
            <w:pPr>
              <w:spacing w:after="0"/>
              <w:rPr>
                <w:sz w:val="8"/>
                <w:szCs w:val="8"/>
                <w:color w:val="auto"/>
              </w:rPr>
            </w:pPr>
          </w:p>
        </w:tc>
        <w:tc>
          <w:tcPr>
            <w:tcW w:w="1940" w:type="dxa"/>
            <w:vAlign w:val="bottom"/>
            <w:vMerge w:val="restart"/>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8"/>
                <w:szCs w:val="8"/>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gridSpan w:val="2"/>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2025</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May 31, 2025</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0" w:type="dxa"/>
            <w:vAlign w:val="bottom"/>
          </w:tcPr>
          <w:p>
            <w:pPr>
              <w:spacing w:after="0"/>
              <w:rPr>
                <w:sz w:val="1"/>
                <w:szCs w:val="1"/>
                <w:color w:val="auto"/>
              </w:rPr>
            </w:pPr>
          </w:p>
        </w:tc>
      </w:tr>
      <w:tr>
        <w:trPr>
          <w:trHeight w:val="223"/>
        </w:trPr>
        <w:tc>
          <w:tcPr>
            <w:tcW w:w="40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Strategic Advisory Council Member Agreement</w:t>
      </w:r>
    </w:p>
    <w:p>
      <w:pPr>
        <w:spacing w:after="0" w:line="24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On August 5, 2025, we entered into an agreement with our former Chief Financial Officer, Keith Jensen, to join as a member of our Strategic Advisory Council. Under the agreement, Mr. Jensen will receive $50,000 in cash per year, paid quarterly, and he will receive a restricted stock unit valued at $50,000, subject to approval by our board of directors. Either party may terminate the agreement at any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Rule 10b5-1 Trading Plans</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reported, our former Chief Financial Officer, Keith Jensen, retired on May 15, 2025. In connection with Mr. Jensen’s retirement, his pre-arranged written stock sale plan for the sale of shares of our common stock adopted on March 6, 2024 was terminated.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0" w:type="dxa"/>
            <w:vAlign w:val="bottom"/>
          </w:tcPr>
          <w:p>
            <w:pPr>
              <w:spacing w:after="0"/>
              <w:rPr>
                <w:sz w:val="1"/>
                <w:szCs w:val="1"/>
                <w:color w:val="auto"/>
              </w:rPr>
            </w:pPr>
          </w:p>
        </w:tc>
      </w:tr>
      <w:tr>
        <w:trPr>
          <w:trHeight w:val="176"/>
        </w:trPr>
        <w:tc>
          <w:tcPr>
            <w:tcW w:w="78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r>
              <w:rPr>
                <w:rFonts w:ascii="Times New Roman" w:cs="Times New Roman" w:eastAsia="Times New Roman" w:hAnsi="Times New Roman"/>
                <w:sz w:val="18"/>
                <w:szCs w:val="18"/>
                <w:color w:val="000000"/>
                <w:vertAlign w:val="superscript"/>
              </w:rPr>
              <w:t>†</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Change of Control Severance Agreement, effective as of May 15, 2025, between the</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72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Company and Christiane Ohlgart.</w:t>
            </w: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r>
              <w:rPr>
                <w:rFonts w:ascii="Times New Roman" w:cs="Times New Roman" w:eastAsia="Times New Roman" w:hAnsi="Times New Roman"/>
                <w:sz w:val="18"/>
                <w:szCs w:val="18"/>
                <w:color w:val="000000"/>
                <w:vertAlign w:val="superscript"/>
              </w:rPr>
              <w:t>†</w:t>
            </w:r>
          </w:p>
        </w:tc>
        <w:tc>
          <w:tcPr>
            <w:tcW w:w="7200" w:type="dxa"/>
            <w:vAlign w:val="bottom"/>
            <w:gridSpan w:val="3"/>
            <w:vMerge w:val="continue"/>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gridSpan w:val="2"/>
            <w:vMerge w:val="continue"/>
          </w:tcPr>
          <w:p>
            <w:pPr>
              <w:spacing w:after="0"/>
              <w:rPr>
                <w:sz w:val="18"/>
                <w:szCs w:val="18"/>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Fortinet Strategic Advisory Council Member Agreement, dated as of August 5, 2025,</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between the Company and Keith Jensen.</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72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7200" w:type="dxa"/>
            <w:vAlign w:val="bottom"/>
            <w:gridSpan w:val="3"/>
            <w:vMerge w:val="continue"/>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gridSpan w:val="2"/>
            <w:vMerge w:val="continue"/>
          </w:tcPr>
          <w:p>
            <w:pPr>
              <w:spacing w:after="0"/>
              <w:rPr>
                <w:sz w:val="18"/>
                <w:szCs w:val="18"/>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Quarterly Report 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Form 10-Q for the quarter ended June 30, 2025 is formatted in inline XBRL.</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ind w:left="80" w:hanging="72"/>
        <w:spacing w:after="0" w:line="216" w:lineRule="auto"/>
        <w:tabs>
          <w:tab w:leader="none" w:pos="8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Furnished herewith.</w:t>
      </w:r>
    </w:p>
    <w:p>
      <w:pPr>
        <w:ind w:left="80" w:hanging="72"/>
        <w:spacing w:after="0" w:line="199" w:lineRule="auto"/>
        <w:tabs>
          <w:tab w:leader="none" w:pos="8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79"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0" w:lineRule="exact"/>
        <w:rPr>
          <w:sz w:val="20"/>
          <w:szCs w:val="20"/>
          <w:color w:val="auto"/>
        </w:rPr>
      </w:pPr>
    </w:p>
    <w:p>
      <w:pPr>
        <w:ind w:left="3540"/>
        <w:spacing w:after="0"/>
        <w:tabs>
          <w:tab w:leader="none" w:pos="7140" w:val="left"/>
          <w:tab w:leader="none" w:pos="7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Ken Xie, Chief Executive Officer and Chairman</w:t>
      </w:r>
    </w:p>
    <w:p>
      <w:pPr>
        <w:spacing w:after="0" w:line="104"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(Duly Authorized Officer and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0" w:lineRule="exact"/>
        <w:rPr>
          <w:sz w:val="20"/>
          <w:szCs w:val="20"/>
          <w:color w:val="auto"/>
        </w:rPr>
      </w:pPr>
    </w:p>
    <w:p>
      <w:pPr>
        <w:ind w:left="3540"/>
        <w:spacing w:after="0"/>
        <w:tabs>
          <w:tab w:leader="none" w:pos="6600" w:val="left"/>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Christiane Ohlgart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12"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Christiane Ohlgart, Chief Financial Officer</w:t>
      </w:r>
    </w:p>
    <w:p>
      <w:pPr>
        <w:spacing w:after="0" w:line="31"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80"/>
          </w:cols>
          <w:pgMar w:left="320" w:top="279" w:right="3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FORTINET,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OF CONTROL SEVERANCE AGREEMENT</w:t>
      </w:r>
    </w:p>
    <w:p>
      <w:pPr>
        <w:spacing w:after="0" w:line="218"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22"/>
          <w:szCs w:val="22"/>
          <w:color w:val="auto"/>
        </w:rPr>
        <w:t>This Change of Control Severance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and between Christiane Ohlgart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Fortinet,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as of May 15, 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ind w:right="140" w:firstLine="656"/>
        <w:spacing w:after="0" w:line="251" w:lineRule="auto"/>
        <w:tabs>
          <w:tab w:leader="none" w:pos="102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expected that the Company from time to time will consider the possibility of an acquisition by another company or other change of control.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81" w:lineRule="exact"/>
        <w:rPr>
          <w:rFonts w:ascii="Times New Roman" w:cs="Times New Roman" w:eastAsia="Times New Roman" w:hAnsi="Times New Roman"/>
          <w:sz w:val="22"/>
          <w:szCs w:val="22"/>
          <w:color w:val="auto"/>
        </w:rPr>
      </w:pPr>
    </w:p>
    <w:p>
      <w:pPr>
        <w:ind w:right="100" w:firstLine="656"/>
        <w:spacing w:after="0" w:line="257" w:lineRule="auto"/>
        <w:tabs>
          <w:tab w:leader="none" w:pos="102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06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NOW, THEREFORE, in consideration of the mutual covenants contained herein, the parties hereto agree as follows:</w:t>
      </w:r>
    </w:p>
    <w:p>
      <w:pPr>
        <w:spacing w:after="0" w:line="206" w:lineRule="exact"/>
        <w:rPr>
          <w:sz w:val="20"/>
          <w:szCs w:val="20"/>
          <w:color w:val="auto"/>
        </w:rPr>
      </w:pPr>
    </w:p>
    <w:p>
      <w:pPr>
        <w:jc w:val="both"/>
        <w:ind w:firstLine="656"/>
        <w:spacing w:after="0" w:line="220" w:lineRule="auto"/>
        <w:tabs>
          <w:tab w:leader="none" w:pos="129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xml:space="preserve">. This Agreement will terminate upon the earliest to occur of: (a) the Agreement’s termination date as provided in Section 8 below, (b) termination of Executive’s employment </w:t>
      </w:r>
      <w:r>
        <w:rPr>
          <w:rFonts w:ascii="Times New Roman" w:cs="Times New Roman" w:eastAsia="Times New Roman" w:hAnsi="Times New Roman"/>
          <w:sz w:val="22"/>
          <w:szCs w:val="22"/>
          <w:i w:val="1"/>
          <w:iCs w:val="1"/>
          <w:color w:val="auto"/>
        </w:rPr>
        <w:t>other than due to</w:t>
      </w:r>
      <w:r>
        <w:rPr>
          <w:rFonts w:ascii="Times New Roman" w:cs="Times New Roman" w:eastAsia="Times New Roman" w:hAnsi="Times New Roman"/>
          <w:sz w:val="22"/>
          <w:szCs w:val="22"/>
          <w:color w:val="auto"/>
        </w:rPr>
        <w:t xml:space="preserve"> (i) termination by the Company other than for Cause (as defined herein) or (ii) resignation by Executive for Good Reason (as defined herein); and (c) the date that all of the obligations of the parties hereto with respect to this Agreement have been satisfied.</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9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w:t>
      </w:r>
    </w:p>
    <w:p>
      <w:pPr>
        <w:spacing w:after="0" w:line="15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Involuntary Termination Prior to, or Absent, a Change of Control or After 12 Months Following a Change of Control</w:t>
      </w:r>
      <w:r>
        <w:rPr>
          <w:rFonts w:ascii="Times New Roman" w:cs="Times New Roman" w:eastAsia="Times New Roman" w:hAnsi="Times New Roman"/>
          <w:sz w:val="22"/>
          <w:szCs w:val="22"/>
          <w:color w:val="auto"/>
        </w:rPr>
        <w:t>. If prior to, or absent, a Change of Control or after</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20" w:lineRule="auto"/>
        <w:rPr>
          <w:sz w:val="20"/>
          <w:szCs w:val="20"/>
          <w:color w:val="auto"/>
        </w:rPr>
      </w:pPr>
      <w:r>
        <w:rPr>
          <w:rFonts w:ascii="Times New Roman" w:cs="Times New Roman" w:eastAsia="Times New Roman" w:hAnsi="Times New Roman"/>
          <w:sz w:val="22"/>
          <w:szCs w:val="22"/>
          <w:color w:val="auto"/>
        </w:rPr>
        <w:t>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Sections 3(c) and (d) below, Executive will receive the following severance from the Company:</w:t>
      </w:r>
    </w:p>
    <w:p>
      <w:pPr>
        <w:spacing w:after="0" w:line="152" w:lineRule="exact"/>
        <w:rPr>
          <w:sz w:val="20"/>
          <w:szCs w:val="20"/>
          <w:color w:val="auto"/>
        </w:rPr>
      </w:pPr>
    </w:p>
    <w:p>
      <w:pPr>
        <w:jc w:val="both"/>
        <w:ind w:firstLine="1952"/>
        <w:spacing w:after="0" w:line="225" w:lineRule="auto"/>
        <w:tabs>
          <w:tab w:leader="none" w:pos="2580"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Executive will receive continuing payments of severance pay for a period of twelve (12) months from the date of such termination equal to Executive’s base salary rate as in effect immediately prior to Executive’s termination.</w:t>
      </w:r>
    </w:p>
    <w:p>
      <w:pPr>
        <w:spacing w:after="0" w:line="152" w:lineRule="exact"/>
        <w:rPr>
          <w:rFonts w:ascii="Times New Roman" w:cs="Times New Roman" w:eastAsia="Times New Roman" w:hAnsi="Times New Roman"/>
          <w:sz w:val="22"/>
          <w:szCs w:val="22"/>
          <w:color w:val="010000"/>
        </w:rPr>
      </w:pPr>
    </w:p>
    <w:p>
      <w:pPr>
        <w:jc w:val="both"/>
        <w:ind w:firstLine="1952"/>
        <w:spacing w:after="0" w:line="215" w:lineRule="auto"/>
        <w:tabs>
          <w:tab w:leader="none" w:pos="2586"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of Executive’s then-outstanding Time-Vesting Awards (as defined below) shall accelerate and become vested and exercisable or settled with respect to the then-unvested shares subject thereto that would have otherwise vested over a twelve (12) month period following such termination pursuant to the vesting schedule set forth in the award agreement. The Awards will remain exercisable following the termination for the period prescribed in the respective stock plan and agreement for each award. Treatment of Performance-Based Awards (as defined below) shall be subject to the award agreement governing their grant.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Time-Vesting Awards</w:t>
      </w:r>
      <w:r>
        <w:rPr>
          <w:rFonts w:ascii="Times New Roman" w:cs="Times New Roman" w:eastAsia="Times New Roman" w:hAnsi="Times New Roman"/>
          <w:sz w:val="22"/>
          <w:szCs w:val="22"/>
          <w:color w:val="auto"/>
        </w:rPr>
        <w:t>” means all awards for shares of the Company’s common stock granted under a Company equity plan, including but not limited to options, restricted stock, restricted stock units, stock bonus awards or stock appreciation rights (“</w:t>
      </w:r>
      <w:r>
        <w:rPr>
          <w:rFonts w:ascii="Times New Roman" w:cs="Times New Roman" w:eastAsia="Times New Roman" w:hAnsi="Times New Roman"/>
          <w:sz w:val="22"/>
          <w:szCs w:val="22"/>
          <w:b w:val="1"/>
          <w:bCs w:val="1"/>
          <w:i w:val="1"/>
          <w:iCs w:val="1"/>
          <w:color w:val="auto"/>
        </w:rPr>
        <w:t>Awards</w:t>
      </w:r>
      <w:r>
        <w:rPr>
          <w:rFonts w:ascii="Times New Roman" w:cs="Times New Roman" w:eastAsia="Times New Roman" w:hAnsi="Times New Roman"/>
          <w:sz w:val="22"/>
          <w:szCs w:val="22"/>
          <w:color w:val="auto"/>
        </w:rPr>
        <w:t>”), that are subject solely to time based vesting as of Executive’s termination. Time-Vesting Awards shall include Performance-Based Awards to the extent applicable performance metrics have been satisfied as of, or are satisfied upon, Executive’s termination date.</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Performance-Based Awards</w:t>
      </w:r>
      <w:r>
        <w:rPr>
          <w:rFonts w:ascii="Times New Roman" w:cs="Times New Roman" w:eastAsia="Times New Roman" w:hAnsi="Times New Roman"/>
          <w:sz w:val="22"/>
          <w:szCs w:val="22"/>
          <w:color w:val="auto"/>
        </w:rPr>
        <w:t>” means all Awards that are subject to unsatisfied performance metrics as of Executive’s termination.</w:t>
      </w:r>
    </w:p>
    <w:p>
      <w:pPr>
        <w:spacing w:after="0" w:line="126" w:lineRule="exact"/>
        <w:rPr>
          <w:sz w:val="20"/>
          <w:szCs w:val="20"/>
          <w:color w:val="auto"/>
        </w:rPr>
      </w:pPr>
    </w:p>
    <w:p>
      <w:pPr>
        <w:jc w:val="both"/>
        <w:ind w:firstLine="1952"/>
        <w:spacing w:after="0" w:line="209" w:lineRule="auto"/>
        <w:tabs>
          <w:tab w:leader="none" w:pos="2592" w:val="left"/>
        </w:tabs>
        <w:numPr>
          <w:ilvl w:val="1"/>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COBRA Benefit</w:t>
      </w:r>
      <w:r>
        <w:rPr>
          <w:rFonts w:ascii="Times New Roman" w:cs="Times New Roman" w:eastAsia="Times New Roman" w:hAnsi="Times New Roman"/>
          <w:sz w:val="22"/>
          <w:szCs w:val="22"/>
          <w:color w:val="auto"/>
        </w:rPr>
        <w:t>. If Executive participates in the Company’s group health insurance plans (i.e., major medical, dental and vision) on the date of Executive’s termination and timely elects continued coverage under the Consolidated Omnibus Budget Reconciliation Act of 1985 (together with any state law of similar effect,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the Company will pay the COBRA premiums to continue such coverage (including for Executive and Executive’s eligible dependents who have elected and remain enrolled in such COBRA coverage) for a period (the “</w:t>
      </w:r>
      <w:r>
        <w:rPr>
          <w:rFonts w:ascii="Times New Roman" w:cs="Times New Roman" w:eastAsia="Times New Roman" w:hAnsi="Times New Roman"/>
          <w:sz w:val="22"/>
          <w:szCs w:val="22"/>
          <w:b w:val="1"/>
          <w:bCs w:val="1"/>
          <w:i w:val="1"/>
          <w:iCs w:val="1"/>
          <w:color w:val="auto"/>
        </w:rPr>
        <w:t>COBRA Payment Period</w:t>
      </w:r>
      <w:r>
        <w:rPr>
          <w:rFonts w:ascii="Times New Roman" w:cs="Times New Roman" w:eastAsia="Times New Roman" w:hAnsi="Times New Roman"/>
          <w:sz w:val="22"/>
          <w:szCs w:val="22"/>
          <w:color w:val="auto"/>
        </w:rPr>
        <w:t>”) beginning on the first day following the day that Executive’s active employee health coverage ends as the result of Executive’s termination, and ending on the earliest to occur of (i) twelve (12) months, (ii) the expiration of Executive’s eligibility for continuation coverage under COBRA and (iii) the first month for which Executive is eligible for health insurance coverage in connection with new employment or self-employment. Alternatively, the Company may elect to pay Executive a taxable cash payment in lieu of the continued coverage, equal to the amount that the Company would have otherwise paid for the COBRA premiums (based on the premium for the first month of coverage), which payment will be made regardless of whether Executive or Executive’s eligible dependents elect COBRA continuation coverage and will be paid in monthly installments for the COBRA Payment Period, except that payments shall commence (with any make-up payments) in the Company’s first regular payroll following the Release Deadline. Continued health coverage or payment of a taxable cash amount pursuant to the foregoing is referred to as the “</w:t>
      </w:r>
      <w:r>
        <w:rPr>
          <w:rFonts w:ascii="Times New Roman" w:cs="Times New Roman" w:eastAsia="Times New Roman" w:hAnsi="Times New Roman"/>
          <w:sz w:val="22"/>
          <w:szCs w:val="22"/>
          <w:b w:val="1"/>
          <w:bCs w:val="1"/>
          <w:i w:val="1"/>
          <w:iCs w:val="1"/>
          <w:color w:val="auto"/>
        </w:rPr>
        <w:t>COBRA Benefit</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Involuntary Termination within 12 Months Following a Change of Control</w:t>
      </w:r>
      <w:r>
        <w:rPr>
          <w:rFonts w:ascii="Times New Roman" w:cs="Times New Roman" w:eastAsia="Times New Roman" w:hAnsi="Times New Roman"/>
          <w:sz w:val="22"/>
          <w:szCs w:val="22"/>
          <w:color w:val="auto"/>
        </w:rPr>
        <w:t>. If within twelve (12) months following a Change of Control, If within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5" w:right="339" w:bottom="1440" w:gutter="0" w:footer="0" w:header="0"/>
        </w:sectPr>
      </w:pPr>
    </w:p>
    <w:bookmarkStart w:id="91" w:name="page92"/>
    <w:bookmarkEnd w:id="91"/>
    <w:p>
      <w:pPr>
        <w:jc w:val="both"/>
        <w:spacing w:after="0" w:line="231" w:lineRule="auto"/>
        <w:rPr>
          <w:sz w:val="20"/>
          <w:szCs w:val="20"/>
          <w:color w:val="auto"/>
        </w:rPr>
      </w:pPr>
      <w:r>
        <w:rPr>
          <w:rFonts w:ascii="Times New Roman" w:cs="Times New Roman" w:eastAsia="Times New Roman" w:hAnsi="Times New Roman"/>
          <w:sz w:val="21"/>
          <w:szCs w:val="21"/>
          <w:color w:val="auto"/>
        </w:rPr>
        <w:t>commencing three (3) months prior to a Change of Control and ending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50" w:lineRule="exact"/>
        <w:rPr>
          <w:sz w:val="20"/>
          <w:szCs w:val="20"/>
          <w:color w:val="auto"/>
        </w:rPr>
      </w:pPr>
    </w:p>
    <w:p>
      <w:pPr>
        <w:jc w:val="both"/>
        <w:ind w:firstLine="1952"/>
        <w:spacing w:after="0" w:line="206" w:lineRule="auto"/>
        <w:tabs>
          <w:tab w:leader="none" w:pos="2580" w:val="left"/>
        </w:tabs>
        <w:numPr>
          <w:ilvl w:val="2"/>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Executive will receive (i) continuing payments of severance pay for a period of twelve (12) months from the date of such termination equal to Executive’s base salary rate as in effect immediately prior to (A) the Change of Control, or (B) Executive’s termination, whichever is greater, and (ii) a payment equal to one hundred percent (100%) of the Executive’s annual target bonus for the year in which the termination occurs, payable in a cash lump sum no later than 10 days after the Release (as defined below) becomes effective and irrevocable, and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year following such termination.</w:t>
      </w:r>
    </w:p>
    <w:p>
      <w:pPr>
        <w:spacing w:after="0" w:line="149" w:lineRule="exact"/>
        <w:rPr>
          <w:rFonts w:ascii="Times New Roman" w:cs="Times New Roman" w:eastAsia="Times New Roman" w:hAnsi="Times New Roman"/>
          <w:sz w:val="22"/>
          <w:szCs w:val="22"/>
          <w:color w:val="010000"/>
        </w:rPr>
      </w:pPr>
    </w:p>
    <w:p>
      <w:pPr>
        <w:jc w:val="both"/>
        <w:ind w:firstLine="1952"/>
        <w:spacing w:after="0" w:line="213" w:lineRule="auto"/>
        <w:tabs>
          <w:tab w:leader="none" w:pos="2586" w:val="left"/>
        </w:tabs>
        <w:numPr>
          <w:ilvl w:val="2"/>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of Executive’s then-outstanding Time-Vesting Awards and Performance-Based Awards shall accelerate and become vested and exercisable or settled with respect to 100% of the then-unvested shares subject thereto. Unless otherwise set forth in the applicable award agreement, the number of shares subject to Performance-Based Awards eligible for the foregoing acceleration shall be determined based on deemed achievement of all performance goals or other vesting criteria at one hundred percent (100%) of target levels and satisfaction of all other terms and conditions. The Awards will remain exercisable, to the extent applicable, following the termination for the period prescribed in the respective stock plan and agreement for each Award.</w:t>
      </w:r>
    </w:p>
    <w:p>
      <w:pPr>
        <w:spacing w:after="0" w:line="156"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COBRA Benefits</w:t>
      </w:r>
      <w:r>
        <w:rPr>
          <w:rFonts w:ascii="Times New Roman" w:cs="Times New Roman" w:eastAsia="Times New Roman" w:hAnsi="Times New Roman"/>
          <w:sz w:val="22"/>
          <w:szCs w:val="22"/>
          <w:color w:val="auto"/>
        </w:rPr>
        <w:t>. Executive will receive the COBRA Benefit.</w:t>
      </w:r>
    </w:p>
    <w:p>
      <w:pPr>
        <w:spacing w:after="0" w:line="179" w:lineRule="exact"/>
        <w:rPr>
          <w:rFonts w:ascii="Times New Roman" w:cs="Times New Roman" w:eastAsia="Times New Roman" w:hAnsi="Times New Roman"/>
          <w:sz w:val="22"/>
          <w:szCs w:val="22"/>
          <w:color w:val="010000"/>
        </w:rPr>
      </w:pPr>
    </w:p>
    <w:p>
      <w:pPr>
        <w:jc w:val="both"/>
        <w:ind w:firstLine="1304"/>
        <w:spacing w:after="0" w:line="206" w:lineRule="auto"/>
        <w:tabs>
          <w:tab w:leader="none" w:pos="1941"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 of Claims Agreement</w:t>
      </w:r>
      <w:r>
        <w:rPr>
          <w:rFonts w:ascii="Times New Roman" w:cs="Times New Roman" w:eastAsia="Times New Roman" w:hAnsi="Times New Roman"/>
          <w:sz w:val="22"/>
          <w:szCs w:val="22"/>
          <w:color w:val="auto"/>
        </w:rPr>
        <w:t>. The receipt of any severance pay or other benefits pursuant to Sections 3(a) and (b) above will be subject to Executive signing and not revoking the Company’s form of general release of all claims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and allowing such Release to become non-revocable prior to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earlier of the effective date of the Change of Control or Executive’s termination of employment (the “</w:t>
      </w:r>
      <w:r>
        <w:rPr>
          <w:rFonts w:ascii="Times New Roman" w:cs="Times New Roman" w:eastAsia="Times New Roman" w:hAnsi="Times New Roman"/>
          <w:sz w:val="22"/>
          <w:szCs w:val="22"/>
          <w:b w:val="1"/>
          <w:bCs w:val="1"/>
          <w:i w:val="1"/>
          <w:iCs w:val="1"/>
          <w:color w:val="auto"/>
        </w:rPr>
        <w:t>Release Deadline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xml:space="preserve">. The receipt of any severance pay or other benefits pursuant to Sections 3(a) and (b) above will also be subject to </w:t>
      </w:r>
      <w:r>
        <w:rPr>
          <w:rFonts w:ascii="Times New Roman" w:cs="Times New Roman" w:eastAsia="Times New Roman" w:hAnsi="Times New Roman"/>
          <w:sz w:val="19"/>
          <w:szCs w:val="19"/>
          <w:color w:val="auto"/>
        </w:rPr>
        <w:t>Executive’s continued compliance</w:t>
      </w:r>
      <w:r>
        <w:rPr>
          <w:rFonts w:ascii="Times New Roman" w:cs="Times New Roman" w:eastAsia="Times New Roman" w:hAnsi="Times New Roman"/>
          <w:sz w:val="22"/>
          <w:szCs w:val="22"/>
          <w:color w:val="auto"/>
        </w:rPr>
        <w:t xml:space="preserve"> with any written agreements between the Company and Executive relating to confidentiality, non-competition, non-solicitation and non-interference, to the extent permitted by applicable law, including but not limited to Executive’s Fortinet Confidentiality Agreement (the “</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41"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Timing of Severance Payments</w:t>
      </w:r>
      <w:r>
        <w:rPr>
          <w:rFonts w:ascii="Times New Roman" w:cs="Times New Roman" w:eastAsia="Times New Roman" w:hAnsi="Times New Roman"/>
          <w:sz w:val="22"/>
          <w:szCs w:val="22"/>
          <w:color w:val="auto"/>
        </w:rPr>
        <w:t>. Subject to Section 3(c), the Company will commence payment of the salary-based severance payments to which Executive is entitled in the payroll period immediately following the Release Deadline, provided that the first such cash payment shall include all amounts that otherwise would have been due prior thereto under the terms of this Agreement had such payments commenced immediately upon the termination of Executive’s employment with the Company, and any payments made after the first such payment shall continue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54"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Voluntary Resignation; Termination For Cause</w:t>
      </w:r>
      <w:r>
        <w:rPr>
          <w:rFonts w:ascii="Times New Roman" w:cs="Times New Roman" w:eastAsia="Times New Roman" w:hAnsi="Times New Roman"/>
          <w:sz w:val="21"/>
          <w:szCs w:val="21"/>
          <w:color w:val="auto"/>
        </w:rPr>
        <w:t>. If Executive’s employment with the Company terminates</w:t>
      </w:r>
    </w:p>
    <w:p>
      <w:pPr>
        <w:ind w:left="260" w:hanging="252"/>
        <w:spacing w:after="0"/>
        <w:tabs>
          <w:tab w:leader="none" w:pos="2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voluntarily by Executive (except upon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5" w:right="339" w:bottom="1440" w:gutter="0" w:footer="0" w:header="0"/>
        </w:sectPr>
      </w:pPr>
    </w:p>
    <w:bookmarkStart w:id="92" w:name="page93"/>
    <w:bookmarkEnd w:id="92"/>
    <w:p>
      <w:pPr>
        <w:jc w:val="both"/>
        <w:spacing w:after="0" w:line="220" w:lineRule="auto"/>
        <w:rPr>
          <w:sz w:val="20"/>
          <w:szCs w:val="20"/>
          <w:color w:val="auto"/>
        </w:rPr>
      </w:pPr>
      <w:r>
        <w:rPr>
          <w:rFonts w:ascii="Times New Roman" w:cs="Times New Roman" w:eastAsia="Times New Roman" w:hAnsi="Times New Roman"/>
          <w:sz w:val="22"/>
          <w:szCs w:val="22"/>
          <w:color w:val="auto"/>
        </w:rPr>
        <w:t>termination for Good Reason) or (ii) 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52" w:lineRule="exact"/>
        <w:rPr>
          <w:sz w:val="20"/>
          <w:szCs w:val="20"/>
          <w:color w:val="auto"/>
        </w:rPr>
      </w:pPr>
    </w:p>
    <w:p>
      <w:pPr>
        <w:jc w:val="both"/>
        <w:ind w:firstLine="1304"/>
        <w:spacing w:after="0" w:line="231" w:lineRule="auto"/>
        <w:tabs>
          <w:tab w:leader="none" w:pos="1939" w:val="left"/>
        </w:tabs>
        <w:numPr>
          <w:ilvl w:val="1"/>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Disability; Death</w:t>
      </w:r>
      <w:r>
        <w:rPr>
          <w:rFonts w:ascii="Times New Roman" w:cs="Times New Roman" w:eastAsia="Times New Roman" w:hAnsi="Times New Roman"/>
          <w:sz w:val="21"/>
          <w:szCs w:val="21"/>
          <w:color w:val="auto"/>
        </w:rPr>
        <w:t>. If the Company terminates Executive’s employment as a result of Executive’s Disability (as defined herein),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50" w:lineRule="exact"/>
        <w:rPr>
          <w:rFonts w:ascii="Times New Roman" w:cs="Times New Roman" w:eastAsia="Times New Roman" w:hAnsi="Times New Roman"/>
          <w:sz w:val="21"/>
          <w:szCs w:val="21"/>
          <w:color w:val="010000"/>
        </w:rPr>
      </w:pPr>
    </w:p>
    <w:p>
      <w:pPr>
        <w:jc w:val="both"/>
        <w:ind w:firstLine="1304"/>
        <w:spacing w:after="0" w:line="217" w:lineRule="auto"/>
        <w:tabs>
          <w:tab w:leader="none" w:pos="1939" w:val="left"/>
        </w:tabs>
        <w:numPr>
          <w:ilvl w:val="1"/>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Notwithstanding anything to the contrary in this Agreement, no severance pay or benefits to be paid or provided to Executive, if any, pursuant to this Agreement, will be payable until Executive has a “separation from service” within the meaning of Section 409A, and the regulations promulgated thereunder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xml:space="preserve">”) of the Internal Revenue Code of 1986, as amended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To the extent (i) any payments to which Executive becomes entitled under this Agreement, or any agreement or plan referenced herein, in connection with the termination of Executive’s employment with and/or services to the Company constitute deferred compensation subject to Section 409A and (ii) Executive is deemed at the time of such termination of employment to be a “specified” employee under Section 409A, then such payment or payments shall not be made or commence until the earlier of (A) the expiration of the six (6)-month period measured from Executive’s termination or (B) the date of Executive’s death following such termination;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Each payment and benefit payable under this Agreement is intended to constitute separate payments for purposes of Section 1.409A-2(b)(2) of the Treasury Regulations. To the extent necessary to comply with Section 409A of the Code, if the designated payment period for any payment under this Agreement begins in one taxable year and ends in the next taxable year, the payment will be made in the later taxable year.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59" w:lineRule="exact"/>
        <w:rPr>
          <w:rFonts w:ascii="Times New Roman" w:cs="Times New Roman" w:eastAsia="Times New Roman" w:hAnsi="Times New Roman"/>
          <w:sz w:val="21"/>
          <w:szCs w:val="21"/>
          <w:color w:val="010000"/>
        </w:rPr>
      </w:pPr>
    </w:p>
    <w:p>
      <w:pPr>
        <w:jc w:val="both"/>
        <w:ind w:firstLine="656"/>
        <w:spacing w:after="0" w:line="220" w:lineRule="auto"/>
        <w:tabs>
          <w:tab w:leader="none" w:pos="1296"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delivered in full,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5" w:right="339" w:bottom="1440" w:gutter="0" w:footer="0" w:header="0"/>
        </w:sectPr>
      </w:pPr>
    </w:p>
    <w:bookmarkStart w:id="93" w:name="page94"/>
    <w:bookmarkEnd w:id="93"/>
    <w:p>
      <w:pPr>
        <w:ind w:firstLine="1304"/>
        <w:spacing w:after="0" w:line="236" w:lineRule="auto"/>
        <w:tabs>
          <w:tab w:leader="none" w:pos="1939"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delivered as to such lesser extent which would result in no portion of such severance benefits being subject to excise tax under Section 4999 of the Code,</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Section 280G of the Code);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 cancelled in the reverse order of the date of grant of Executive’s equity awards. Unless the Company and Executive otherwise agree in writing, any determination required under this Section 4 will be made in writing by an independent firm immediately prior to Change of Control (the “</w:t>
      </w:r>
      <w:r>
        <w:rPr>
          <w:rFonts w:ascii="Times New Roman" w:cs="Times New Roman" w:eastAsia="Times New Roman" w:hAnsi="Times New Roman"/>
          <w:sz w:val="21"/>
          <w:szCs w:val="21"/>
          <w:b w:val="1"/>
          <w:bCs w:val="1"/>
          <w:i w:val="1"/>
          <w:iCs w:val="1"/>
          <w:color w:val="auto"/>
        </w:rPr>
        <w:t>Firm</w:t>
      </w:r>
      <w:r>
        <w:rPr>
          <w:rFonts w:ascii="Times New Roman" w:cs="Times New Roman" w:eastAsia="Times New Roman" w:hAnsi="Times New Roman"/>
          <w:sz w:val="21"/>
          <w:szCs w:val="21"/>
          <w:color w:val="auto"/>
        </w:rPr>
        <w:t>”),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156"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173" w:lineRule="exact"/>
        <w:rPr>
          <w:rFonts w:ascii="Times New Roman" w:cs="Times New Roman" w:eastAsia="Times New Roman" w:hAnsi="Times New Roman"/>
          <w:sz w:val="22"/>
          <w:szCs w:val="22"/>
          <w:color w:val="010000"/>
        </w:rPr>
      </w:pPr>
    </w:p>
    <w:p>
      <w:pPr>
        <w:jc w:val="both"/>
        <w:ind w:firstLine="1304"/>
        <w:spacing w:after="0" w:line="210" w:lineRule="auto"/>
        <w:tabs>
          <w:tab w:leader="none" w:pos="1941"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 (iv) Executive has breached any material term or condition of the Executive’s Confidentiality Agreement with the Company or has otherwise improperly disclosure of the Company’s confidential or proprietary information that materially adversely affects the Company; (v) Executive has breached any material term or condition of the Executive’s any written Company policy or the Company’s written code of conduct that has been made available to Executive prior to such breach or any other material agreement with the Company or (vi) Executive has obstructed or impeded, or failed to materially cooperate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5" w:right="339" w:bottom="1440" w:gutter="0" w:footer="0" w:header="0"/>
        </w:sectPr>
      </w:pPr>
    </w:p>
    <w:bookmarkStart w:id="94" w:name="page95"/>
    <w:bookmarkEnd w:id="94"/>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investigation authorized by the Board or any governmental or self-regulatory entity; provided, however that failure to waive attorney-client privilege relating to communications with Executive’s own attorney in connection with such investigation will not constitute “Cause”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action or conduct described in clauses (iv), (v) and (vi) above will constitute “Cause” only if such action or conduct continues after the Company has provided you with written notice thereof and thirty</w:t>
      </w:r>
    </w:p>
    <w:p>
      <w:pPr>
        <w:spacing w:after="0" w:line="3" w:lineRule="exact"/>
        <w:rPr>
          <w:sz w:val="20"/>
          <w:szCs w:val="20"/>
          <w:color w:val="auto"/>
        </w:rPr>
      </w:pPr>
    </w:p>
    <w:p>
      <w:pPr>
        <w:ind w:left="420" w:hanging="412"/>
        <w:spacing w:after="0"/>
        <w:tabs>
          <w:tab w:leader="none" w:pos="4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to cure the same if such action or conduct is curable.</w:t>
      </w:r>
    </w:p>
    <w:p>
      <w:pPr>
        <w:spacing w:after="0" w:line="14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of the Company is defined as:</w:t>
      </w:r>
    </w:p>
    <w:p>
      <w:pPr>
        <w:spacing w:after="0" w:line="185" w:lineRule="exact"/>
        <w:rPr>
          <w:rFonts w:ascii="Times New Roman" w:cs="Times New Roman" w:eastAsia="Times New Roman" w:hAnsi="Times New Roman"/>
          <w:sz w:val="22"/>
          <w:szCs w:val="22"/>
          <w:color w:val="010000"/>
        </w:rPr>
      </w:pPr>
    </w:p>
    <w:p>
      <w:pPr>
        <w:jc w:val="both"/>
        <w:ind w:firstLine="1952"/>
        <w:spacing w:after="0" w:line="213" w:lineRule="auto"/>
        <w:tabs>
          <w:tab w:leader="none" w:pos="2580" w:val="left"/>
        </w:tabs>
        <w:numPr>
          <w:ilvl w:val="2"/>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that or is or becomes the owner, directly or indirectly, of securities of the Company representing more than fifty percent (50%) of the total voting power represented by the Company’s then outstanding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56" w:lineRule="exact"/>
        <w:rPr>
          <w:rFonts w:ascii="Times New Roman" w:cs="Times New Roman" w:eastAsia="Times New Roman" w:hAnsi="Times New Roman"/>
          <w:sz w:val="22"/>
          <w:szCs w:val="22"/>
          <w:color w:val="010000"/>
        </w:rPr>
      </w:pPr>
    </w:p>
    <w:p>
      <w:pPr>
        <w:jc w:val="both"/>
        <w:ind w:firstLine="1952"/>
        <w:spacing w:after="0" w:line="216" w:lineRule="auto"/>
        <w:tabs>
          <w:tab w:leader="none" w:pos="2586" w:val="left"/>
        </w:tabs>
        <w:numPr>
          <w:ilvl w:val="2"/>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composition of the Board occurring within a twelve (12)-month period, as a result of which fewer than a majority of the directors are Incumbent Directors. “Incumbent Directors” will mean directors who either</w:t>
      </w:r>
    </w:p>
    <w:p>
      <w:pPr>
        <w:jc w:val="both"/>
        <w:spacing w:after="0" w:line="214"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53" w:lineRule="exact"/>
        <w:rPr>
          <w:rFonts w:ascii="Times New Roman" w:cs="Times New Roman" w:eastAsia="Times New Roman" w:hAnsi="Times New Roman"/>
          <w:sz w:val="22"/>
          <w:szCs w:val="22"/>
          <w:color w:val="010000"/>
        </w:rPr>
      </w:pPr>
    </w:p>
    <w:p>
      <w:pPr>
        <w:jc w:val="both"/>
        <w:ind w:firstLine="1952"/>
        <w:spacing w:after="0" w:line="215" w:lineRule="auto"/>
        <w:tabs>
          <w:tab w:leader="none" w:pos="2592" w:val="left"/>
        </w:tabs>
        <w:numPr>
          <w:ilvl w:val="2"/>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52" w:lineRule="exact"/>
        <w:rPr>
          <w:rFonts w:ascii="Times New Roman" w:cs="Times New Roman" w:eastAsia="Times New Roman" w:hAnsi="Times New Roman"/>
          <w:sz w:val="22"/>
          <w:szCs w:val="22"/>
          <w:color w:val="010000"/>
        </w:rPr>
      </w:pPr>
    </w:p>
    <w:p>
      <w:pPr>
        <w:jc w:val="both"/>
        <w:ind w:firstLine="1952"/>
        <w:spacing w:after="0" w:line="210" w:lineRule="auto"/>
        <w:tabs>
          <w:tab w:leader="none" w:pos="2580" w:val="left"/>
        </w:tabs>
        <w:numPr>
          <w:ilvl w:val="2"/>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5(c)(iv), the following shall not constitute a change in the ownership of a substantial portion of the Company’s assets: (1) a transfer to an entity that is controlled by the Company’s stockholders immediately after the transfer; or (2) a transfer of assets by the Company to: (A) a stockholder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subclause (C). For purposes of clause (2) above, gross fair market value means the value of the assets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Company, or the value of the assets being disposed of, determined without regard to any liabilities associated with such assets.</w:t>
      </w:r>
    </w:p>
    <w:p>
      <w:pPr>
        <w:spacing w:after="0" w:line="20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Notwithstanding the foregoing, a Company transaction that does not constitute a change in control event under Treasury Regulation 1.409A-3(i)(5)(v) or (vii) shall be not be considered a Change of Control.</w:t>
      </w:r>
    </w:p>
    <w:p>
      <w:pPr>
        <w:spacing w:after="0" w:line="125" w:lineRule="exact"/>
        <w:rPr>
          <w:sz w:val="20"/>
          <w:szCs w:val="20"/>
          <w:color w:val="auto"/>
        </w:rPr>
      </w:pPr>
    </w:p>
    <w:p>
      <w:pPr>
        <w:jc w:val="both"/>
        <w:ind w:firstLine="1304"/>
        <w:spacing w:after="0" w:line="213" w:lineRule="auto"/>
        <w:tabs>
          <w:tab w:leader="none" w:pos="1941"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47" w:lineRule="exact"/>
        <w:rPr>
          <w:rFonts w:ascii="Times New Roman" w:cs="Times New Roman" w:eastAsia="Times New Roman" w:hAnsi="Times New Roman"/>
          <w:sz w:val="22"/>
          <w:szCs w:val="22"/>
          <w:color w:val="010000"/>
        </w:rPr>
      </w:pPr>
    </w:p>
    <w:p>
      <w:pPr>
        <w:jc w:val="both"/>
        <w:ind w:firstLine="1304"/>
        <w:spacing w:after="0" w:line="208" w:lineRule="auto"/>
        <w:tabs>
          <w:tab w:leader="none" w:pos="1939"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Executive’s resignation of employment must occur no later than thirty (30) days following the end of such thirty (30) day cure period.</w:t>
      </w:r>
    </w:p>
    <w:p>
      <w:pPr>
        <w:spacing w:after="0" w:line="16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41" w:val="left"/>
        </w:tabs>
        <w:numPr>
          <w:ilvl w:val="1"/>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The 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5" w:right="339" w:bottom="1440" w:gutter="0" w:footer="0" w:header="0"/>
        </w:sectPr>
      </w:pPr>
    </w:p>
    <w:bookmarkStart w:id="96" w:name="page97"/>
    <w:bookmarkEnd w:id="96"/>
    <w:p>
      <w:pPr>
        <w:spacing w:after="0" w:line="236" w:lineRule="auto"/>
        <w:rPr>
          <w:sz w:val="20"/>
          <w:szCs w:val="20"/>
          <w:color w:val="auto"/>
        </w:rPr>
      </w:pPr>
      <w:r>
        <w:rPr>
          <w:rFonts w:ascii="Times New Roman" w:cs="Times New Roman" w:eastAsia="Times New Roman" w:hAnsi="Times New Roman"/>
          <w:sz w:val="22"/>
          <w:szCs w:val="22"/>
          <w:color w:val="auto"/>
        </w:rPr>
        <w:t>assumption agreement described in this Section 6(a) or which becomes bound by the terms of this Agreement by operation of law.</w:t>
      </w:r>
    </w:p>
    <w:p>
      <w:pPr>
        <w:spacing w:after="0" w:line="150" w:lineRule="exact"/>
        <w:rPr>
          <w:sz w:val="20"/>
          <w:szCs w:val="20"/>
          <w:color w:val="auto"/>
        </w:rPr>
      </w:pPr>
    </w:p>
    <w:p>
      <w:pPr>
        <w:jc w:val="both"/>
        <w:ind w:firstLine="1304"/>
        <w:spacing w:after="0" w:line="225" w:lineRule="auto"/>
        <w:tabs>
          <w:tab w:leader="none" w:pos="1939"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5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1"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52"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39"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56"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6"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have a term commencing on the Effective Date and ending on August 7, 2029, which shall not be subject to renewal, unless a Change of Control occurs during such term, in which case this Agreement will continue until all payments and benefits, if any, have been made to Executive.</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In the event of any dispute or claim relating to or arising out of Executive’s employment relationship with the Company or this Agreement, Executive and the Company agree that any and all disputes between Executive and the Company will be fully and finally resolved by binding arbitration in accordance with the arbitration clause set forth in the Confidentiality Agreement, pursuant to which Executive is waiving any and all rights to a jury trial.</w:t>
      </w:r>
    </w:p>
    <w:p>
      <w:pPr>
        <w:spacing w:after="0" w:line="15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Unfunded</w:t>
      </w:r>
      <w:r>
        <w:rPr>
          <w:rFonts w:ascii="Times New Roman" w:cs="Times New Roman" w:eastAsia="Times New Roman" w:hAnsi="Times New Roman"/>
          <w:sz w:val="22"/>
          <w:szCs w:val="22"/>
          <w:color w:val="auto"/>
        </w:rPr>
        <w:t>. Benefits provided under this Agreement are paid from the general assets of the Company, and</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are not funded.</w:t>
      </w:r>
    </w:p>
    <w:p>
      <w:pPr>
        <w:spacing w:after="0" w:line="155"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such payment be reduced by any earnings that Executive may receive from any other source.</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5" w:right="339" w:bottom="1440" w:gutter="0" w:footer="0" w:header="0"/>
        </w:sectPr>
      </w:pPr>
    </w:p>
    <w:bookmarkStart w:id="97" w:name="page98"/>
    <w:bookmarkEnd w:id="97"/>
    <w:p>
      <w:pPr>
        <w:spacing w:after="0" w:line="236" w:lineRule="auto"/>
        <w:rPr>
          <w:sz w:val="20"/>
          <w:szCs w:val="20"/>
          <w:color w:val="auto"/>
        </w:rPr>
      </w:pPr>
      <w:r>
        <w:rPr>
          <w:rFonts w:ascii="Times New Roman" w:cs="Times New Roman" w:eastAsia="Times New Roman" w:hAnsi="Times New Roman"/>
          <w:sz w:val="22"/>
          <w:szCs w:val="22"/>
          <w:color w:val="auto"/>
        </w:rPr>
        <w:t>Agreement by the other party will be considered a waiver of any other condition or provision or of the same condition or provision at another time.</w:t>
      </w:r>
    </w:p>
    <w:p>
      <w:pPr>
        <w:spacing w:after="0" w:line="150" w:lineRule="exact"/>
        <w:rPr>
          <w:sz w:val="20"/>
          <w:szCs w:val="20"/>
          <w:color w:val="auto"/>
        </w:rPr>
      </w:pPr>
    </w:p>
    <w:p>
      <w:pPr>
        <w:ind w:firstLine="1304"/>
        <w:spacing w:after="0" w:line="236" w:lineRule="auto"/>
        <w:tabs>
          <w:tab w:leader="none" w:pos="1939"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captions and section headings used in this Agreement are for convenient reference only and do not form a part of this Agreement.</w:t>
      </w:r>
    </w:p>
    <w:p>
      <w:pPr>
        <w:spacing w:after="0" w:line="150" w:lineRule="exact"/>
        <w:rPr>
          <w:rFonts w:ascii="Times New Roman" w:cs="Times New Roman" w:eastAsia="Times New Roman" w:hAnsi="Times New Roman"/>
          <w:sz w:val="22"/>
          <w:szCs w:val="22"/>
          <w:color w:val="010000"/>
        </w:rPr>
      </w:pPr>
    </w:p>
    <w:p>
      <w:pPr>
        <w:jc w:val="both"/>
        <w:ind w:firstLine="1304"/>
        <w:spacing w:after="0" w:line="222" w:lineRule="auto"/>
        <w:tabs>
          <w:tab w:leader="none" w:pos="1941" w:val="left"/>
        </w:tabs>
        <w:numPr>
          <w:ilvl w:val="0"/>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of the parties hereto with respect to the subject matter described herein.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 By executing this Agreement, Executive acknowledges and agrees that Executive has had the opportunity to consult with Executive’s own counsel and has read and understands this Agreement, is fully aware of its legal effect, has not acted in reliance upon any representations or promises made by the Company or any other person other than those contained in writing herein.</w:t>
      </w:r>
    </w:p>
    <w:p>
      <w:pPr>
        <w:spacing w:after="0" w:line="157" w:lineRule="exact"/>
        <w:rPr>
          <w:rFonts w:ascii="Times New Roman" w:cs="Times New Roman" w:eastAsia="Times New Roman" w:hAnsi="Times New Roman"/>
          <w:sz w:val="21"/>
          <w:szCs w:val="21"/>
          <w:color w:val="010000"/>
        </w:rPr>
      </w:pPr>
    </w:p>
    <w:p>
      <w:pPr>
        <w:ind w:firstLine="1304"/>
        <w:spacing w:after="0" w:line="236" w:lineRule="auto"/>
        <w:tabs>
          <w:tab w:leader="none" w:pos="1944"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interpretation, construction and performance of this Agreement will be governed by the laws of the State of California (with the exception of its conflict of laws provisions).</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50"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pursuant to this Agreement will be subject to withholding of applicable income and employment taxes. By entering into this Agreement, Executive agrees to review with Executive’s own tax advisors the federal, state, provincial, local, and foreign tax consequences of this Agreement. Executive will rely solely on such advisors and not on any statements or representations of the Company, or any of its agents. Executive understands that Executive (and not the Company) will be responsible for Executive’s own tax liability that may arise as a result of this Agreement, without regard to the amount withheld or reported by the Company to applicable tax authorities.</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95" w:right="339" w:bottom="1440" w:gutter="0" w:footer="0" w:header="0"/>
        </w:sectPr>
      </w:pPr>
    </w:p>
    <w:bookmarkStart w:id="98" w:name="page99"/>
    <w:bookmarkEnd w:id="98"/>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its duly authorized officer, as of the day and year set forth below.</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350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FORTINET, INC.</w:t>
            </w:r>
          </w:p>
        </w:tc>
      </w:tr>
      <w:tr>
        <w:trPr>
          <w:trHeight w:val="540"/>
        </w:trPr>
        <w:tc>
          <w:tcPr>
            <w:tcW w:w="3420" w:type="dxa"/>
            <w:vAlign w:val="bottom"/>
          </w:tcPr>
          <w:p>
            <w:pPr>
              <w:spacing w:after="0"/>
              <w:rPr>
                <w:sz w:val="24"/>
                <w:szCs w:val="24"/>
                <w:color w:val="auto"/>
              </w:rPr>
            </w:pPr>
          </w:p>
        </w:tc>
        <w:tc>
          <w:tcPr>
            <w:tcW w:w="3500" w:type="dxa"/>
            <w:vAlign w:val="bottom"/>
          </w:tcPr>
          <w:p>
            <w:pPr>
              <w:ind w:left="2140"/>
              <w:spacing w:after="0"/>
              <w:rPr>
                <w:sz w:val="20"/>
                <w:szCs w:val="20"/>
                <w:color w:val="auto"/>
              </w:rPr>
            </w:pPr>
            <w:r>
              <w:rPr>
                <w:rFonts w:ascii="Times New Roman" w:cs="Times New Roman" w:eastAsia="Times New Roman" w:hAnsi="Times New Roman"/>
                <w:sz w:val="22"/>
                <w:szCs w:val="22"/>
                <w:color w:val="auto"/>
              </w:rPr>
              <w:t>By:</w:t>
            </w: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Ken Xie</w:t>
            </w:r>
          </w:p>
        </w:tc>
      </w:tr>
      <w:tr>
        <w:trPr>
          <w:trHeight w:val="251"/>
        </w:trPr>
        <w:tc>
          <w:tcPr>
            <w:tcW w:w="3420" w:type="dxa"/>
            <w:vAlign w:val="bottom"/>
          </w:tcPr>
          <w:p>
            <w:pPr>
              <w:spacing w:after="0"/>
              <w:rPr>
                <w:sz w:val="21"/>
                <w:szCs w:val="21"/>
                <w:color w:val="auto"/>
              </w:rPr>
            </w:pPr>
          </w:p>
        </w:tc>
        <w:tc>
          <w:tcPr>
            <w:tcW w:w="3500" w:type="dxa"/>
            <w:vAlign w:val="bottom"/>
          </w:tcPr>
          <w:p>
            <w:pPr>
              <w:ind w:left="214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430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Ken Xie</w:t>
            </w:r>
          </w:p>
        </w:tc>
      </w:tr>
      <w:tr>
        <w:trPr>
          <w:trHeight w:val="282"/>
        </w:trPr>
        <w:tc>
          <w:tcPr>
            <w:tcW w:w="3420" w:type="dxa"/>
            <w:vAlign w:val="bottom"/>
          </w:tcPr>
          <w:p>
            <w:pPr>
              <w:spacing w:after="0"/>
              <w:rPr>
                <w:sz w:val="24"/>
                <w:szCs w:val="24"/>
                <w:color w:val="auto"/>
              </w:rPr>
            </w:pPr>
          </w:p>
        </w:tc>
        <w:tc>
          <w:tcPr>
            <w:tcW w:w="3500" w:type="dxa"/>
            <w:vAlign w:val="bottom"/>
          </w:tcPr>
          <w:p>
            <w:pPr>
              <w:ind w:left="2140"/>
              <w:spacing w:after="0"/>
              <w:rPr>
                <w:sz w:val="20"/>
                <w:szCs w:val="20"/>
                <w:color w:val="auto"/>
              </w:rPr>
            </w:pPr>
            <w:r>
              <w:rPr>
                <w:rFonts w:ascii="Times New Roman" w:cs="Times New Roman" w:eastAsia="Times New Roman" w:hAnsi="Times New Roman"/>
                <w:sz w:val="22"/>
                <w:szCs w:val="22"/>
                <w:color w:val="auto"/>
              </w:rPr>
              <w:t>Title:</w:t>
            </w:r>
          </w:p>
        </w:tc>
        <w:tc>
          <w:tcPr>
            <w:tcW w:w="4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r>
      <w:tr>
        <w:trPr>
          <w:trHeight w:val="52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3500" w:type="dxa"/>
            <w:vAlign w:val="bottom"/>
          </w:tcPr>
          <w:p>
            <w:pPr>
              <w:ind w:left="2140"/>
              <w:spacing w:after="0"/>
              <w:rPr>
                <w:sz w:val="20"/>
                <w:szCs w:val="20"/>
                <w:color w:val="auto"/>
              </w:rPr>
            </w:pPr>
            <w:r>
              <w:rPr>
                <w:rFonts w:ascii="Times New Roman" w:cs="Times New Roman" w:eastAsia="Times New Roman" w:hAnsi="Times New Roman"/>
                <w:sz w:val="22"/>
                <w:szCs w:val="22"/>
                <w:color w:val="auto"/>
              </w:rPr>
              <w:t>By:</w:t>
            </w: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Christiane Ohlgart</w:t>
            </w:r>
          </w:p>
        </w:tc>
      </w:tr>
      <w:tr>
        <w:trPr>
          <w:trHeight w:val="277"/>
        </w:trPr>
        <w:tc>
          <w:tcPr>
            <w:tcW w:w="3420" w:type="dxa"/>
            <w:vAlign w:val="bottom"/>
          </w:tcPr>
          <w:p>
            <w:pPr>
              <w:spacing w:after="0"/>
              <w:rPr>
                <w:sz w:val="24"/>
                <w:szCs w:val="24"/>
                <w:color w:val="auto"/>
              </w:rPr>
            </w:pPr>
          </w:p>
        </w:tc>
        <w:tc>
          <w:tcPr>
            <w:tcW w:w="3500" w:type="dxa"/>
            <w:vAlign w:val="bottom"/>
          </w:tcPr>
          <w:p>
            <w:pPr>
              <w:ind w:left="2140"/>
              <w:spacing w:after="0"/>
              <w:rPr>
                <w:sz w:val="20"/>
                <w:szCs w:val="20"/>
                <w:color w:val="auto"/>
              </w:rPr>
            </w:pPr>
            <w:r>
              <w:rPr>
                <w:rFonts w:ascii="Times New Roman" w:cs="Times New Roman" w:eastAsia="Times New Roman" w:hAnsi="Times New Roman"/>
                <w:sz w:val="22"/>
                <w:szCs w:val="22"/>
                <w:color w:val="auto"/>
              </w:rPr>
              <w:t>Name:</w:t>
            </w:r>
          </w:p>
        </w:tc>
        <w:tc>
          <w:tcPr>
            <w:tcW w:w="4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Christiane Ohlgart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22"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FORTINET STRATEGIC ADVISORY COUNCIL</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MEMBER AGREEMENT</w:t>
      </w:r>
    </w:p>
    <w:p>
      <w:pPr>
        <w:spacing w:after="0" w:line="26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objective of the Fortinet Strategic Advisory Council (“FSAC”) is to solidify Fortinet as a cybersecurity leader in the US and key international markets by growing brand awareness and building vital relationships. The undersigned (“Member”) hereby agrees to serve as a member of the FSAC, in a consulting capacity solely, and not as an employee of Fortinet, according to the following terms and starting as of August 5, 2025 (the “Effective 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Member Responsibilities</w:t>
      </w:r>
    </w:p>
    <w:p>
      <w:pPr>
        <w:spacing w:after="0" w:line="170" w:lineRule="exact"/>
        <w:rPr>
          <w:sz w:val="20"/>
          <w:szCs w:val="20"/>
          <w:color w:val="auto"/>
        </w:rPr>
      </w:pPr>
    </w:p>
    <w:p>
      <w:pPr>
        <w:ind w:left="720" w:right="840" w:hanging="337"/>
        <w:spacing w:after="0" w:line="254" w:lineRule="auto"/>
        <w:tabs>
          <w:tab w:leader="none" w:pos="71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Willingness to be visible on Fortinet’s behalf, where appropriate, including PR and marketing engagements, and including a biography and photo on the FSAC website.</w:t>
      </w:r>
    </w:p>
    <w:p>
      <w:pPr>
        <w:spacing w:after="0" w:line="1" w:lineRule="exact"/>
        <w:rPr>
          <w:rFonts w:ascii="Times New Roman" w:cs="Times New Roman" w:eastAsia="Times New Roman" w:hAnsi="Times New Roman"/>
          <w:sz w:val="22"/>
          <w:szCs w:val="22"/>
          <w:color w:val="auto"/>
        </w:rPr>
      </w:pPr>
    </w:p>
    <w:p>
      <w:pPr>
        <w:ind w:left="720" w:right="100" w:hanging="337"/>
        <w:spacing w:after="0" w:line="245" w:lineRule="auto"/>
        <w:tabs>
          <w:tab w:leader="none" w:pos="71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 business development with a defined level of engagement coordinated by Trevor Pagliara, or his designee. The requirements and priorities of this position will be dynamic and may change over time, but it is currently expected that the role would involve activities such as providing guidance to the Fortinet sales, marketing, and government affairs teams; assisting in networking with current or potential customers, including providing introductions to key customer and potential customer decision-makers; and providing thought leadership in coordination with Fortinet teams that could include authoring written content or giving speeches.</w:t>
      </w:r>
    </w:p>
    <w:p>
      <w:pPr>
        <w:spacing w:after="0" w:line="3" w:lineRule="exact"/>
        <w:rPr>
          <w:rFonts w:ascii="Times New Roman" w:cs="Times New Roman" w:eastAsia="Times New Roman" w:hAnsi="Times New Roman"/>
          <w:sz w:val="22"/>
          <w:szCs w:val="22"/>
          <w:color w:val="auto"/>
        </w:rPr>
      </w:pPr>
    </w:p>
    <w:p>
      <w:pPr>
        <w:ind w:left="700" w:hanging="317"/>
        <w:spacing w:after="0"/>
        <w:tabs>
          <w:tab w:leader="none" w:pos="7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Fortinet’s participation in key, strategic public/private partnerships, and help execute those partnerships.</w:t>
      </w:r>
    </w:p>
    <w:p>
      <w:pPr>
        <w:spacing w:after="0" w:line="5" w:lineRule="exact"/>
        <w:rPr>
          <w:rFonts w:ascii="Times New Roman" w:cs="Times New Roman" w:eastAsia="Times New Roman" w:hAnsi="Times New Roman"/>
          <w:sz w:val="22"/>
          <w:szCs w:val="22"/>
          <w:color w:val="auto"/>
        </w:rPr>
      </w:pPr>
    </w:p>
    <w:p>
      <w:pPr>
        <w:ind w:left="720" w:right="1220" w:hanging="337"/>
        <w:spacing w:after="0" w:line="256" w:lineRule="auto"/>
        <w:tabs>
          <w:tab w:leader="none" w:pos="71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regular updates on engagement on behalf of Fortinet to Trevor Pagliara or other designated Fortinet representative.</w:t>
      </w:r>
    </w:p>
    <w:p>
      <w:pPr>
        <w:ind w:left="700" w:hanging="317"/>
        <w:spacing w:after="0"/>
        <w:tabs>
          <w:tab w:leader="none" w:pos="7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Attend quarterly meetings, and informal discussions as appropriate to meet responsibilities.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Confidentiality / Intellectual Property</w:t>
      </w:r>
    </w:p>
    <w:p>
      <w:pPr>
        <w:spacing w:after="0" w:line="170" w:lineRule="exact"/>
        <w:rPr>
          <w:sz w:val="20"/>
          <w:szCs w:val="20"/>
          <w:color w:val="auto"/>
        </w:rPr>
      </w:pPr>
    </w:p>
    <w:p>
      <w:pPr>
        <w:ind w:left="640" w:hanging="311"/>
        <w:spacing w:after="0"/>
        <w:tabs>
          <w:tab w:leader="none" w:pos="6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shall keep confidential any and all Fortinet proprietary or confidential information disclosed during the FSAC.</w:t>
      </w:r>
    </w:p>
    <w:p>
      <w:pPr>
        <w:spacing w:after="0" w:line="29" w:lineRule="exact"/>
        <w:rPr>
          <w:rFonts w:ascii="Times New Roman" w:cs="Times New Roman" w:eastAsia="Times New Roman" w:hAnsi="Times New Roman"/>
          <w:sz w:val="22"/>
          <w:szCs w:val="22"/>
          <w:color w:val="auto"/>
        </w:rPr>
      </w:pPr>
    </w:p>
    <w:p>
      <w:pPr>
        <w:ind w:left="640" w:hanging="311"/>
        <w:spacing w:after="0"/>
        <w:tabs>
          <w:tab w:leader="none" w:pos="6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shall not disclose any Fortinet proprietary or confidential information to any third parties.</w:t>
      </w:r>
    </w:p>
    <w:p>
      <w:pPr>
        <w:spacing w:after="0" w:line="18" w:lineRule="exact"/>
        <w:rPr>
          <w:rFonts w:ascii="Times New Roman" w:cs="Times New Roman" w:eastAsia="Times New Roman" w:hAnsi="Times New Roman"/>
          <w:sz w:val="22"/>
          <w:szCs w:val="22"/>
          <w:color w:val="auto"/>
        </w:rPr>
      </w:pPr>
    </w:p>
    <w:p>
      <w:pPr>
        <w:ind w:left="640" w:hanging="311"/>
        <w:spacing w:after="0"/>
        <w:tabs>
          <w:tab w:leader="none" w:pos="64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Fortinet shall own and retain all intellectual property rights in and to its IP, and any and all IP related to this engagement.</w:t>
      </w:r>
    </w:p>
    <w:p>
      <w:pPr>
        <w:spacing w:after="0" w:line="40" w:lineRule="exact"/>
        <w:rPr>
          <w:rFonts w:ascii="Times New Roman" w:cs="Times New Roman" w:eastAsia="Times New Roman" w:hAnsi="Times New Roman"/>
          <w:sz w:val="21"/>
          <w:szCs w:val="21"/>
          <w:color w:val="auto"/>
        </w:rPr>
      </w:pPr>
    </w:p>
    <w:p>
      <w:pPr>
        <w:ind w:left="660" w:right="1080" w:hanging="331"/>
        <w:spacing w:after="0" w:line="249" w:lineRule="auto"/>
        <w:tabs>
          <w:tab w:leader="none" w:pos="65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shall not use any Fortinet proprietary or confidential information for any purpose except as expressly approved by Fortinet in writing in advance.</w:t>
      </w:r>
    </w:p>
    <w:p>
      <w:pPr>
        <w:spacing w:after="0" w:line="1" w:lineRule="exact"/>
        <w:rPr>
          <w:rFonts w:ascii="Times New Roman" w:cs="Times New Roman" w:eastAsia="Times New Roman" w:hAnsi="Times New Roman"/>
          <w:sz w:val="22"/>
          <w:szCs w:val="22"/>
          <w:color w:val="auto"/>
        </w:rPr>
      </w:pPr>
    </w:p>
    <w:p>
      <w:pPr>
        <w:ind w:left="640" w:hanging="311"/>
        <w:spacing w:after="0"/>
        <w:tabs>
          <w:tab w:leader="none" w:pos="64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above provisions in this “Confidentiality / Intellectual Property” section shall survive termination of this Agreement.</w:t>
      </w:r>
    </w:p>
    <w:p>
      <w:pPr>
        <w:sectPr>
          <w:pgSz w:w="11900" w:h="16838" w:orient="portrait"/>
          <w:cols w:equalWidth="0" w:num="1">
            <w:col w:w="11240"/>
          </w:cols>
          <w:pgMar w:left="320" w:top="1422"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w:t>
      </w:r>
    </w:p>
    <w:p>
      <w:pPr>
        <w:spacing w:after="0" w:line="170" w:lineRule="exact"/>
        <w:rPr>
          <w:sz w:val="20"/>
          <w:szCs w:val="20"/>
          <w:color w:val="auto"/>
        </w:rPr>
      </w:pPr>
    </w:p>
    <w:p>
      <w:pPr>
        <w:ind w:left="720" w:right="720" w:hanging="337"/>
        <w:spacing w:after="0" w:line="255" w:lineRule="auto"/>
        <w:tabs>
          <w:tab w:leader="none" w:pos="71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Starting as of the Effective Date, $50,000 in cash per year, paid quarterly, subject to withholding and according to Fortinet’s standard processes.</w:t>
      </w:r>
    </w:p>
    <w:p>
      <w:pPr>
        <w:spacing w:after="0" w:line="1" w:lineRule="exact"/>
        <w:rPr>
          <w:rFonts w:ascii="Times New Roman" w:cs="Times New Roman" w:eastAsia="Times New Roman" w:hAnsi="Times New Roman"/>
          <w:sz w:val="22"/>
          <w:szCs w:val="22"/>
          <w:color w:val="auto"/>
        </w:rPr>
      </w:pPr>
    </w:p>
    <w:p>
      <w:pPr>
        <w:ind w:left="720" w:right="60" w:hanging="337"/>
        <w:spacing w:after="0" w:line="246" w:lineRule="auto"/>
        <w:tabs>
          <w:tab w:leader="none" w:pos="71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will recommend to the Fortinet, Inc. Board of Directors for approval a Restricted Stock Unit (RSU) award valued at $50,000 (determined according to Fortinet’s approach in its reasonable discretion) to vest on the one year anniversary after the effective date of this Fortinet Strategic Advisory Council Member Agreement, subject to and in accordance with the Fortinet, Inc. 2009 Equity Incentive Plan, Equity Award Grant Policy, RSU Award Agreement and standard vesting and standard equity plan terms and conditions. Any additional RSU grants shall be at Fortinet’s sole and absolute discretion and only as approved by the Fortinet, Inc. Board.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 Term</w:t>
      </w:r>
    </w:p>
    <w:p>
      <w:pPr>
        <w:spacing w:after="0" w:line="183" w:lineRule="exact"/>
        <w:rPr>
          <w:sz w:val="20"/>
          <w:szCs w:val="20"/>
          <w:color w:val="auto"/>
        </w:rPr>
      </w:pPr>
    </w:p>
    <w:p>
      <w:pPr>
        <w:ind w:left="660" w:right="300" w:hanging="331"/>
        <w:spacing w:after="0" w:line="250" w:lineRule="auto"/>
        <w:tabs>
          <w:tab w:leader="none" w:pos="65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in its sole discretion may terminate this consultancy in full at any time and for any reason whatsoever, upon providing the other party at least five (5) business days’ advance written notice of termination. No payment whatsoever shall be owed by Fortinet after the termination. Absent termination in advance pursuant to the immediately preceding sentence, Member shall serve for an annual term only, from the effective date, renewed by mutual agreement of the parties.</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The above outlines the agreement between the parties and shall be effective on August 5, 2025. For clarity, notwithstanding anything to the contrary: Fortinet’s responsibilities and the Member’s service on the FSAC are subject in full to Fortinet’s Code of Business Conduct and Ethics and applicable legal requirements, and the Member may resign at any time and Fortinet, Inc. may remove the Member at any time, as discussed above. Member shall at all times represent Fortinet well and in a highly ethical fashion. To be effective, (1) any notice by Member to Fortinet shall be sent to the attention of the Chief Operating Officer, with a separate copy sent to the Chief Financial Officer, to Fortinet, Inc., 909 Kifer Road, Sunnyvale, California 94086, and with a copy emailed to legal@fortinet.com. This Agreement shall be governed by the laws of the State of California, without regards to the choice of law provisions thereof, and (2) any notice by Fortinet to Member shall be sent to the below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120" w:type="dxa"/>
        <w:tblCellMar>
          <w:top w:w="0" w:type="dxa"/>
          <w:left w:w="0" w:type="dxa"/>
          <w:bottom w:w="0" w:type="dxa"/>
          <w:right w:w="0" w:type="dxa"/>
        </w:tblCellMar>
      </w:tblP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Keith Jensen</w:t>
            </w:r>
          </w:p>
        </w:tc>
      </w:tr>
      <w:tr>
        <w:trPr>
          <w:trHeight w:val="277"/>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Keith Jensen</w:t>
            </w:r>
          </w:p>
        </w:tc>
      </w:tr>
      <w:tr>
        <w:trPr>
          <w:trHeight w:val="513"/>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Trevor Pagliara</w:t>
            </w:r>
          </w:p>
        </w:tc>
      </w:tr>
      <w:tr>
        <w:trPr>
          <w:trHeight w:val="277"/>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Trevor Pagliara, Fortinet</w:t>
            </w:r>
          </w:p>
        </w:tc>
      </w:tr>
    </w:tbl>
    <w:p>
      <w:pPr>
        <w:sectPr>
          <w:pgSz w:w="11900" w:h="16838" w:orient="portrait"/>
          <w:cols w:equalWidth="0" w:num="1">
            <w:col w:w="11240"/>
          </w:cols>
          <w:pgMar w:left="320" w:top="1418"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Christiane Ohlgart, certify that:</w:t>
      </w:r>
    </w:p>
    <w:p>
      <w:pPr>
        <w:spacing w:after="0" w:line="171"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Christiane Ohlgart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Christiane Ohlgart</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Quarterly Report on Form 10-Q of Fortinet, Inc. for the quarter ended June 30, 2025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820" w:type="dxa"/>
            <w:vAlign w:val="bottom"/>
          </w:tcPr>
          <w:p>
            <w:pPr>
              <w:spacing w:after="0"/>
              <w:rPr>
                <w:sz w:val="15"/>
                <w:szCs w:val="15"/>
                <w:color w:val="auto"/>
              </w:rPr>
            </w:pPr>
          </w:p>
        </w:tc>
        <w:tc>
          <w:tcPr>
            <w:tcW w:w="2800" w:type="dxa"/>
            <w:vAlign w:val="bottom"/>
          </w:tcPr>
          <w:p>
            <w:pPr>
              <w:ind w:left="21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95"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I, Christiane Ohlgart, certify, pursuant to 18 U.S.C. Section 1350, as adopted pursuant to Section 906 of the Sarbanes-Oxley Act of 2002, that the Quarterly Report on Form 10-Q of Fortinet, Inc. for the quarter ended June 30, 2025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Christiane Ohlgart</w:t>
            </w:r>
          </w:p>
        </w:tc>
      </w:tr>
      <w:tr>
        <w:trPr>
          <w:trHeight w:val="21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Christiane Ohlgart</w:t>
            </w:r>
          </w:p>
        </w:tc>
      </w:tr>
      <w:tr>
        <w:trPr>
          <w:trHeight w:val="180"/>
        </w:trPr>
        <w:tc>
          <w:tcPr>
            <w:tcW w:w="3820" w:type="dxa"/>
            <w:vAlign w:val="bottom"/>
          </w:tcPr>
          <w:p>
            <w:pPr>
              <w:spacing w:after="0"/>
              <w:rPr>
                <w:sz w:val="15"/>
                <w:szCs w:val="15"/>
                <w:color w:val="auto"/>
              </w:rPr>
            </w:pPr>
          </w:p>
        </w:tc>
        <w:tc>
          <w:tcPr>
            <w:tcW w:w="2800" w:type="dxa"/>
            <w:vAlign w:val="bottom"/>
          </w:tcPr>
          <w:p>
            <w:pPr>
              <w:ind w:left="21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2"/>
    </w:lvl>
  </w:abstractNum>
  <w:abstractNum w:abstractNumId="6">
    <w:nsid w:val="5C482A97"/>
    <w:multiLevelType w:val="hybridMultilevel"/>
    <w:lvl w:ilvl="0">
      <w:lvlJc w:val="left"/>
      <w:lvlText w:val="%1."/>
      <w:numFmt w:val="decimal"/>
      <w:start w:val="3"/>
    </w:lvl>
  </w:abstractNum>
  <w:abstractNum w:abstractNumId="7">
    <w:nsid w:val="2463B9EA"/>
    <w:multiLevelType w:val="hybridMultilevel"/>
    <w:lvl w:ilvl="0">
      <w:lvlJc w:val="left"/>
      <w:lvlText w:val="%1."/>
      <w:numFmt w:val="decimal"/>
      <w:start w:val="6"/>
    </w:lvl>
  </w:abstractNum>
  <w:abstractNum w:abstractNumId="8">
    <w:nsid w:val="5E884ADC"/>
    <w:multiLevelType w:val="hybridMultilevel"/>
    <w:lvl w:ilvl="0">
      <w:lvlJc w:val="left"/>
      <w:lvlText w:val="%1."/>
      <w:numFmt w:val="decimal"/>
      <w:start w:val="8"/>
    </w:lvl>
  </w:abstractNum>
  <w:abstractNum w:abstractNumId="9">
    <w:nsid w:val="51EAD36B"/>
    <w:multiLevelType w:val="hybridMultilevel"/>
    <w:lvl w:ilvl="0">
      <w:lvlJc w:val="left"/>
      <w:lvlText w:val="%1."/>
      <w:numFmt w:val="decimal"/>
      <w:start w:val="9"/>
    </w:lvl>
  </w:abstractNum>
  <w:abstractNum w:abstractNumId="10">
    <w:nsid w:val="2D517796"/>
    <w:multiLevelType w:val="hybridMultilevel"/>
    <w:lvl w:ilvl="0">
      <w:lvlJc w:val="left"/>
      <w:lvlText w:val="%1."/>
      <w:numFmt w:val="decimal"/>
      <w:start w:val="10"/>
    </w:lvl>
  </w:abstractNum>
  <w:abstractNum w:abstractNumId="11">
    <w:nsid w:val="580BD78F"/>
    <w:multiLevelType w:val="hybridMultilevel"/>
    <w:lvl w:ilvl="0">
      <w:lvlJc w:val="left"/>
      <w:lvlText w:val="%1."/>
      <w:numFmt w:val="decimal"/>
      <w:start w:val="11"/>
    </w:lvl>
  </w:abstractNum>
  <w:abstractNum w:abstractNumId="12">
    <w:nsid w:val="153EA438"/>
    <w:multiLevelType w:val="hybridMultilevel"/>
    <w:lvl w:ilvl="0">
      <w:lvlJc w:val="left"/>
      <w:lvlText w:val="%1."/>
      <w:numFmt w:val="decimal"/>
      <w:start w:val="13"/>
    </w:lvl>
  </w:abstractNum>
  <w:abstractNum w:abstractNumId="13">
    <w:nsid w:val="3855585C"/>
    <w:multiLevelType w:val="hybridMultilevel"/>
    <w:lvl w:ilvl="0">
      <w:lvlJc w:val="left"/>
      <w:lvlText w:val="%1."/>
      <w:numFmt w:val="decimal"/>
      <w:start w:val="14"/>
    </w:lvl>
  </w:abstractNum>
  <w:abstractNum w:abstractNumId="14">
    <w:nsid w:val="70A64E2A"/>
    <w:multiLevelType w:val="hybridMultilevel"/>
    <w:lvl w:ilvl="0">
      <w:lvlJc w:val="left"/>
      <w:lvlText w:val="%1."/>
      <w:numFmt w:val="decimal"/>
      <w:start w:val="15"/>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
    </w:lvl>
    <w:lvl w:ilvl="1">
      <w:lvlJc w:val="left"/>
      <w:lvlText w:val="(%2)"/>
      <w:numFmt w:val="lowerLetter"/>
      <w:start w:val="1"/>
    </w:lvl>
  </w:abstractNum>
  <w:abstractNum w:abstractNumId="47">
    <w:nsid w:val="47398C89"/>
    <w:multiLevelType w:val="hybridMultilevel"/>
    <w:lvl w:ilvl="0">
      <w:lvlJc w:val="left"/>
      <w:lvlText w:val="(%1)"/>
      <w:numFmt w:val="lowerRoman"/>
      <w:start w:val="1"/>
    </w:lvl>
  </w:abstractNum>
  <w:abstractNum w:abstractNumId="48">
    <w:nsid w:val="354FE9F9"/>
    <w:multiLevelType w:val="hybridMultilevel"/>
    <w:lvl w:ilvl="0">
      <w:lvlJc w:val="left"/>
      <w:lvlText w:val="%1"/>
      <w:numFmt w:val="lowerLetter"/>
      <w:start w:val="1"/>
    </w:lvl>
    <w:lvl w:ilvl="1">
      <w:lvlJc w:val="left"/>
      <w:lvlText w:val="(%2)"/>
      <w:numFmt w:val="lowerLetter"/>
      <w:start w:val="61"/>
    </w:lvl>
  </w:abstractNum>
  <w:abstractNum w:abstractNumId="49">
    <w:nsid w:val="15B5AF5C"/>
    <w:multiLevelType w:val="hybridMultilevel"/>
    <w:lvl w:ilvl="0">
      <w:lvlJc w:val="left"/>
      <w:lvlText w:val="(%1)"/>
      <w:numFmt w:val="lowerLetter"/>
      <w:start w:val="2"/>
    </w:lvl>
    <w:lvl w:ilvl="1">
      <w:lvlJc w:val="left"/>
      <w:lvlText w:val="%2"/>
      <w:numFmt w:val="lowerLetter"/>
      <w:start w:val="1"/>
    </w:lvl>
  </w:abstractNum>
  <w:abstractNum w:abstractNumId="50">
    <w:nsid w:val="741226B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1">
    <w:nsid w:val="D34B6A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2">
    <w:nsid w:val="10233C99"/>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53">
    <w:nsid w:val="3F6AB60F"/>
    <w:multiLevelType w:val="hybridMultilevel"/>
    <w:lvl w:ilvl="0">
      <w:lvlJc w:val="left"/>
      <w:lvlText w:val="%1"/>
      <w:numFmt w:val="decimal"/>
      <w:start w:val="1"/>
    </w:lvl>
    <w:lvl w:ilvl="1">
      <w:lvlJc w:val="left"/>
      <w:lvlText w:val="(%2)"/>
      <w:numFmt w:val="lowerLetter"/>
      <w:start w:val="7"/>
    </w:lvl>
  </w:abstractNum>
  <w:abstractNum w:abstractNumId="54">
    <w:nsid w:val="61574095"/>
    <w:multiLevelType w:val="hybridMultilevel"/>
    <w:lvl w:ilvl="0">
      <w:lvlJc w:val="left"/>
      <w:lvlText w:val="%1."/>
      <w:numFmt w:val="decimal"/>
      <w:start w:val="4"/>
    </w:lvl>
    <w:lvl w:ilvl="1">
      <w:lvlJc w:val="left"/>
      <w:lvlText w:val="(%2)"/>
      <w:numFmt w:val="lowerLetter"/>
      <w:start w:val="1"/>
    </w:lvl>
  </w:abstractNum>
  <w:abstractNum w:abstractNumId="55">
    <w:nsid w:val="7E0C57B1"/>
    <w:multiLevelType w:val="hybridMultilevel"/>
    <w:lvl w:ilvl="0">
      <w:lvlJc w:val="left"/>
      <w:lvlText w:val="(%1)"/>
      <w:numFmt w:val="lowerLetter"/>
      <w:start w:val="2"/>
    </w:lvl>
  </w:abstractNum>
  <w:abstractNum w:abstractNumId="56">
    <w:nsid w:val="77AE35EB"/>
    <w:multiLevelType w:val="hybridMultilevel"/>
    <w:lvl w:ilvl="0">
      <w:lvlJc w:val="left"/>
      <w:lvlText w:val="%1."/>
      <w:numFmt w:val="decimal"/>
      <w:start w:val="5"/>
    </w:lvl>
    <w:lvl w:ilvl="1">
      <w:lvlJc w:val="left"/>
      <w:lvlText w:val="(%2)"/>
      <w:numFmt w:val="lowerLetter"/>
      <w:start w:val="1"/>
    </w:lvl>
  </w:abstractNum>
  <w:abstractNum w:abstractNumId="57">
    <w:nsid w:val="579BE4F1"/>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1"/>
    </w:lvl>
  </w:abstractNum>
  <w:abstractNum w:abstractNumId="58">
    <w:nsid w:val="310C50B3"/>
    <w:multiLevelType w:val="hybridMultilevel"/>
    <w:lvl w:ilvl="0">
      <w:lvlJc w:val="left"/>
      <w:lvlText w:val="%1"/>
      <w:numFmt w:val="decimal"/>
      <w:start w:val="1"/>
    </w:lvl>
    <w:lvl w:ilvl="1">
      <w:lvlJc w:val="left"/>
      <w:lvlText w:val="(%2)"/>
      <w:numFmt w:val="lowerLetter"/>
      <w:start w:val="3"/>
    </w:lvl>
  </w:abstractNum>
  <w:abstractNum w:abstractNumId="59">
    <w:nsid w:val="5FF87E05"/>
    <w:multiLevelType w:val="hybridMultilevel"/>
    <w:lvl w:ilvl="0">
      <w:lvlJc w:val="left"/>
      <w:lvlText w:val="%1."/>
      <w:numFmt w:val="decimal"/>
      <w:start w:val="6"/>
    </w:lvl>
    <w:lvl w:ilvl="1">
      <w:lvlJc w:val="left"/>
      <w:lvlText w:val="(%2)"/>
      <w:numFmt w:val="lowerLetter"/>
      <w:start w:val="1"/>
    </w:lvl>
  </w:abstractNum>
  <w:abstractNum w:abstractNumId="60">
    <w:nsid w:val="2F305DEF"/>
    <w:multiLevelType w:val="hybridMultilevel"/>
    <w:lvl w:ilvl="0">
      <w:lvlJc w:val="left"/>
      <w:lvlText w:val="%1"/>
      <w:numFmt w:val="decimal"/>
      <w:start w:val="1"/>
    </w:lvl>
    <w:lvl w:ilvl="1">
      <w:lvlJc w:val="left"/>
      <w:lvlText w:val="(%2)"/>
      <w:numFmt w:val="lowerLetter"/>
      <w:start w:val="2"/>
    </w:lvl>
  </w:abstractNum>
  <w:abstractNum w:abstractNumId="61">
    <w:nsid w:val="25A70BF7"/>
    <w:multiLevelType w:val="hybridMultilevel"/>
    <w:lvl w:ilvl="0">
      <w:lvlJc w:val="left"/>
      <w:lvlText w:val="%1."/>
      <w:numFmt w:val="decimal"/>
      <w:start w:val="7"/>
    </w:lvl>
    <w:lvl w:ilvl="1">
      <w:lvlJc w:val="left"/>
      <w:lvlText w:val="(%2)"/>
      <w:numFmt w:val="lowerLetter"/>
      <w:start w:val="1"/>
    </w:lvl>
  </w:abstractNum>
  <w:abstractNum w:abstractNumId="62">
    <w:nsid w:val="1DBABF00"/>
    <w:multiLevelType w:val="hybridMultilevel"/>
    <w:lvl w:ilvl="0">
      <w:lvlJc w:val="left"/>
      <w:lvlText w:val="(%1)"/>
      <w:numFmt w:val="lowerLetter"/>
      <w:start w:val="4"/>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2025-08-08T05:24:10Z</dcterms:created>
  <dcterms:modified xsi:type="dcterms:W3CDTF">2025-08-08T05:24:10Z</dcterms:modified>
</cp:coreProperties>
</file>