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32026_090828.xml.htm"/>
      <w:bookmarkStart w:id="1" w:name="ksform408132026_09082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Sim Judith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FORTINET,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909 KIFER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SUNNYVALE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Fortinet, Inc.</w:t>
              </w:r>
            </w:hyperlink>
            <w:r>
              <w:rPr/>
              <w:t xml:space="preserve"> [ </w:t>
            </w:r>
            <w:r>
              <w:rPr>
                <w:rFonts w:ascii="Times;serif" w:hAnsi="Times;serif"/>
                <w:color w:val="0000FF"/>
                <w:sz w:val="24"/>
                <w:shd w:fill="FFFFFF" w:val="clear"/>
              </w:rPr>
              <w:t>FTNT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1,836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1,836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will vest in substantially equal increments on each of September 30, 2026, December 31, 2026, March 31, 2027, and the earlier of (i) June 30, 2027 and (ii) the date immediately preceding the Issuer's 2027 annual meeting of stockholders, subject to the Reporting Person's provision of services to the Issuer on each vesting date. Shares of the Issuer's Common Stock will be delivered to the Reporting Person following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RSUs do not expire; they either vest or are canceled prior to vest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Turner,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46293" TargetMode="External"/><Relationship Id="rId5" Type="http://schemas.openxmlformats.org/officeDocument/2006/relationships/hyperlink" Target="http://www.sec.gov/cgi-bin/browse-edgar?action=getcompany&amp;CIK=00012620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677</Words>
  <Characters>3621</Characters>
  <CharactersWithSpaces>4225</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