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483870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449580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48" w:lineRule="exact"/>
        <w:rPr>
          <w:sz w:val="24"/>
          <w:szCs w:val="24"/>
          <w:color w:val="auto"/>
        </w:rPr>
      </w:pPr>
    </w:p>
    <w:p>
      <w:pPr>
        <w:ind w:left="3820" w:right="1660" w:hanging="3794"/>
        <w:spacing w:after="0" w:line="394" w:lineRule="auto"/>
        <w:tabs>
          <w:tab w:leader="none" w:pos="412"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8"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-7620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2340" w:type="dxa"/>
            <w:vAlign w:val="bottom"/>
          </w:tcPr>
          <w:p>
            <w:pPr>
              <w:spacing w:after="0"/>
              <w:rPr>
                <w:sz w:val="19"/>
                <w:szCs w:val="19"/>
                <w:color w:val="auto"/>
              </w:rPr>
            </w:pPr>
          </w:p>
        </w:tc>
        <w:tc>
          <w:tcPr>
            <w:tcW w:w="6360" w:type="dxa"/>
            <w:vAlign w:val="bottom"/>
          </w:tcPr>
          <w:p>
            <w:pPr>
              <w:jc w:val="center"/>
              <w:ind w:right="1831"/>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2340" w:type="dxa"/>
            <w:vAlign w:val="bottom"/>
          </w:tcPr>
          <w:p>
            <w:pPr>
              <w:spacing w:after="0"/>
              <w:rPr>
                <w:sz w:val="18"/>
                <w:szCs w:val="18"/>
                <w:color w:val="auto"/>
              </w:rPr>
            </w:pPr>
          </w:p>
        </w:tc>
        <w:tc>
          <w:tcPr>
            <w:tcW w:w="6360" w:type="dxa"/>
            <w:vAlign w:val="bottom"/>
          </w:tcPr>
          <w:p>
            <w:pPr>
              <w:jc w:val="right"/>
              <w:ind w:right="2331"/>
              <w:spacing w:after="0"/>
              <w:rPr>
                <w:sz w:val="20"/>
                <w:szCs w:val="20"/>
                <w:color w:val="auto"/>
              </w:rPr>
            </w:pPr>
            <w:r>
              <w:rPr>
                <w:rFonts w:ascii="Arial" w:cs="Arial" w:eastAsia="Arial" w:hAnsi="Arial"/>
                <w:sz w:val="18"/>
                <w:szCs w:val="18"/>
                <w:color w:val="auto"/>
              </w:rPr>
              <w:t>______________________________________</w:t>
            </w:r>
          </w:p>
        </w:tc>
      </w:tr>
      <w:tr>
        <w:trPr>
          <w:trHeight w:val="306"/>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25"/>
                <w:szCs w:val="25"/>
                <w:b w:val="1"/>
                <w:bCs w:val="1"/>
                <w:color w:val="auto"/>
              </w:rPr>
              <w:t>FORTINET, INC.</w:t>
            </w:r>
          </w:p>
        </w:tc>
      </w:tr>
      <w:tr>
        <w:trPr>
          <w:trHeight w:val="193"/>
        </w:trPr>
        <w:tc>
          <w:tcPr>
            <w:tcW w:w="2340" w:type="dxa"/>
            <w:vAlign w:val="bottom"/>
          </w:tcPr>
          <w:p>
            <w:pPr>
              <w:spacing w:after="0"/>
              <w:rPr>
                <w:sz w:val="16"/>
                <w:szCs w:val="16"/>
                <w:color w:val="auto"/>
              </w:rPr>
            </w:pPr>
          </w:p>
        </w:tc>
        <w:tc>
          <w:tcPr>
            <w:tcW w:w="6360" w:type="dxa"/>
            <w:vAlign w:val="bottom"/>
          </w:tcPr>
          <w:p>
            <w:pPr>
              <w:jc w:val="center"/>
              <w:ind w:right="181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2340" w:type="dxa"/>
            <w:vAlign w:val="bottom"/>
          </w:tcPr>
          <w:p>
            <w:pPr>
              <w:spacing w:after="0"/>
              <w:rPr>
                <w:sz w:val="17"/>
                <w:szCs w:val="17"/>
                <w:color w:val="auto"/>
              </w:rPr>
            </w:pPr>
          </w:p>
        </w:tc>
        <w:tc>
          <w:tcPr>
            <w:tcW w:w="6360" w:type="dxa"/>
            <w:vAlign w:val="bottom"/>
          </w:tcPr>
          <w:p>
            <w:pPr>
              <w:jc w:val="right"/>
              <w:ind w:right="2511"/>
              <w:spacing w:after="0"/>
              <w:rPr>
                <w:sz w:val="20"/>
                <w:szCs w:val="20"/>
                <w:color w:val="auto"/>
              </w:rPr>
            </w:pPr>
            <w:r>
              <w:rPr>
                <w:rFonts w:ascii="Arial" w:cs="Arial" w:eastAsia="Arial" w:hAnsi="Arial"/>
                <w:sz w:val="16"/>
                <w:szCs w:val="16"/>
                <w:color w:val="auto"/>
              </w:rPr>
              <w:t>______________________________________</w:t>
            </w:r>
          </w:p>
        </w:tc>
      </w:tr>
      <w:tr>
        <w:trPr>
          <w:trHeight w:val="681"/>
        </w:trPr>
        <w:tc>
          <w:tcPr>
            <w:tcW w:w="2340" w:type="dxa"/>
            <w:vAlign w:val="bottom"/>
          </w:tcPr>
          <w:p>
            <w:pPr>
              <w:jc w:val="center"/>
              <w:ind w:right="136"/>
              <w:spacing w:after="0"/>
              <w:rPr>
                <w:sz w:val="20"/>
                <w:szCs w:val="20"/>
                <w:color w:val="auto"/>
              </w:rPr>
            </w:pPr>
            <w:r>
              <w:rPr>
                <w:rFonts w:ascii="Arial" w:cs="Arial" w:eastAsia="Arial" w:hAnsi="Arial"/>
                <w:sz w:val="18"/>
                <w:szCs w:val="18"/>
                <w:b w:val="1"/>
                <w:bCs w:val="1"/>
                <w:color w:val="auto"/>
                <w:w w:val="91"/>
              </w:rPr>
              <w:t>Delaware</w:t>
            </w:r>
          </w:p>
        </w:tc>
        <w:tc>
          <w:tcPr>
            <w:tcW w:w="6360" w:type="dxa"/>
            <w:vAlign w:val="bottom"/>
          </w:tcPr>
          <w:p>
            <w:pPr>
              <w:jc w:val="center"/>
              <w:ind w:left="4991"/>
              <w:spacing w:after="0"/>
              <w:rPr>
                <w:sz w:val="20"/>
                <w:szCs w:val="20"/>
                <w:color w:val="auto"/>
              </w:rPr>
            </w:pPr>
            <w:r>
              <w:rPr>
                <w:rFonts w:ascii="Arial" w:cs="Arial" w:eastAsia="Arial" w:hAnsi="Arial"/>
                <w:sz w:val="18"/>
                <w:szCs w:val="18"/>
                <w:b w:val="1"/>
                <w:bCs w:val="1"/>
                <w:color w:val="auto"/>
                <w:w w:val="91"/>
              </w:rPr>
              <w:t>77-0560389</w:t>
            </w:r>
          </w:p>
        </w:tc>
      </w:tr>
      <w:tr>
        <w:trPr>
          <w:trHeight w:val="203"/>
        </w:trPr>
        <w:tc>
          <w:tcPr>
            <w:tcW w:w="2340" w:type="dxa"/>
            <w:vAlign w:val="bottom"/>
          </w:tcPr>
          <w:p>
            <w:pPr>
              <w:jc w:val="center"/>
              <w:ind w:right="156"/>
              <w:spacing w:after="0"/>
              <w:rPr>
                <w:sz w:val="20"/>
                <w:szCs w:val="20"/>
                <w:color w:val="auto"/>
              </w:rPr>
            </w:pPr>
            <w:r>
              <w:rPr>
                <w:rFonts w:ascii="Arial" w:cs="Arial" w:eastAsia="Arial" w:hAnsi="Arial"/>
                <w:sz w:val="16"/>
                <w:szCs w:val="16"/>
                <w:b w:val="1"/>
                <w:bCs w:val="1"/>
                <w:color w:val="auto"/>
                <w:w w:val="91"/>
              </w:rPr>
              <w:t>(State or other jurisdiction of</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340" w:type="dxa"/>
            <w:vAlign w:val="bottom"/>
          </w:tcPr>
          <w:p>
            <w:pPr>
              <w:jc w:val="center"/>
              <w:ind w:right="136"/>
              <w:spacing w:after="0"/>
              <w:rPr>
                <w:sz w:val="20"/>
                <w:szCs w:val="20"/>
                <w:color w:val="auto"/>
              </w:rPr>
            </w:pPr>
            <w:r>
              <w:rPr>
                <w:rFonts w:ascii="Arial" w:cs="Arial" w:eastAsia="Arial" w:hAnsi="Arial"/>
                <w:sz w:val="16"/>
                <w:szCs w:val="16"/>
                <w:b w:val="1"/>
                <w:bCs w:val="1"/>
                <w:color w:val="auto"/>
                <w:w w:val="92"/>
              </w:rPr>
              <w:t>incorporation or organization)</w:t>
            </w:r>
          </w:p>
        </w:tc>
        <w:tc>
          <w:tcPr>
            <w:tcW w:w="6360" w:type="dxa"/>
            <w:vAlign w:val="bottom"/>
          </w:tcPr>
          <w:p>
            <w:pPr>
              <w:jc w:val="center"/>
              <w:ind w:left="4991"/>
              <w:spacing w:after="0"/>
              <w:rPr>
                <w:sz w:val="20"/>
                <w:szCs w:val="20"/>
                <w:color w:val="auto"/>
              </w:rPr>
            </w:pPr>
            <w:r>
              <w:rPr>
                <w:rFonts w:ascii="Arial" w:cs="Arial" w:eastAsia="Arial" w:hAnsi="Arial"/>
                <w:sz w:val="16"/>
                <w:szCs w:val="16"/>
                <w:b w:val="1"/>
                <w:bCs w:val="1"/>
                <w:color w:val="auto"/>
                <w:w w:val="94"/>
              </w:rPr>
              <w:t>Identification No.)</w:t>
            </w:r>
          </w:p>
        </w:tc>
      </w:tr>
      <w:tr>
        <w:trPr>
          <w:trHeight w:val="608"/>
        </w:trPr>
        <w:tc>
          <w:tcPr>
            <w:tcW w:w="2340" w:type="dxa"/>
            <w:vAlign w:val="bottom"/>
          </w:tcPr>
          <w:p>
            <w:pPr>
              <w:spacing w:after="0"/>
              <w:rPr>
                <w:sz w:val="24"/>
                <w:szCs w:val="24"/>
                <w:color w:val="auto"/>
              </w:rPr>
            </w:pPr>
          </w:p>
        </w:tc>
        <w:tc>
          <w:tcPr>
            <w:tcW w:w="6360" w:type="dxa"/>
            <w:vAlign w:val="bottom"/>
          </w:tcPr>
          <w:p>
            <w:pPr>
              <w:jc w:val="center"/>
              <w:ind w:right="1811"/>
              <w:spacing w:after="0"/>
              <w:rPr>
                <w:sz w:val="20"/>
                <w:szCs w:val="20"/>
                <w:color w:val="auto"/>
              </w:rPr>
            </w:pPr>
            <w:r>
              <w:rPr>
                <w:rFonts w:ascii="Arial" w:cs="Arial" w:eastAsia="Arial" w:hAnsi="Arial"/>
                <w:sz w:val="18"/>
                <w:szCs w:val="18"/>
                <w:b w:val="1"/>
                <w:bCs w:val="1"/>
                <w:color w:val="auto"/>
                <w:w w:val="93"/>
              </w:rPr>
              <w:t>899 Kifer Road</w:t>
            </w:r>
          </w:p>
        </w:tc>
      </w:tr>
      <w:tr>
        <w:trPr>
          <w:trHeight w:val="180"/>
        </w:trPr>
        <w:tc>
          <w:tcPr>
            <w:tcW w:w="2340" w:type="dxa"/>
            <w:vAlign w:val="bottom"/>
          </w:tcPr>
          <w:p>
            <w:pPr>
              <w:spacing w:after="0"/>
              <w:rPr>
                <w:sz w:val="15"/>
                <w:szCs w:val="15"/>
                <w:color w:val="auto"/>
              </w:rPr>
            </w:pPr>
          </w:p>
        </w:tc>
        <w:tc>
          <w:tcPr>
            <w:tcW w:w="6360" w:type="dxa"/>
            <w:vAlign w:val="bottom"/>
          </w:tcPr>
          <w:p>
            <w:pPr>
              <w:jc w:val="center"/>
              <w:ind w:right="181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r>
      <w:tr>
        <w:trPr>
          <w:trHeight w:val="210"/>
        </w:trPr>
        <w:tc>
          <w:tcPr>
            <w:tcW w:w="2340" w:type="dxa"/>
            <w:vAlign w:val="bottom"/>
          </w:tcPr>
          <w:p>
            <w:pPr>
              <w:spacing w:after="0"/>
              <w:rPr>
                <w:sz w:val="18"/>
                <w:szCs w:val="18"/>
                <w:color w:val="auto"/>
              </w:rPr>
            </w:pPr>
          </w:p>
        </w:tc>
        <w:tc>
          <w:tcPr>
            <w:tcW w:w="6360" w:type="dxa"/>
            <w:vAlign w:val="bottom"/>
          </w:tcPr>
          <w:p>
            <w:pPr>
              <w:jc w:val="center"/>
              <w:ind w:right="1831"/>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bl>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200"/>
          </w:cols>
          <w:pgMar w:left="320" w:top="229" w:right="37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040"/>
        <w:spacing w:after="0"/>
        <w:rPr>
          <w:sz w:val="20"/>
          <w:szCs w:val="20"/>
          <w:color w:val="auto"/>
        </w:rPr>
      </w:pPr>
      <w:r>
        <w:rPr>
          <w:rFonts w:ascii="Arial" w:cs="Arial" w:eastAsia="Arial" w:hAnsi="Arial"/>
          <w:sz w:val="14"/>
          <w:szCs w:val="14"/>
          <w:b w:val="1"/>
          <w:bCs w:val="1"/>
          <w:color w:val="auto"/>
        </w:rPr>
        <w:t>Trading Symbol</w:t>
      </w:r>
    </w:p>
    <w:p>
      <w:pPr>
        <w:spacing w:after="0" w:line="69"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00"/>
          </w:cols>
          <w:pgMar w:left="320" w:top="229" w:right="379" w:bottom="1440" w:gutter="0" w:footer="0" w:header="0"/>
          <w:type w:val="continuous"/>
        </w:sectPr>
      </w:pPr>
    </w:p>
    <w:p>
      <w:pPr>
        <w:spacing w:after="0" w:line="146"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May 3, 2022, there were 160,527,127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Balance Sheets as of March </w:t>
              </w:r>
            </w:hyperlink>
            <w:r>
              <w:rPr>
                <w:rFonts w:ascii="Arial" w:cs="Arial" w:eastAsia="Arial" w:hAnsi="Arial"/>
                <w:sz w:val="18"/>
                <w:szCs w:val="18"/>
                <w:color w:val="0000FF"/>
              </w:rPr>
              <w:t xml:space="preserve">31, </w:t>
            </w:r>
            <w:hyperlink w:anchor="page6">
              <w:r>
                <w:rPr>
                  <w:rFonts w:ascii="Arial" w:cs="Arial" w:eastAsia="Arial" w:hAnsi="Arial"/>
                  <w:sz w:val="18"/>
                  <w:szCs w:val="18"/>
                  <w:color w:val="0000FF"/>
                </w:rPr>
                <w:t xml:space="preserve">2022 and December 31, </w:t>
              </w:r>
            </w:hyperlink>
            <w:r>
              <w:rPr>
                <w:rFonts w:ascii="Arial" w:cs="Arial" w:eastAsia="Arial" w:hAnsi="Arial"/>
                <w:sz w:val="18"/>
                <w:szCs w:val="18"/>
                <w:color w:val="0000FF"/>
              </w:rPr>
              <w:t>2021</w:t>
            </w: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Income for the Three Months Ended March 31, 2022 and </w:t>
              </w:r>
            </w:hyperlink>
            <w:r>
              <w:rPr>
                <w:rFonts w:ascii="Arial" w:cs="Arial" w:eastAsia="Arial" w:hAnsi="Arial"/>
                <w:sz w:val="18"/>
                <w:szCs w:val="18"/>
                <w:color w:val="0000FF"/>
              </w:rPr>
              <w:t>2021</w:t>
            </w: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560" w:type="dxa"/>
            <w:vAlign w:val="bottom"/>
            <w:gridSpan w:val="15"/>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 xml:space="preserve">Condensed Consolidated Statements of Comprehensive Income for the Three Months Ended March 31, 2022 and </w:t>
              </w:r>
            </w:hyperlink>
            <w:r>
              <w:rPr>
                <w:rFonts w:ascii="Arial" w:cs="Arial" w:eastAsia="Arial" w:hAnsi="Arial"/>
                <w:sz w:val="18"/>
                <w:szCs w:val="18"/>
                <w:color w:val="0000FF"/>
                <w:w w:val="89"/>
              </w:rPr>
              <w:t>2021</w:t>
            </w:r>
          </w:p>
        </w:tc>
        <w:tc>
          <w:tcPr>
            <w:tcW w:w="108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5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Equity for the Three Months Ended March 31, 2022 and </w:t>
              </w:r>
            </w:hyperlink>
            <w:r>
              <w:rPr>
                <w:rFonts w:ascii="Arial" w:cs="Arial" w:eastAsia="Arial" w:hAnsi="Arial"/>
                <w:sz w:val="18"/>
                <w:szCs w:val="18"/>
                <w:color w:val="0000FF"/>
              </w:rPr>
              <w:t>2021</w:t>
            </w:r>
          </w:p>
        </w:tc>
        <w:tc>
          <w:tcPr>
            <w:tcW w:w="108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 xml:space="preserve">Condensed Consolidated Statements of Cash Flows for the Three Months Ended March 31, 2022 and </w:t>
              </w:r>
            </w:hyperlink>
            <w:r>
              <w:rPr>
                <w:rFonts w:ascii="Arial" w:cs="Arial" w:eastAsia="Arial" w:hAnsi="Arial"/>
                <w:sz w:val="18"/>
                <w:szCs w:val="18"/>
                <w:color w:val="0000FF"/>
              </w:rPr>
              <w:t>2021</w:t>
            </w:r>
          </w:p>
        </w:tc>
        <w:tc>
          <w:tcPr>
            <w:tcW w:w="6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80" w:type="dxa"/>
            <w:vAlign w:val="bottom"/>
            <w:gridSpan w:val="14"/>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1960" w:type="dxa"/>
            <w:vAlign w:val="bottom"/>
            <w:gridSpan w:val="2"/>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1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37</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64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64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39</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Unregistered Sales of Equity Securities and Use of Proceeds</w:t>
              </w:r>
            </w:hyperlink>
          </w:p>
        </w:tc>
        <w:tc>
          <w:tcPr>
            <w:tcW w:w="530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73</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Exhibits</w:t>
              </w:r>
            </w:hyperlink>
          </w:p>
        </w:tc>
        <w:tc>
          <w:tcPr>
            <w:tcW w:w="904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74</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77">
              <w:r>
                <w:rPr>
                  <w:rFonts w:ascii="Arial" w:cs="Arial" w:eastAsia="Arial" w:hAnsi="Arial"/>
                  <w:sz w:val="18"/>
                  <w:szCs w:val="18"/>
                  <w:color w:val="0000FF"/>
                  <w:w w:val="93"/>
                </w:rPr>
                <w:t>Exhibit Index</w:t>
              </w:r>
            </w:hyperlink>
          </w:p>
        </w:tc>
        <w:tc>
          <w:tcPr>
            <w:tcW w:w="866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74</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40" w:type="dxa"/>
            <w:vAlign w:val="bottom"/>
            <w:gridSpan w:val="16"/>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77">
              <w:r>
                <w:rPr>
                  <w:rFonts w:ascii="Arial" w:cs="Arial" w:eastAsia="Arial" w:hAnsi="Arial"/>
                  <w:sz w:val="18"/>
                  <w:szCs w:val="18"/>
                  <w:color w:val="0000FF"/>
                </w:rPr>
                <w:t>75</w:t>
              </w:r>
            </w:hyperlink>
          </w:p>
        </w:tc>
        <w:tc>
          <w:tcPr>
            <w:tcW w:w="20" w:type="dxa"/>
            <w:vAlign w:val="bottom"/>
          </w:tcPr>
          <w:p>
            <w:pPr>
              <w:spacing w:after="0"/>
              <w:rPr>
                <w:sz w:val="18"/>
                <w:szCs w:val="18"/>
                <w:color w:val="auto"/>
              </w:rPr>
            </w:pPr>
          </w:p>
        </w:tc>
      </w:tr>
      <w:tr>
        <w:trPr>
          <w:trHeight w:val="1715"/>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principle risks and uncertainties include the following:</w:t>
      </w:r>
    </w:p>
    <w:p>
      <w:pPr>
        <w:spacing w:after="0" w:line="2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are likely to vary significantly and be unpredictable.</w:t>
      </w:r>
    </w:p>
    <w:p>
      <w:pPr>
        <w:spacing w:after="0" w:line="238"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including its ongoing variants, will likely continue to adversely affect our business in a significant way, for example, through product and component shortages, longer product lead times, or negative impact on demand.</w:t>
      </w:r>
    </w:p>
    <w:p>
      <w:pPr>
        <w:spacing w:after="0" w:line="197"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such as a possible recession and possible impacts of inflation or stagflation, or reduced information technology spending may adversely impact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billings, revenue, and free cash flow growth may slow or may not continue, and our operating margins may decline.</w:t>
      </w:r>
    </w:p>
    <w:p>
      <w:pPr>
        <w:spacing w:after="0" w:line="238" w:lineRule="exact"/>
        <w:rPr>
          <w:rFonts w:ascii="Arial" w:cs="Arial" w:eastAsia="Arial" w:hAnsi="Arial"/>
          <w:sz w:val="18"/>
          <w:szCs w:val="18"/>
          <w:color w:val="auto"/>
        </w:rPr>
      </w:pPr>
    </w:p>
    <w:p>
      <w:pPr>
        <w:ind w:left="660" w:right="5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accounts receivable.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50" w:lineRule="exact"/>
        <w:rPr>
          <w:rFonts w:ascii="Arial" w:cs="Arial" w:eastAsia="Arial" w:hAnsi="Arial"/>
          <w:sz w:val="17"/>
          <w:szCs w:val="17"/>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197"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indebtedness and may incur other debt in the future, which may adversely affect our financial condition and future financial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a majority of revenue and cash flow from sales outside of the United States.</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related macroeconomic effects and our decision to suspend operations in Russia have affected and may continue to affect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 is generated by sales to government organizations, which are subject to a number of challenges and risks.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our market and we may not maintain or improve our competitive position.</w:t>
      </w:r>
    </w:p>
    <w:p>
      <w:pPr>
        <w:spacing w:after="0" w:line="238"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Insufficient inventory or components, including finished goods, chips and other components, and including component or inventory shortages related to the COVID-19 pandemic, manufacturer’s capacity, shipping challenges, or other factors affecting the global supply chain, may result in lost sales opportunities or delayed billings and revenue and increased costs, and may harm our gross margins and our product price increases designed to help mitigate lower gross margins may not be acceptable to customers.</w:t>
      </w:r>
    </w:p>
    <w:p>
      <w:pPr>
        <w:spacing w:after="0" w:line="201" w:lineRule="exact"/>
        <w:rPr>
          <w:rFonts w:ascii="Arial" w:cs="Arial" w:eastAsia="Arial" w:hAnsi="Arial"/>
          <w:sz w:val="18"/>
          <w:szCs w:val="18"/>
          <w:color w:val="auto"/>
        </w:rPr>
      </w:pPr>
    </w:p>
    <w:p>
      <w:pPr>
        <w:ind w:left="660" w:right="32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third-party manufacturers to provide components for our products and build our products and are susceptible to manufacturing delays and cost increases.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adversely affected by the effects of inflation or stagflation in certain geographies.</w:t>
      </w:r>
    </w:p>
    <w:p>
      <w:pPr>
        <w:spacing w:after="0" w:line="225"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susceptible to supply chain constraints, supply shortages and disruptions, long lead times for components and finished goods and supply changes because some of the key components in our products come from limited sources of supply.</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4" w:name="page5"/>
    <w:bookmarkEnd w:id="4"/>
    <w:p>
      <w:pPr>
        <w:jc w:val="both"/>
        <w:ind w:left="328" w:right="80" w:hanging="328"/>
        <w:spacing w:after="0" w:line="235"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 and any actual or perceived defects or vulnerabilities in our products or services or the failure of our products or services to detect or prevent a security breach could harm our reputation.</w:t>
      </w:r>
    </w:p>
    <w:p>
      <w:pPr>
        <w:spacing w:after="0" w:line="215" w:lineRule="exact"/>
        <w:rPr>
          <w:rFonts w:ascii="Arial" w:cs="Arial" w:eastAsia="Arial" w:hAnsi="Arial"/>
          <w:sz w:val="18"/>
          <w:szCs w:val="18"/>
          <w:color w:val="auto"/>
        </w:rPr>
      </w:pPr>
    </w:p>
    <w:p>
      <w:pPr>
        <w:ind w:left="328" w:right="120" w:hanging="328"/>
        <w:spacing w:after="0" w:line="263"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successfully acquire and integrate other businesses, products or technologies, or to successfully invest in and form successful strategic alliances with other businesses, and to properly account for such acquisitions and the financial information of such acquired companies, could seriously harm our competitive position.</w:t>
      </w:r>
    </w:p>
    <w:p>
      <w:pPr>
        <w:spacing w:after="0" w:line="210" w:lineRule="exact"/>
        <w:rPr>
          <w:rFonts w:ascii="Arial" w:cs="Arial" w:eastAsia="Arial" w:hAnsi="Arial"/>
          <w:sz w:val="18"/>
          <w:szCs w:val="18"/>
          <w:color w:val="auto"/>
        </w:rPr>
      </w:pPr>
    </w:p>
    <w:p>
      <w:pPr>
        <w:ind w:left="328" w:right="4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Investors’ expectations of our performance relating to environmental, social and governance factors may impose additional costs and expose us to new risks.</w:t>
      </w:r>
    </w:p>
    <w:p>
      <w:pPr>
        <w:spacing w:after="0" w:line="19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exposed to fluctuations in currency exchange rates, which could negatively affect our financial condition and results of operations.</w:t>
      </w:r>
    </w:p>
    <w:p>
      <w:pPr>
        <w:spacing w:after="0" w:line="263"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0" w:lineRule="exact"/>
        <w:rPr>
          <w:rFonts w:ascii="Arial" w:cs="Arial" w:eastAsia="Arial" w:hAnsi="Arial"/>
          <w:sz w:val="17"/>
          <w:szCs w:val="17"/>
          <w:color w:val="auto"/>
        </w:rPr>
      </w:pPr>
    </w:p>
    <w:p>
      <w:pPr>
        <w:ind w:left="328" w:right="26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trading price of our common stock may be volatile, which volatility may be exacerbated by share repurchases under our Share Repurchase Program (the “Repurchase Program”).</w:t>
      </w:r>
    </w:p>
    <w:p>
      <w:pPr>
        <w:spacing w:after="0" w:line="197" w:lineRule="exact"/>
        <w:rPr>
          <w:rFonts w:ascii="Arial" w:cs="Arial" w:eastAsia="Arial" w:hAnsi="Arial"/>
          <w:sz w:val="18"/>
          <w:szCs w:val="18"/>
          <w:color w:val="auto"/>
        </w:rPr>
      </w:pPr>
    </w:p>
    <w:p>
      <w:pPr>
        <w:ind w:left="328" w:right="100"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197"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uncertainty and weakening product demand caused by political instability, changes in trade agreements and conflicts, such as the conflict between Russia and Ukraine, could adversely affect our business and financial performance.</w:t>
      </w:r>
    </w:p>
    <w:p>
      <w:pPr>
        <w:spacing w:after="0" w:line="200" w:lineRule="exact"/>
        <w:rPr>
          <w:sz w:val="20"/>
          <w:szCs w:val="20"/>
          <w:color w:val="auto"/>
        </w:rPr>
      </w:pPr>
    </w:p>
    <w:p>
      <w:pPr>
        <w:spacing w:after="0" w:line="30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124"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Marketable equity securities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Accounts receivable—net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CONTRACT COSTS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1,777.4</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2,318.1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INCOME TAX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5,120.7</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480"/>
              <w:spacing w:after="0" w:line="176" w:lineRule="exact"/>
              <w:rPr>
                <w:sz w:val="20"/>
                <w:szCs w:val="20"/>
                <w:color w:val="auto"/>
              </w:rPr>
            </w:pPr>
            <w:r>
              <w:rPr>
                <w:rFonts w:ascii="Arial" w:cs="Arial" w:eastAsia="Arial" w:hAnsi="Arial"/>
                <w:sz w:val="18"/>
                <w:szCs w:val="18"/>
                <w:color w:val="auto"/>
                <w:w w:val="98"/>
              </w:rPr>
              <w:t>Common stock, $0.001 par value—300.0 shares authorized; 160.3 and 162.0 shares issued and</w:t>
            </w:r>
          </w:p>
        </w:tc>
        <w:tc>
          <w:tcPr>
            <w:tcW w:w="2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outstanding at March 31, 2022 and December 31, 2021, respectively</w:t>
            </w:r>
          </w:p>
        </w:tc>
        <w:tc>
          <w:tcPr>
            <w:tcW w:w="2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Fortinet, Inc. stockholders’ equity</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86"/>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6"/>
                <w:szCs w:val="16"/>
                <w:color w:val="auto"/>
              </w:rPr>
            </w:pP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30"/>
        </w:trPr>
        <w:tc>
          <w:tcPr>
            <w:tcW w:w="81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LOSS FROM EQUITY METHOD INVESTMENT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 (Note 9):</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used to compute net income per share attributable to Fortinet, Inc.: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3"/>
                <w:szCs w:val="13"/>
                <w:color w:val="auto"/>
              </w:rPr>
            </w:pPr>
          </w:p>
        </w:tc>
        <w:tc>
          <w:tcPr>
            <w:tcW w:w="1360" w:type="dxa"/>
            <w:vAlign w:val="bottom"/>
          </w:tcPr>
          <w:p>
            <w:pPr>
              <w:jc w:val="right"/>
              <w:ind w:right="372"/>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7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Change in unrealized losses on investments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tax benefit related to items of other comprehensive income or loss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including non-controlling interests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Fortinet,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ind w:left="320"/>
              <w:spacing w:after="0"/>
              <w:rPr>
                <w:sz w:val="20"/>
                <w:szCs w:val="20"/>
                <w:color w:val="auto"/>
              </w:rPr>
            </w:pPr>
            <w:r>
              <w:rPr>
                <w:rFonts w:ascii="Arial" w:cs="Arial" w:eastAsia="Arial" w:hAnsi="Arial"/>
                <w:sz w:val="16"/>
                <w:szCs w:val="16"/>
                <w:b w:val="1"/>
                <w:bCs w:val="1"/>
                <w:color w:val="auto"/>
              </w:rPr>
              <w:t>Three Months Ended March 31, 2022</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w w:val="94"/>
              </w:rPr>
              <w:t>Additional</w:t>
            </w:r>
          </w:p>
        </w:tc>
        <w:tc>
          <w:tcPr>
            <w:tcW w:w="12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40"/>
              <w:spacing w:after="0" w:line="162" w:lineRule="exact"/>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w w:val="96"/>
              </w:rPr>
              <w:t>Comprehensive</w:t>
            </w:r>
          </w:p>
        </w:tc>
        <w:tc>
          <w:tcPr>
            <w:tcW w:w="1040" w:type="dxa"/>
            <w:vAlign w:val="bottom"/>
            <w:gridSpan w:val="3"/>
            <w:vMerge w:val="continue"/>
          </w:tcPr>
          <w:p>
            <w:pPr>
              <w:spacing w:after="0"/>
              <w:rPr>
                <w:sz w:val="14"/>
                <w:szCs w:val="14"/>
                <w:color w:val="auto"/>
              </w:rPr>
            </w:pPr>
          </w:p>
        </w:tc>
        <w:tc>
          <w:tcPr>
            <w:tcW w:w="9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Capital</w:t>
            </w:r>
          </w:p>
        </w:tc>
        <w:tc>
          <w:tcPr>
            <w:tcW w:w="12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5"/>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$ 1,254.2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176"/>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BALANCE—March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$ 1,236.3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(1,003.4)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ind w:left="320"/>
              <w:spacing w:after="0"/>
              <w:rPr>
                <w:sz w:val="20"/>
                <w:szCs w:val="20"/>
                <w:color w:val="auto"/>
              </w:rPr>
            </w:pPr>
            <w:r>
              <w:rPr>
                <w:rFonts w:ascii="Arial" w:cs="Arial" w:eastAsia="Arial" w:hAnsi="Arial"/>
                <w:sz w:val="16"/>
                <w:szCs w:val="16"/>
                <w:b w:val="1"/>
                <w:bCs w:val="1"/>
                <w:color w:val="auto"/>
              </w:rPr>
              <w:t>Three Months Ended March 31, 2021</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Additional</w:t>
            </w:r>
          </w:p>
        </w:tc>
        <w:tc>
          <w:tcPr>
            <w:tcW w:w="12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Non-</w:t>
            </w: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8"/>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7"/>
              </w:rPr>
              <w:t>Paid-In</w:t>
            </w:r>
          </w:p>
        </w:tc>
        <w:tc>
          <w:tcPr>
            <w:tcW w:w="122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040" w:type="dxa"/>
            <w:vAlign w:val="bottom"/>
            <w:gridSpan w:val="3"/>
            <w:vMerge w:val="continue"/>
          </w:tcPr>
          <w:p>
            <w:pPr>
              <w:spacing w:after="0"/>
              <w:rPr>
                <w:sz w:val="14"/>
                <w:szCs w:val="14"/>
                <w:color w:val="auto"/>
              </w:rPr>
            </w:pPr>
          </w:p>
        </w:tc>
        <w:tc>
          <w:tcPr>
            <w:tcW w:w="90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rPr>
              <w:t>Controlling</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Capital</w:t>
            </w: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Interests</w:t>
            </w:r>
          </w:p>
        </w:tc>
        <w:tc>
          <w:tcPr>
            <w:tcW w:w="160" w:type="dxa"/>
            <w:vAlign w:val="bottom"/>
          </w:tcPr>
          <w:p>
            <w:pPr>
              <w:spacing w:after="0"/>
              <w:rPr>
                <w:sz w:val="18"/>
                <w:szCs w:val="18"/>
                <w:color w:val="auto"/>
              </w:rPr>
            </w:pPr>
          </w:p>
        </w:tc>
        <w:tc>
          <w:tcPr>
            <w:tcW w:w="740" w:type="dxa"/>
            <w:vAlign w:val="bottom"/>
          </w:tcPr>
          <w:p>
            <w:pPr>
              <w:jc w:val="right"/>
              <w:ind w:right="13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$ 1,207.2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175"/>
        </w:trPr>
        <w:tc>
          <w:tcPr>
            <w:tcW w:w="45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454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BALANCE—March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$ 1,225.2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3"/>
                <w:szCs w:val="13"/>
                <w:color w:val="auto"/>
              </w:rPr>
            </w:pPr>
          </w:p>
        </w:tc>
        <w:tc>
          <w:tcPr>
            <w:tcW w:w="1160" w:type="dxa"/>
            <w:vAlign w:val="bottom"/>
          </w:tcPr>
          <w:p>
            <w:pPr>
              <w:jc w:val="right"/>
              <w:ind w:right="268"/>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Net income including non-controlling interests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Loss from equity method investment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Changes in operating assets and liabilities, net of impact of business combinations: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Accounts receivable—net</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Deferred contract costs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tax assets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Accrued payroll and compensation</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(647.1)</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Sales of investments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Maturities of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 of investment in privately held company</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made in connection with business combinations, net of cash acquired</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(473.5)</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Proceeds from long-term borrowings, net of discount and underwriting fees</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989.4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for debt issuance costs</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956.0</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34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89"/>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1,061.8</w:t>
            </w:r>
          </w:p>
        </w:tc>
        <w:tc>
          <w:tcPr>
            <w:tcW w:w="0" w:type="dxa"/>
            <w:vAlign w:val="bottom"/>
          </w:tcPr>
          <w:p>
            <w:pPr>
              <w:spacing w:after="0"/>
              <w:rPr>
                <w:sz w:val="1"/>
                <w:szCs w:val="1"/>
                <w:color w:val="auto"/>
              </w:rPr>
            </w:pPr>
          </w:p>
        </w:tc>
      </w:tr>
      <w:tr>
        <w:trPr>
          <w:trHeight w:val="186"/>
        </w:trPr>
        <w:tc>
          <w:tcPr>
            <w:tcW w:w="8340" w:type="dxa"/>
            <w:vAlign w:val="bottom"/>
          </w:tcPr>
          <w:p>
            <w:pPr>
              <w:ind w:left="20"/>
              <w:spacing w:after="0"/>
              <w:rPr>
                <w:sz w:val="20"/>
                <w:szCs w:val="20"/>
                <w:color w:val="auto"/>
              </w:rPr>
            </w:pPr>
            <w:r>
              <w:rPr>
                <w:rFonts w:ascii="Arial" w:cs="Arial" w:eastAsia="Arial" w:hAnsi="Arial"/>
                <w:sz w:val="14"/>
                <w:szCs w:val="14"/>
                <w:color w:val="auto"/>
              </w:rPr>
              <w:t>CASH AND CASH EQUIVALENTS—End of period</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1,860.2</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SUPPLEMENTAL DISCLOSURES OF CASH FLOW INFORMATION:</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40" w:type="dxa"/>
            <w:vAlign w:val="bottom"/>
          </w:tcPr>
          <w:p>
            <w:pPr>
              <w:ind w:left="480"/>
              <w:spacing w:after="0"/>
              <w:rPr>
                <w:sz w:val="20"/>
                <w:szCs w:val="20"/>
                <w:color w:val="auto"/>
              </w:rPr>
            </w:pPr>
            <w:r>
              <w:rPr>
                <w:rFonts w:ascii="Arial" w:cs="Arial" w:eastAsia="Arial" w:hAnsi="Arial"/>
                <w:sz w:val="14"/>
                <w:szCs w:val="14"/>
                <w:color w:val="auto"/>
              </w:rPr>
              <w:t>Cash paid for income taxes—net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Liability incurred in connection with business acquisition</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2021, contained in our Annual Report on Form 10-K filed with the SEC on February 25, 2022. In the opinion of management, all adjustments, which include normal recurring adjustments, considered necessary for a fair presentation, have been included. The results of operations for the three months ended March 31, 2022 are not necessarily indicative of the results to be expected for the full year or for any future periods. The condensed consolidated balance sheet as of December 31, 2021 is derived from the audited consolidated financial statements for the year ended December 31, 2021.</w:t>
      </w:r>
    </w:p>
    <w:p>
      <w:pPr>
        <w:spacing w:after="0" w:line="20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51"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2022.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There were no recently adopted accounting standards which would have a material effect on our condensed consolidated financial statements and accompanying disclosures, and no recently issued accounting standards that are expected to have a material impact on our condensed consolidated financial statements and accompanying disclosures.</w:t>
      </w:r>
    </w:p>
    <w:p>
      <w:pPr>
        <w:spacing w:after="0" w:line="20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Core Platform (previously referred to as FortiGate network security and other products), our Platform Extensions (previously referred to as Fortinet Security Fabric products and other products). Service revenue relates to sales of our security subscription services, which mainly consists of our FortiGuard security subscriptions, as well as our FortiCare technical support services and other services.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3"/>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subscription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Technical support and other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r>
      <w:tr>
        <w:trPr>
          <w:trHeight w:val="223"/>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r>
      <w:tr>
        <w:trPr>
          <w:trHeight w:val="21"/>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three months ended March 31, 2022 and 2021, we recognized $507.3 million and $417.9 million in service revenue that was included in the deferred revenue balance as of December 31,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March 31, 2022, the aggregate amount of the transaction price allocated to remaining performance obligations was $3.66 billion, which was substantially comprised of deferred security subscription and technical support services revenue. We expect to recognize approximately $1.89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75" w:lineRule="exact"/>
        <w:rPr>
          <w:sz w:val="20"/>
          <w:szCs w:val="20"/>
          <w:color w:val="auto"/>
        </w:rPr>
      </w:pPr>
    </w:p>
    <w:p>
      <w:pPr>
        <w:ind w:right="280" w:firstLine="583"/>
        <w:spacing w:after="0" w:line="246" w:lineRule="auto"/>
        <w:rPr>
          <w:sz w:val="20"/>
          <w:szCs w:val="20"/>
          <w:color w:val="auto"/>
        </w:rPr>
      </w:pPr>
      <w:r>
        <w:rPr>
          <w:rFonts w:ascii="Arial" w:cs="Arial" w:eastAsia="Arial" w:hAnsi="Arial"/>
          <w:sz w:val="18"/>
          <w:szCs w:val="18"/>
          <w:color w:val="auto"/>
        </w:rPr>
        <w:t>The allowance for credit losses was $2.5 million and $2.4 million as of March 31, 2022 and December 31, 2021, respectively. Provisions, write-offs and recoveries were not material during the three months ended March 31, 2022 and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Amortization of deferred contract costs during the three months ended March 31, 2022 and 2021 were $52.5 million and $39.7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available-for-sale securities (in millions):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March 31, 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9"/>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484.5</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164.4</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5"/>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2"/>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2"/>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539.5</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169.0</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98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1,634.8</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The following tables show the gross unrealized losses and the related fair values of our available-for-sale securities that have been in a continuous unrealized loss position (in millions):</w:t>
      </w:r>
    </w:p>
    <w:tbl>
      <w:tblPr>
        <w:tblLayout w:type="fixed"/>
        <w:tblInd w:w="2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0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28"/>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2021</w:t>
            </w:r>
          </w:p>
        </w:tc>
      </w:tr>
      <w:tr>
        <w:trPr>
          <w:trHeight w:val="22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r>
      <w:tr>
        <w:trPr>
          <w:trHeight w:val="230"/>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within one to three years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r>
      <w:tr>
        <w:trPr>
          <w:trHeight w:val="248"/>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equity and in comprehensive income.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3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Our marketable equity securities were $32.4 million and $38.6 million as of March 31, 2022 and December 31, 2021. The changes in fair value of our marketable equity securities are recorded in other expense, net on the condensed consolidated statements of income. We recognized $6.2 million loss during the three months ended March 31, 2022.</w:t>
      </w:r>
    </w:p>
    <w:p>
      <w:pPr>
        <w:spacing w:after="0" w:line="21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920" w:type="dxa"/>
            <w:vAlign w:val="bottom"/>
          </w:tcPr>
          <w:p>
            <w:pPr>
              <w:jc w:val="center"/>
              <w:ind w:right="80"/>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5"/>
              <w:spacing w:after="0" w:line="122"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0"/>
                <w:szCs w:val="10"/>
                <w:color w:val="auto"/>
              </w:rPr>
            </w:pPr>
          </w:p>
        </w:tc>
        <w:tc>
          <w:tcPr>
            <w:tcW w:w="760" w:type="dxa"/>
            <w:vAlign w:val="bottom"/>
          </w:tcPr>
          <w:p>
            <w:pPr>
              <w:jc w:val="center"/>
              <w:ind w:right="75"/>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920" w:type="dxa"/>
            <w:vAlign w:val="bottom"/>
          </w:tcPr>
          <w:p>
            <w:pPr>
              <w:jc w:val="center"/>
              <w:ind w:right="60"/>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700" w:type="dxa"/>
            <w:vAlign w:val="bottom"/>
          </w:tcPr>
          <w:p>
            <w:pPr>
              <w:ind w:left="460"/>
              <w:spacing w:after="0" w:line="176" w:lineRule="exact"/>
              <w:rPr>
                <w:sz w:val="20"/>
                <w:szCs w:val="20"/>
                <w:color w:val="auto"/>
              </w:rPr>
            </w:pPr>
            <w:r>
              <w:rPr>
                <w:rFonts w:ascii="Arial" w:cs="Arial" w:eastAsia="Arial" w:hAnsi="Arial"/>
                <w:sz w:val="18"/>
                <w:szCs w:val="18"/>
                <w:color w:val="auto"/>
                <w:w w:val="95"/>
              </w:rPr>
              <w:t>U.S. government and agency</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deposits</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w w:val="99"/>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r>
              <w:rPr>
                <w:rFonts w:ascii="Arial" w:cs="Arial" w:eastAsia="Arial" w:hAnsi="Arial"/>
                <w:sz w:val="18"/>
                <w:szCs w:val="18"/>
                <w:u w:val="single" w:color="auto"/>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Marketable equity securities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2022 and year ended December 31, 2021.</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2021</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20" w:type="dxa"/>
            <w:vAlign w:val="bottom"/>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Inventory</w:t>
            </w:r>
          </w:p>
        </w:tc>
        <w:tc>
          <w:tcPr>
            <w:tcW w:w="1320" w:type="dxa"/>
            <w:vAlign w:val="bottom"/>
            <w:tcBorders>
              <w:bottom w:val="single" w:sz="8" w:color="auto"/>
            </w:tcBorders>
          </w:tcPr>
          <w:p>
            <w:pPr>
              <w:jc w:val="right"/>
              <w:ind w:right="113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r>
      <w:tr>
        <w:trPr>
          <w:trHeight w:val="20"/>
        </w:trPr>
        <w:tc>
          <w:tcPr>
            <w:tcW w:w="7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2021</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899.3</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r>
      <w:tr>
        <w:trPr>
          <w:trHeight w:val="21"/>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$19.1 million and $14.0 million during the three months ended March 31, 2022 and 2021, respectively.</w:t>
      </w:r>
    </w:p>
    <w:p>
      <w:pPr>
        <w:spacing w:after="0" w:line="24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Linksys Holdings, Inc.</w:t>
      </w:r>
    </w:p>
    <w:p>
      <w:pPr>
        <w:spacing w:after="0" w:line="239"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On March 19, 2021, we invested $75.0 million in cash for shares of the Series A Preferred Stock of Linksys Holdings, Inc. (“Linksys”) for a 32.6% ownership interest. On September 24, 2021, we invested an additional $85.0 million in cash for shares of Series A Preferred Stock of Linksys, and as of September 30, 2021, we held 50.8% of the outstanding common stock (on an as-converted basis) of Linksys. Linksys provides router connectivity solutions to the consumer and small business markets.</w:t>
      </w:r>
    </w:p>
    <w:p>
      <w:pPr>
        <w:spacing w:after="0" w:line="202" w:lineRule="exact"/>
        <w:rPr>
          <w:sz w:val="20"/>
          <w:szCs w:val="20"/>
          <w:color w:val="auto"/>
        </w:rPr>
      </w:pPr>
    </w:p>
    <w:p>
      <w:pPr>
        <w:ind w:right="80" w:firstLine="648"/>
        <w:spacing w:after="0" w:line="254" w:lineRule="auto"/>
        <w:rPr>
          <w:sz w:val="20"/>
          <w:szCs w:val="20"/>
          <w:color w:val="auto"/>
        </w:rPr>
      </w:pPr>
      <w:r>
        <w:rPr>
          <w:rFonts w:ascii="Arial" w:cs="Arial" w:eastAsia="Arial" w:hAnsi="Arial"/>
          <w:sz w:val="16"/>
          <w:szCs w:val="16"/>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Determining that we have significant influence but not control over the operating and financial policies of Linksys required significant judgement of many factors, including but not limited to the ownership interest in Linksys, board representation, participation in policy-making processes and participation rights in certain significant financial and operating decisions of Linksys in the ordinary course of business. Therefore, we determined to account for this investment using the equity method of accounting. We record our share of Linksys’ financial results on a three-month lag basis. We determined that there was a basis difference between the cost of our investment in Linksys and the amount of underlying equity in net assets of Linksys. Our share of loss of Linksys’ financial results, as well as our share of the amortization of the basis differences, in total was $8.5 million for the three months ended March 31, 2022, and has been recorded in loss from equity method investment on the condensed consolidated statements of income.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2022 and December 31, 2021, the investment was included in other assets on our condensed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related to this investment were not material.</w:t>
      </w:r>
    </w:p>
    <w:p>
      <w:pPr>
        <w:spacing w:after="0" w:line="23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2021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Alaxala Networks Corporation</w:t>
      </w:r>
    </w:p>
    <w:p>
      <w:pPr>
        <w:spacing w:after="0" w:line="279"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On August 31, 2021, we closed an acquisition of 75% of equity interests as controlling interests in Alaxala Networks Corporation (“Alaxala”), a privately held network hardware equipment company in Japan, for $64.2 million in cash. We acquired the equity interests in Alaxala to broaden our offering of secure switches integrated with our Core Platform 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Platform Extension functionality, and, over time, to innovate and rebrand certain of Alaxala’s switches to offer a broader suite of secure switches globally.</w:t>
      </w:r>
    </w:p>
    <w:p>
      <w:pPr>
        <w:spacing w:after="0" w:line="262"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Under the acquisition method of accounting in accordance with ASC 805, the total purchase price was allocated to Alaxala’s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Estimated Fair Value</w:t>
            </w:r>
          </w:p>
        </w:tc>
      </w:tr>
      <w:tr>
        <w:trPr>
          <w:trHeight w:val="212"/>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898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3"/>
        </w:trPr>
        <w:tc>
          <w:tcPr>
            <w:tcW w:w="8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98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8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98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excess of the purchase consideration and the fair value of non-controlling interests over the fair value of net tangible and identified intangible assets acquired was recorded as goodwill, which is not deductible for tax purposes. Goodwill is primarily attributable to the assembled workforce of Alaxala and the anticipated operational synergies.</w:t>
      </w:r>
    </w:p>
    <w:p>
      <w:pPr>
        <w:spacing w:after="0" w:line="202"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fair value of the non-controlling interests of $17.8 million was estimated based on the non-controlling interests’ respective share of the fair value of Alaxala.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Identified intangible assets acquired and their estimated useful lives (in years) as of August 31, 2021, were as follows (in millions, except years):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Fair Value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2"/>
              </w:rPr>
              <w:t>Estimated Useful Life (in years)</w:t>
            </w:r>
          </w:p>
        </w:tc>
      </w:tr>
      <w:tr>
        <w:trPr>
          <w:trHeight w:val="226"/>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80" w:type="dxa"/>
            <w:vAlign w:val="bottom"/>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6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34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34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79"/>
              </w:rPr>
              <w:t>1</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Developed technology relates to Alaxala’s network equipment. We valued the developed technology using the relief-from-royalty method under the income approach. This method reflects the present value of the projected cost savings that are expected to be realized by the owner of the royalty granted in exchange for the use of the asset. The economic useful life was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determined based on the technology cycle related to each developed technology, as well as the cash flows over the forecast period.</w:t>
      </w:r>
    </w:p>
    <w:p>
      <w:pPr>
        <w:spacing w:after="0" w:line="225" w:lineRule="exact"/>
        <w:rPr>
          <w:sz w:val="20"/>
          <w:szCs w:val="20"/>
          <w:color w:val="auto"/>
        </w:rPr>
      </w:pPr>
    </w:p>
    <w:p>
      <w:pPr>
        <w:ind w:left="100" w:right="80" w:firstLine="648"/>
        <w:spacing w:after="0" w:line="246" w:lineRule="auto"/>
        <w:rPr>
          <w:sz w:val="20"/>
          <w:szCs w:val="20"/>
          <w:color w:val="auto"/>
        </w:rPr>
      </w:pPr>
      <w:r>
        <w:rPr>
          <w:rFonts w:ascii="Arial" w:cs="Arial" w:eastAsia="Arial" w:hAnsi="Arial"/>
          <w:sz w:val="17"/>
          <w:szCs w:val="17"/>
          <w:color w:val="auto"/>
        </w:rPr>
        <w:t>Customer relationships represent the fair value of future projected revenue that will be derived from sales to existing customers of Alaxala. Customer contracts and related relationships were valued using the multi-period excess earnings method. This method reflects the present value of the projected cash flows that are expected to be generated by the customer contracts and relationships less charges representing the contribution of other assets to those cash flows. The economic useful life was determined based on historical customer turnover rates.</w:t>
      </w:r>
    </w:p>
    <w:p>
      <w:pPr>
        <w:spacing w:after="0" w:line="198" w:lineRule="exact"/>
        <w:rPr>
          <w:sz w:val="20"/>
          <w:szCs w:val="20"/>
          <w:color w:val="auto"/>
        </w:rPr>
      </w:pPr>
    </w:p>
    <w:p>
      <w:pPr>
        <w:ind w:left="100" w:right="240" w:firstLine="648"/>
        <w:spacing w:after="0" w:line="235" w:lineRule="auto"/>
        <w:rPr>
          <w:sz w:val="20"/>
          <w:szCs w:val="20"/>
          <w:color w:val="auto"/>
        </w:rPr>
      </w:pPr>
      <w:r>
        <w:rPr>
          <w:rFonts w:ascii="Arial" w:cs="Arial" w:eastAsia="Arial" w:hAnsi="Arial"/>
          <w:sz w:val="18"/>
          <w:szCs w:val="18"/>
          <w:color w:val="auto"/>
        </w:rPr>
        <w:t>Trade name relates to the “Alaxala”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202" w:lineRule="exact"/>
        <w:rPr>
          <w:sz w:val="20"/>
          <w:szCs w:val="20"/>
          <w:color w:val="auto"/>
        </w:rPr>
      </w:pPr>
    </w:p>
    <w:p>
      <w:pPr>
        <w:ind w:left="100" w:right="140" w:firstLine="648"/>
        <w:spacing w:after="0" w:line="231" w:lineRule="auto"/>
        <w:rPr>
          <w:sz w:val="20"/>
          <w:szCs w:val="20"/>
          <w:color w:val="auto"/>
        </w:rPr>
      </w:pPr>
      <w:r>
        <w:rPr>
          <w:rFonts w:ascii="Arial" w:cs="Arial" w:eastAsia="Arial" w:hAnsi="Arial"/>
          <w:sz w:val="18"/>
          <w:szCs w:val="18"/>
          <w:color w:val="auto"/>
        </w:rPr>
        <w:t>Customer backlog relates to the unfulfilled customer contract orders. Backlog was valued using the multi-period excess earnings method. This method reflects the present value of the projected cash flows that are expected to be generated by the execution of the unfulfilled customer contract orders less charges representing the contribution of other assets to those cash flows. The economic useful life was determined based on the anticipated contract orders’ execution timeframe.</w:t>
      </w:r>
    </w:p>
    <w:p>
      <w:pPr>
        <w:spacing w:after="0" w:line="202" w:lineRule="exact"/>
        <w:rPr>
          <w:sz w:val="20"/>
          <w:szCs w:val="20"/>
          <w:color w:val="auto"/>
        </w:rPr>
      </w:pPr>
    </w:p>
    <w:p>
      <w:pPr>
        <w:ind w:left="100" w:right="40" w:firstLine="648"/>
        <w:spacing w:after="0" w:line="276" w:lineRule="auto"/>
        <w:rPr>
          <w:sz w:val="20"/>
          <w:szCs w:val="20"/>
          <w:color w:val="auto"/>
        </w:rPr>
      </w:pPr>
      <w:r>
        <w:rPr>
          <w:rFonts w:ascii="Arial" w:cs="Arial" w:eastAsia="Arial" w:hAnsi="Arial"/>
          <w:sz w:val="16"/>
          <w:szCs w:val="16"/>
          <w:color w:val="auto"/>
        </w:rPr>
        <w:t>In connection with our acquisition of Alaxala, we assumed certain current debt liabilities of $20.2 million as of August 31, 2021. We concluded that the fair value of this debt approximated its book value as of the acquisition date. We repaid this debt in full in September and October 2021. During the post-acquisition period from September 1, 2021 through the repayment dates, interest expense related to Alaxala debt was not material.</w:t>
      </w:r>
    </w:p>
    <w:p>
      <w:pPr>
        <w:spacing w:after="0" w:line="175" w:lineRule="exact"/>
        <w:rPr>
          <w:sz w:val="20"/>
          <w:szCs w:val="20"/>
          <w:color w:val="auto"/>
        </w:rPr>
      </w:pPr>
    </w:p>
    <w:p>
      <w:pPr>
        <w:ind w:left="100" w:right="240" w:firstLine="648"/>
        <w:spacing w:after="0" w:line="225"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of Fortinet, Inc. and Alaxala, as if Alaxala had been acquired as of the beginning of business on January 1, 2020. The unaudited pro forma financial information is presented for informational purposes only and is not necessarily indicative of our consolidated results of operations of the combined business that would have been achieved if the acquisition had taken place at the beginning of business on January 1, 2020, or of the results of our future operations of the combined business. The following unaudited pro forma financial information for all periods presented includes purchase accounting adjustments for amortization of acquired intangible assets, depreciation of acquired property and equipment, the purchase accounting effect on inventory acquired and related tax effects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355"/>
              <w:spacing w:after="0" w:line="158" w:lineRule="exact"/>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355"/>
              <w:spacing w:after="0" w:line="158" w:lineRule="exact"/>
              <w:rPr>
                <w:sz w:val="20"/>
                <w:szCs w:val="20"/>
                <w:color w:val="auto"/>
              </w:rPr>
            </w:pPr>
            <w:r>
              <w:rPr>
                <w:rFonts w:ascii="Arial" w:cs="Arial" w:eastAsia="Arial" w:hAnsi="Arial"/>
                <w:sz w:val="16"/>
                <w:szCs w:val="16"/>
                <w:b w:val="1"/>
                <w:bCs w:val="1"/>
                <w:color w:val="auto"/>
              </w:rPr>
              <w:t>March 31,</w:t>
            </w:r>
          </w:p>
        </w:tc>
      </w:tr>
      <w:tr>
        <w:trPr>
          <w:trHeight w:val="210"/>
        </w:trPr>
        <w:tc>
          <w:tcPr>
            <w:tcW w:w="20" w:type="dxa"/>
            <w:vAlign w:val="bottom"/>
          </w:tcPr>
          <w:p>
            <w:pPr>
              <w:spacing w:after="0"/>
              <w:rPr>
                <w:sz w:val="18"/>
                <w:szCs w:val="18"/>
                <w:color w:val="auto"/>
              </w:rPr>
            </w:pPr>
          </w:p>
        </w:tc>
        <w:tc>
          <w:tcPr>
            <w:tcW w:w="58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r>
      <w:tr>
        <w:trPr>
          <w:trHeight w:val="229"/>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r>
      <w:tr>
        <w:trPr>
          <w:trHeight w:val="243"/>
        </w:trPr>
        <w:tc>
          <w:tcPr>
            <w:tcW w:w="2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Pro forma net income attributable to Fortinet, Inc.</w:t>
            </w:r>
          </w:p>
        </w:tc>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107.6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101.4</w:t>
            </w: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ShieldX Networks, Inc.</w:t>
      </w:r>
    </w:p>
    <w:p>
      <w:pPr>
        <w:spacing w:after="0" w:line="225" w:lineRule="exact"/>
        <w:rPr>
          <w:sz w:val="20"/>
          <w:szCs w:val="20"/>
          <w:color w:val="auto"/>
        </w:rPr>
      </w:pPr>
    </w:p>
    <w:p>
      <w:pPr>
        <w:jc w:val="both"/>
        <w:ind w:left="100" w:right="500" w:firstLine="648"/>
        <w:spacing w:after="0" w:line="235" w:lineRule="auto"/>
        <w:rPr>
          <w:sz w:val="20"/>
          <w:szCs w:val="20"/>
          <w:color w:val="auto"/>
        </w:rPr>
      </w:pPr>
      <w:r>
        <w:rPr>
          <w:rFonts w:ascii="Arial" w:cs="Arial" w:eastAsia="Arial" w:hAnsi="Arial"/>
          <w:sz w:val="18"/>
          <w:szCs w:val="18"/>
          <w:color w:val="auto"/>
        </w:rPr>
        <w:t>On March 10, 2021, we closed an acquisition of certain assets and liabilities of ShieldX Networks Inc. (“ShieldX”), a provider of a security platform focusing on protecting multi-cloud data centers from the risk of lateral movement that can lead to attacks such as ransomware, data loss and service disruption, for $10.8 million in cash, of which, $6.2 million was allocated to goodwill.</w:t>
      </w:r>
    </w:p>
    <w:p>
      <w:pPr>
        <w:spacing w:after="0" w:line="200" w:lineRule="exact"/>
        <w:rPr>
          <w:sz w:val="20"/>
          <w:szCs w:val="20"/>
          <w:color w:val="auto"/>
        </w:rPr>
      </w:pPr>
    </w:p>
    <w:p>
      <w:pPr>
        <w:spacing w:after="0" w:line="254" w:lineRule="exact"/>
        <w:rPr>
          <w:sz w:val="20"/>
          <w:szCs w:val="20"/>
          <w:color w:val="auto"/>
        </w:rPr>
      </w:pPr>
    </w:p>
    <w:p>
      <w:pPr>
        <w:ind w:left="460" w:hanging="3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260" w:type="dxa"/>
            <w:vAlign w:val="bottom"/>
            <w:tcBorders>
              <w:bottom w:val="single" w:sz="8" w:color="CCEEFF"/>
            </w:tcBorders>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47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7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2022</w:t>
            </w:r>
          </w:p>
        </w:tc>
        <w:tc>
          <w:tcPr>
            <w:tcW w:w="4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jc w:val="right"/>
              <w:ind w:right="3190"/>
              <w:spacing w:after="0"/>
              <w:rPr>
                <w:sz w:val="20"/>
                <w:szCs w:val="20"/>
                <w:color w:val="auto"/>
              </w:rPr>
            </w:pPr>
            <w:r>
              <w:rPr>
                <w:rFonts w:ascii="Arial" w:cs="Arial" w:eastAsia="Arial" w:hAnsi="Arial"/>
                <w:sz w:val="18"/>
                <w:szCs w:val="18"/>
                <w:color w:val="auto"/>
              </w:rPr>
              <w:t>15</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2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three months ended March 31, 2022 or during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50"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March 31, 2022</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December 31, 2021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$6.4 million and $3.4 million during the three months ended March 31, 2022 and 2021,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2022 (the remainder of 2022)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9000" w:type="dxa"/>
            <w:vAlign w:val="bottom"/>
          </w:tcPr>
          <w:p>
            <w:pPr>
              <w:ind w:left="34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43" w:lineRule="exact"/>
        <w:rPr>
          <w:sz w:val="20"/>
          <w:szCs w:val="20"/>
          <w:color w:val="auto"/>
        </w:rPr>
      </w:pPr>
    </w:p>
    <w:p>
      <w:pPr>
        <w:ind w:right="220" w:firstLine="648"/>
        <w:spacing w:after="0" w:line="231" w:lineRule="auto"/>
        <w:rPr>
          <w:sz w:val="20"/>
          <w:szCs w:val="20"/>
          <w:color w:val="auto"/>
        </w:rPr>
      </w:pPr>
      <w:r>
        <w:rPr>
          <w:rFonts w:ascii="Arial" w:cs="Arial" w:eastAsia="Arial" w:hAnsi="Arial"/>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attributable to Fortinet, Inc. is as follows (in millions, except per share amounts):</w:t>
      </w: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29"/>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income attributable to Fortinet,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Weighted-average common stock outstanding-basic</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30"/>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100" w:type="dxa"/>
            <w:vAlign w:val="bottom"/>
          </w:tcPr>
          <w:p>
            <w:pPr>
              <w:ind w:left="88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Weighted-average shares used to compute diluted net income per share attributable to Fortinet, Inc.</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attributable to Fortinet, Inc.:</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weighted-average shares of common stock were excluded from the computation of diluted net income per share attributable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Fortinet, Inc. for the periods presented, as their effect would have been antidilutive (in millions):</w:t>
      </w:r>
    </w:p>
    <w:p>
      <w:pPr>
        <w:spacing w:after="0" w:line="36"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180" w:type="dxa"/>
            <w:vAlign w:val="bottom"/>
            <w:tcBorders>
              <w:top w:val="single" w:sz="8" w:color="auto"/>
            </w:tcBorders>
          </w:tcPr>
          <w:p>
            <w:pPr>
              <w:jc w:val="center"/>
              <w:ind w:left="279"/>
              <w:spacing w:after="0" w:line="161" w:lineRule="exact"/>
              <w:rPr>
                <w:sz w:val="20"/>
                <w:szCs w:val="20"/>
                <w:color w:val="auto"/>
              </w:rPr>
            </w:pPr>
            <w:r>
              <w:rPr>
                <w:rFonts w:ascii="Arial" w:cs="Arial" w:eastAsia="Arial" w:hAnsi="Arial"/>
                <w:sz w:val="16"/>
                <w:szCs w:val="16"/>
                <w:b w:val="1"/>
                <w:bCs w:val="1"/>
                <w:color w:val="auto"/>
                <w:w w:val="94"/>
              </w:rPr>
              <w:t>March 31,</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314"/>
              <w:spacing w:after="0" w:line="161" w:lineRule="exact"/>
              <w:rPr>
                <w:sz w:val="20"/>
                <w:szCs w:val="20"/>
                <w:color w:val="auto"/>
              </w:rPr>
            </w:pPr>
            <w:r>
              <w:rPr>
                <w:rFonts w:ascii="Arial" w:cs="Arial" w:eastAsia="Arial" w:hAnsi="Arial"/>
                <w:sz w:val="16"/>
                <w:szCs w:val="16"/>
                <w:b w:val="1"/>
                <w:bCs w:val="1"/>
                <w:color w:val="auto"/>
              </w:rPr>
              <w:t>March 31,</w:t>
            </w:r>
          </w:p>
        </w:tc>
      </w:tr>
      <w:tr>
        <w:trPr>
          <w:trHeight w:val="213"/>
        </w:trPr>
        <w:tc>
          <w:tcPr>
            <w:tcW w:w="92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4"/>
              <w:spacing w:after="0"/>
              <w:rPr>
                <w:sz w:val="20"/>
                <w:szCs w:val="20"/>
                <w:color w:val="auto"/>
              </w:rPr>
            </w:pPr>
            <w:r>
              <w:rPr>
                <w:rFonts w:ascii="Arial" w:cs="Arial" w:eastAsia="Arial" w:hAnsi="Arial"/>
                <w:sz w:val="16"/>
                <w:szCs w:val="16"/>
                <w:b w:val="1"/>
                <w:bCs w:val="1"/>
                <w:color w:val="auto"/>
              </w:rPr>
              <w:t>2021</w:t>
            </w:r>
          </w:p>
        </w:tc>
      </w:tr>
      <w:tr>
        <w:trPr>
          <w:trHeight w:val="226"/>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0.3</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and 2031 Senior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March 31, 2022 and December 31, 2021, the Senior Notes were recorded as long-term debt, net of discount and issuance costs, which are amortized to interest expense over the respective contractual terms of these notes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Coupon Rate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Effective Interest</w:t>
            </w: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Rate</w:t>
            </w:r>
          </w:p>
        </w:tc>
        <w:tc>
          <w:tcPr>
            <w:tcW w:w="220" w:type="dxa"/>
            <w:vAlign w:val="bottom"/>
          </w:tcPr>
          <w:p>
            <w:pPr>
              <w:spacing w:after="0"/>
              <w:rPr>
                <w:sz w:val="18"/>
                <w:szCs w:val="18"/>
                <w:color w:val="auto"/>
              </w:rPr>
            </w:pPr>
          </w:p>
        </w:tc>
        <w:tc>
          <w:tcPr>
            <w:tcW w:w="1120" w:type="dxa"/>
            <w:vAlign w:val="bottom"/>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2026</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2031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Less: Unamortized discount and debt issuance costs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March 31, 2022 and December 31, 2021, we accrued interest payable of $0.7 million and $4.7 million, and there are no financial covenants with which we must comply. During the three months ended March 31, 2022 and 2021 we recorded $4.5 million and $1.3 million of total interest expense in relation to these Senior Notes, respectively. No interest costs were capitalized for the three months ended March 31, 2022 and 2021, as the costs that qualified for capitalization were not material.</w:t>
      </w:r>
    </w:p>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total estimated fair value of the outstanding Senior Notes was approximately $899.5 million, including accrued and unpaid interest, as of March 31, 2022. The fair value was determined based on observable market prices of identical instruments in less active markets. The estimated fair values are based on Level 2 inputs.</w:t>
      </w:r>
    </w:p>
    <w:p>
      <w:pPr>
        <w:spacing w:after="0" w:line="207"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5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19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each of the three months ended March 31, 2022 and 2021, we recorded $1.1 million gain on IP matter in our condensed consolidated statements of income. We had $4.1 million in accrued liabilities and $5.2 million in accrued liabilities and other liabilities in our condensed consolidated balance sheets as of March 31, 2022 and December 31, 2021, respectively.</w:t>
      </w:r>
    </w:p>
    <w:p>
      <w:pPr>
        <w:spacing w:after="0" w:line="20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March 31, 2022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1100" w:type="dxa"/>
            <w:vAlign w:val="bottom"/>
          </w:tcPr>
          <w:p>
            <w:pPr>
              <w:spacing w:after="0"/>
              <w:rPr>
                <w:sz w:val="18"/>
                <w:szCs w:val="18"/>
                <w:color w:val="auto"/>
              </w:rPr>
            </w:pPr>
          </w:p>
        </w:tc>
        <w:tc>
          <w:tcPr>
            <w:tcW w:w="1460" w:type="dxa"/>
            <w:vAlign w:val="bottom"/>
          </w:tcPr>
          <w:p>
            <w:pPr>
              <w:jc w:val="right"/>
              <w:ind w:right="695"/>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jc w:val="right"/>
              <w:ind w:right="45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34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Inventory purchase commitments</w:t>
            </w:r>
          </w:p>
        </w:tc>
        <w:tc>
          <w:tcPr>
            <w:tcW w:w="11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r>
    </w:tbl>
    <w:p>
      <w:pPr>
        <w:spacing w:after="0" w:line="292" w:lineRule="exact"/>
        <w:rPr>
          <w:sz w:val="20"/>
          <w:szCs w:val="20"/>
          <w:color w:val="auto"/>
        </w:rPr>
      </w:pPr>
    </w:p>
    <w:p>
      <w:pPr>
        <w:ind w:right="140" w:firstLine="648"/>
        <w:spacing w:after="0" w:line="232" w:lineRule="auto"/>
        <w:rPr>
          <w:sz w:val="20"/>
          <w:szCs w:val="20"/>
          <w:color w:val="auto"/>
        </w:rPr>
      </w:pPr>
      <w:r>
        <w:rPr>
          <w:rFonts w:ascii="Arial" w:cs="Arial" w:eastAsia="Arial" w:hAnsi="Arial"/>
          <w:sz w:val="18"/>
          <w:szCs w:val="18"/>
          <w:b w:val="1"/>
          <w:bCs w:val="1"/>
          <w:color w:val="auto"/>
        </w:rPr>
        <w:t>Inventory Purchase Commitments</w:t>
      </w:r>
      <w:r>
        <w:rPr>
          <w:rFonts w:ascii="Arial" w:cs="Arial" w:eastAsia="Arial" w:hAnsi="Arial"/>
          <w:sz w:val="18"/>
          <w:szCs w:val="18"/>
          <w:color w:val="auto"/>
        </w:rPr>
        <w:t>—Our independent contract manufacturers and certain component suppliers procure components and build</w:t>
      </w:r>
      <w:r>
        <w:rPr>
          <w:rFonts w:ascii="Arial" w:cs="Arial" w:eastAsia="Arial" w:hAnsi="Arial"/>
          <w:sz w:val="18"/>
          <w:szCs w:val="18"/>
          <w:b w:val="1"/>
          <w:bCs w:val="1"/>
          <w:color w:val="auto"/>
        </w:rPr>
        <w:t xml:space="preserve"> </w:t>
      </w:r>
      <w:r>
        <w:rPr>
          <w:rFonts w:ascii="Arial" w:cs="Arial" w:eastAsia="Arial" w:hAnsi="Arial"/>
          <w:sz w:val="18"/>
          <w:szCs w:val="18"/>
          <w:color w:val="auto"/>
        </w:rPr>
        <w:t>our products based on our forecasts. These forecasts are based on estimates of future demand for our products, which are in turn based on historical trends and an analysis from our sales and marketing organizations, adjusted for extended lead times, changes in supplier delivery commitments and other supply chain matters and other market conditions.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In order to manage manufacturing lead times, plan for adequate component supply and incentivize suppliers to deliver, we may issue purchase orders to some of our independent contract manufacturers which are non-cancelable. As of March 31, 2022 and December 31, 2021, we had $1.37 billion and $1.14 billion, respectively, of open purchase orders with our independent contract manufacturers that are non-cancelable.</w:t>
      </w:r>
    </w:p>
    <w:p>
      <w:pPr>
        <w:spacing w:after="0" w:line="201"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b w:val="1"/>
          <w:bCs w:val="1"/>
          <w:color w:val="auto"/>
        </w:rPr>
        <w:t>Other Contractual Commitments and Open Purchase Orders</w:t>
      </w:r>
      <w:r>
        <w:rPr>
          <w:rFonts w:ascii="Arial" w:cs="Arial" w:eastAsia="Arial" w:hAnsi="Arial"/>
          <w:sz w:val="16"/>
          <w:szCs w:val="16"/>
          <w:color w:val="auto"/>
        </w:rPr>
        <w:t>—In addition to commitments with contract manufacturers, we have open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orders and contractual obligations in the ordinary course of business for which we have not received goods or services. A significant portion of our reported purchase commitments consist of firm and non-cancelable commitments. In certain instances, contractual commitments allow us the option to cancel, reschedule and adjust our requirements based on our business needs prior to firm orders being placed. As of March 31, 2022 and December 31, 2021, we had $114.4 million and $126.7 million, respectively, in other contractual commitments having a remaining term in excess of one year that are non-cancelable and an additional $85.4 million and $68.9 million, respectively, in contractual commitments for operating lease liabilities.</w:t>
      </w:r>
    </w:p>
    <w:p>
      <w:pPr>
        <w:spacing w:after="0" w:line="173"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w:t>
      </w:r>
    </w:p>
    <w:p>
      <w:pPr>
        <w:spacing w:after="0" w:line="216" w:lineRule="exact"/>
        <w:rPr>
          <w:sz w:val="20"/>
          <w:szCs w:val="20"/>
          <w:color w:val="auto"/>
        </w:rPr>
      </w:pPr>
    </w:p>
    <w:p>
      <w:pPr>
        <w:ind w:right="260" w:firstLine="648"/>
        <w:spacing w:after="0" w:line="241" w:lineRule="auto"/>
        <w:rPr>
          <w:sz w:val="20"/>
          <w:szCs w:val="20"/>
          <w:color w:val="auto"/>
        </w:rPr>
      </w:pPr>
      <w:r>
        <w:rPr>
          <w:rFonts w:ascii="Arial" w:cs="Arial" w:eastAsia="Arial" w:hAnsi="Arial"/>
          <w:sz w:val="18"/>
          <w:szCs w:val="18"/>
          <w:color w:val="auto"/>
        </w:rPr>
        <w:t>In December 2021, we entered into an agreement that provided for settlement and dismissal of an existing patent infringement lawsuit and a mutual covenant-not-to-sue for a defined duration of time. We have settled and paid $10.0 million in cash, of which $5.6 million was related to the dismissal of lawsuit and was expensed as a general and administrative expense, and $4.4 million was deferred and will be expensed over time as royalty cost of revenue. Litigation loss contingency accruals associated with other outstanding cases were not material as of March 31, 2022 and December 31, 2021.</w:t>
      </w:r>
    </w:p>
    <w:p>
      <w:pPr>
        <w:spacing w:after="0" w:line="21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1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5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maintain the Amended and Restated Fortinet, Inc. 2009 Equity Incentive Plan (the “Amended Plan”) pursuant to which we have granted RSUs and stock options. As of March 31, 2022, there were a total of 11.4 million shares of common stock available for grant under the Amended Plan.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500" w:firstLine="648"/>
        <w:spacing w:after="0" w:line="274"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7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3"/>
              <w:spacing w:after="0"/>
              <w:rPr>
                <w:sz w:val="20"/>
                <w:szCs w:val="20"/>
                <w:color w:val="auto"/>
              </w:rPr>
            </w:pPr>
            <w:r>
              <w:rPr>
                <w:rFonts w:ascii="Arial" w:cs="Arial" w:eastAsia="Arial" w:hAnsi="Arial"/>
                <w:sz w:val="18"/>
                <w:szCs w:val="18"/>
                <w:color w:val="auto"/>
                <w:w w:val="95"/>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310.54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157.04</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2022</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March 31, 2022, total compensation expense related to unvested RSUs granted to employees and non-employees under the Amended Plan, but not yet recognized, was $449.7 million, with a weighted-average remaining vesting period of 2.8 years.</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center"/>
              <w:ind w:left="337"/>
              <w:spacing w:after="0" w:line="158" w:lineRule="exact"/>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13"/>
                <w:szCs w:val="13"/>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Amount withheld for taxes</w:t>
            </w:r>
          </w:p>
        </w:tc>
        <w:tc>
          <w:tcPr>
            <w:tcW w:w="1120" w:type="dxa"/>
            <w:vAlign w:val="bottom"/>
          </w:tcPr>
          <w:p>
            <w:pPr>
              <w:jc w:val="right"/>
              <w:ind w:right="91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64.8</w:t>
            </w:r>
          </w:p>
        </w:tc>
        <w:tc>
          <w:tcPr>
            <w:tcW w:w="100" w:type="dxa"/>
            <w:vAlign w:val="bottom"/>
          </w:tcPr>
          <w:p>
            <w:pPr>
              <w:spacing w:after="0"/>
              <w:rPr>
                <w:sz w:val="20"/>
                <w:szCs w:val="20"/>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41.4</w:t>
            </w:r>
          </w:p>
        </w:tc>
      </w:tr>
    </w:tbl>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38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7860" w:type="dxa"/>
            <w:vAlign w:val="bottom"/>
          </w:tcPr>
          <w:p>
            <w:pPr>
              <w:spacing w:after="0"/>
              <w:rPr>
                <w:sz w:val="13"/>
                <w:szCs w:val="13"/>
                <w:color w:val="auto"/>
              </w:rPr>
            </w:pPr>
          </w:p>
        </w:tc>
        <w:tc>
          <w:tcPr>
            <w:tcW w:w="1740" w:type="dxa"/>
            <w:vAlign w:val="bottom"/>
            <w:gridSpan w:val="2"/>
          </w:tcPr>
          <w:p>
            <w:pPr>
              <w:ind w:left="460"/>
              <w:spacing w:after="0" w:line="158" w:lineRule="exact"/>
              <w:rPr>
                <w:sz w:val="20"/>
                <w:szCs w:val="20"/>
                <w:color w:val="auto"/>
              </w:rPr>
            </w:pPr>
            <w:r>
              <w:rPr>
                <w:rFonts w:ascii="Arial" w:cs="Arial" w:eastAsia="Arial" w:hAnsi="Arial"/>
                <w:sz w:val="16"/>
                <w:szCs w:val="16"/>
                <w:b w:val="1"/>
                <w:bCs w:val="1"/>
                <w:color w:val="auto"/>
              </w:rPr>
              <w:t>March 31,</w:t>
            </w:r>
          </w:p>
        </w:tc>
        <w:tc>
          <w:tcPr>
            <w:tcW w:w="164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7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39.5 %</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310.54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vest—March 31, 2022</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112.70</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exercisable—March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March 31, 2022 for all in-the-money stock options. Stock compensation expense is recognized on a straight-line basis over the vesting period of each stock option. As of March 31, 2022, total compensation expense related to unvested stock options granted to employees but not yet recognized was $67.0 million, with a weighted-average remaining vesting period of 3.1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4"/>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Intrinsic value of options exercised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options vested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bl>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26.7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26.8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8100" w:type="dxa"/>
            <w:vAlign w:val="bottom"/>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53.9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50.0</w:t>
            </w:r>
          </w:p>
        </w:tc>
      </w:tr>
      <w:tr>
        <w:trPr>
          <w:trHeight w:val="20"/>
        </w:trPr>
        <w:tc>
          <w:tcPr>
            <w:tcW w:w="8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9"/>
        </w:trPr>
        <w:tc>
          <w:tcPr>
            <w:tcW w:w="8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5"/>
              <w:spacing w:after="0" w:line="158" w:lineRule="exact"/>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13"/>
                <w:szCs w:val="13"/>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9"/>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2021</w:t>
            </w:r>
          </w:p>
        </w:tc>
        <w:tc>
          <w:tcPr>
            <w:tcW w:w="400" w:type="dxa"/>
            <w:vAlign w:val="bottom"/>
            <w:tcBorders>
              <w:bottom w:val="single" w:sz="8" w:color="auto"/>
            </w:tcBorders>
          </w:tcPr>
          <w:p>
            <w:pPr>
              <w:spacing w:after="0"/>
              <w:rPr>
                <w:sz w:val="18"/>
                <w:szCs w:val="18"/>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45.8</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50.0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0"/>
        </w:trPr>
        <w:tc>
          <w:tcPr>
            <w:tcW w:w="11240" w:type="dxa"/>
            <w:vAlign w:val="bottom"/>
            <w:gridSpan w:val="6"/>
          </w:tcPr>
          <w:p>
            <w:pPr>
              <w:ind w:left="660"/>
              <w:spacing w:after="0"/>
              <w:rPr>
                <w:sz w:val="20"/>
                <w:szCs w:val="20"/>
                <w:color w:val="auto"/>
              </w:rPr>
            </w:pPr>
            <w:r>
              <w:rPr>
                <w:rFonts w:ascii="Arial" w:cs="Arial" w:eastAsia="Arial" w:hAnsi="Arial"/>
                <w:sz w:val="18"/>
                <w:szCs w:val="18"/>
                <w:color w:val="auto"/>
                <w:w w:val="91"/>
              </w:rPr>
              <w:t>Total income tax benefit associated with stock-based compensation that is recognized in the condensed consolidated statements of income is as</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follows (in millions):</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4"/>
        </w:trPr>
        <w:tc>
          <w:tcPr>
            <w:tcW w:w="81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24"/>
                <w:szCs w:val="24"/>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center"/>
              <w:ind w:left="336"/>
              <w:spacing w:after="0" w:line="158" w:lineRule="exact"/>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335"/>
              <w:spacing w:after="0" w:line="158" w:lineRule="exact"/>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13"/>
                <w:szCs w:val="13"/>
                <w:color w:val="auto"/>
              </w:rPr>
            </w:pPr>
          </w:p>
        </w:tc>
      </w:tr>
      <w:tr>
        <w:trPr>
          <w:trHeight w:val="213"/>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6"/>
              <w:spacing w:after="0"/>
              <w:rPr>
                <w:sz w:val="20"/>
                <w:szCs w:val="20"/>
                <w:color w:val="auto"/>
              </w:rPr>
            </w:pPr>
            <w:r>
              <w:rPr>
                <w:rFonts w:ascii="Arial" w:cs="Arial" w:eastAsia="Arial" w:hAnsi="Arial"/>
                <w:sz w:val="16"/>
                <w:szCs w:val="16"/>
                <w:b w:val="1"/>
                <w:bCs w:val="1"/>
                <w:color w:val="auto"/>
                <w:w w:val="89"/>
              </w:rPr>
              <w:t>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2021</w:t>
            </w:r>
          </w:p>
        </w:tc>
        <w:tc>
          <w:tcPr>
            <w:tcW w:w="400" w:type="dxa"/>
            <w:vAlign w:val="bottom"/>
            <w:tcBorders>
              <w:bottom w:val="single" w:sz="8" w:color="auto"/>
            </w:tcBorders>
          </w:tcPr>
          <w:p>
            <w:pPr>
              <w:spacing w:after="0"/>
              <w:rPr>
                <w:sz w:val="18"/>
                <w:szCs w:val="18"/>
                <w:color w:val="auto"/>
              </w:rPr>
            </w:pP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43"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In October 2021, under the Share Repurchase Program originally approved by our board of directors in January 2016 (the “Repurchase Program”), our board of directors approved a $1.25 billion increase and extended the term to February 28, 2023, bringing the aggregate amount authorized to be repurchased to $4.25 billion.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8"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During the three months ended March 31, 2022, we repurchased 2.3 million shares of common stock under the Repurchase Program in open-market transactions at a weighted-average price of $304.13 per share for an aggregate purchase price of $691.2 million. As of March 31, 2022, $829.6 million remained available for future share repurchases under the Repurchase Program.</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43" w:lineRule="exact"/>
        <w:rPr>
          <w:sz w:val="20"/>
          <w:szCs w:val="20"/>
          <w:color w:val="auto"/>
        </w:rPr>
      </w:pPr>
    </w:p>
    <w:p>
      <w:pPr>
        <w:ind w:right="100" w:firstLine="648"/>
        <w:spacing w:after="0" w:line="237" w:lineRule="auto"/>
        <w:rPr>
          <w:sz w:val="20"/>
          <w:szCs w:val="20"/>
          <w:color w:val="auto"/>
        </w:rPr>
      </w:pPr>
      <w:r>
        <w:rPr>
          <w:rFonts w:ascii="Arial" w:cs="Arial" w:eastAsia="Arial" w:hAnsi="Arial"/>
          <w:sz w:val="17"/>
          <w:szCs w:val="17"/>
          <w:color w:val="auto"/>
        </w:rPr>
        <w:t>Our effective tax rate was negative 6% for the three months ended March 31, 2022, compared to an effective tax rate of 10% for the same period last year. The effective tax rates for the periods presented are primarily comprised of U.S. federal and state taxes, withholding taxes, foreign taxes, the tax benefit from foreign-derived intangible income deduction (the “FDII deduction”) and excess tax benefits from stock-based compensation expense. The tax rates for the three months ended March 31, 2022 and 2021 were composed of U.S. federal and state taxes, withholding taxes and foreign taxes that amounted to $38.5 million and $35.7 million, respectively. The tax rate for the three months ended March 31, 2022 was impacted by a tax benefit of $14.4 million from the FDII deduction and excess tax benefits from stock-based compensation expense of $32.2 million. The tax rate for the three months ended March 31, 2021 was impacted by a tax benefit of $7.3 million from the FDII deduction and excess tax benefits from stock-based compensation expense of $16.2 million. The change of effective tax rate from March 31, 2021 to March 31, 2022 primarily resulted from the increase in the FDII deduction and excess tax benefits from stock-based compensation expense.</w:t>
      </w:r>
    </w:p>
    <w:p>
      <w:pPr>
        <w:spacing w:after="0" w:line="207" w:lineRule="exact"/>
        <w:rPr>
          <w:sz w:val="20"/>
          <w:szCs w:val="20"/>
          <w:color w:val="auto"/>
        </w:rPr>
      </w:pPr>
    </w:p>
    <w:p>
      <w:pPr>
        <w:ind w:right="80" w:firstLine="648"/>
        <w:spacing w:after="0" w:line="227" w:lineRule="auto"/>
        <w:rPr>
          <w:sz w:val="20"/>
          <w:szCs w:val="20"/>
          <w:color w:val="auto"/>
        </w:rPr>
      </w:pPr>
      <w:r>
        <w:rPr>
          <w:rFonts w:ascii="Arial" w:cs="Arial" w:eastAsia="Arial" w:hAnsi="Arial"/>
          <w:sz w:val="18"/>
          <w:szCs w:val="18"/>
          <w:color w:val="auto"/>
        </w:rPr>
        <w:t>As of March 31, 2022 and December 31, 2021, unrecognized tax benefits were $75.6 million and $73.3 million, respectively. If recognized, $67.6 million of the unrecognized tax benefits would favorably affect our effective tax rate. It is our policy to include accrued interest and penalties related to unrecognized tax benefits in income tax expense. As of March 31, 2022 and December 31, 2021, accrued interest and penalties were $14.4 million and $13.3 million, respectively. It is reasonably possible that our gross unrecognized tax benefits will decrease by up to $19.0 million in the next 12 months, due to the lapse of statutes of limitation in various jurisdictions. This decrease, if recognized, would favorably impact our effective tax rate, and would be recognized as additional tax benefits.</w:t>
      </w:r>
    </w:p>
    <w:p>
      <w:pPr>
        <w:spacing w:after="0" w:line="21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examination by U.S federal income tax authorities for tax years prior to 2015. We are no longer subject to U.S. state and foreign income tax examinations by tax authorities for tax years prior to 2010. We currently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have ongoing tax audits in the United Kingdom, Canada, Germany and several other foreign jurisdictions. The focus of these audits is the inter-company profit allocation.</w:t>
      </w:r>
    </w:p>
    <w:p>
      <w:pPr>
        <w:spacing w:after="0" w:line="184"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On September 29, 2020, the United States Department of the Treasury (the “U.S. Treasury”) and the Internal Revenue Service (the “IRS”) released final regulations related to foreign tax credits that were the subject of proposed regulations issued in December 2019 and proposed certain provisions in proposed regulations issued in December 2019. The final and proposed regulations provide administrative guidance for the foreign tax credit regime, which was updated in the 2017 Tax Cuts and Jobs Act (the “2017 Tax Act”). Generally, the provisions that were included in the 2019 proposed regulations apply to taxable years ended on or after December 16, 2019, except as otherwise specified. On December 28, 2021, the U.S. Treasury and the IRS released final regulations addressing various aspects of the foreign tax credit regime, which did not have a material impact on our consolidated financial statements as of December 31, 2021. On January 4, 2022, the U.S. Treasury and the IRS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These final regulations adversely impact our ability to claim foreign tax credits in the United States for certain taxes imposed by certain foreign jurisdictions. These final regulations increased our tax expense in the three months ended March 31, 2022 by approximately $4.1 million.</w:t>
      </w:r>
    </w:p>
    <w:p>
      <w:pPr>
        <w:spacing w:after="0" w:line="2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March 31, 2022 and 2021 were $3.4 million and $2.7 million, respectively.</w:t>
      </w:r>
    </w:p>
    <w:p>
      <w:pPr>
        <w:spacing w:after="0" w:line="21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3"/>
                <w:szCs w:val="13"/>
                <w:color w:val="auto"/>
              </w:rPr>
            </w:pPr>
          </w:p>
        </w:tc>
        <w:tc>
          <w:tcPr>
            <w:tcW w:w="13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Total Americas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Asia Pacific (“APAC”)</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0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160" w:type="dxa"/>
            <w:vAlign w:val="bottom"/>
          </w:tcPr>
          <w:p>
            <w:pPr>
              <w:spacing w:after="0"/>
              <w:rPr>
                <w:sz w:val="16"/>
                <w:szCs w:val="16"/>
                <w:color w:val="auto"/>
              </w:rPr>
            </w:pPr>
          </w:p>
        </w:tc>
        <w:tc>
          <w:tcPr>
            <w:tcW w:w="1480" w:type="dxa"/>
            <w:vAlign w:val="bottom"/>
            <w:gridSpan w:val="5"/>
          </w:tcPr>
          <w:p>
            <w:pPr>
              <w:ind w:left="2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393"/>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562.2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Americas</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tcPr>
          <w:p>
            <w:pPr>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4"/>
          </w:tcPr>
          <w:p>
            <w:pPr>
              <w:ind w:left="440"/>
              <w:spacing w:after="0"/>
              <w:rPr>
                <w:sz w:val="20"/>
                <w:szCs w:val="20"/>
                <w:color w:val="auto"/>
              </w:rPr>
            </w:pPr>
            <w:r>
              <w:rPr>
                <w:rFonts w:ascii="Arial" w:cs="Arial" w:eastAsia="Arial" w:hAnsi="Arial"/>
                <w:sz w:val="18"/>
                <w:szCs w:val="18"/>
                <w:color w:val="auto"/>
              </w:rPr>
              <w:t>Total property and equipment—net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786.5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20" w:type="dxa"/>
            <w:vAlign w:val="bottom"/>
            <w:gridSpan w:val="4"/>
            <w:vMerge w:val="restart"/>
          </w:tcPr>
          <w:p>
            <w:pPr>
              <w:ind w:left="620"/>
              <w:spacing w:after="0"/>
              <w:rPr>
                <w:sz w:val="20"/>
                <w:szCs w:val="20"/>
                <w:color w:val="auto"/>
              </w:rPr>
            </w:pPr>
            <w:r>
              <w:rPr>
                <w:rFonts w:ascii="Arial" w:cs="Arial" w:eastAsia="Arial" w:hAnsi="Arial"/>
                <w:sz w:val="18"/>
                <w:szCs w:val="18"/>
                <w:color w:val="auto"/>
              </w:rPr>
              <w:t>The following distributors accounted for 10% or more of our revenue:</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80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53"/>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ind w:left="80"/>
              <w:spacing w:after="0" w:line="158" w:lineRule="exact"/>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3"/>
                <w:szCs w:val="13"/>
                <w:color w:val="auto"/>
              </w:rPr>
            </w:pPr>
          </w:p>
        </w:tc>
        <w:tc>
          <w:tcPr>
            <w:tcW w:w="1360" w:type="dxa"/>
            <w:vAlign w:val="bottom"/>
          </w:tcPr>
          <w:p>
            <w:pPr>
              <w:jc w:val="right"/>
              <w:ind w:right="353"/>
              <w:spacing w:after="0" w:line="158" w:lineRule="exact"/>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Distributor A</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5"/>
          </w:tcPr>
          <w:p>
            <w:pPr>
              <w:ind w:left="20"/>
              <w:spacing w:after="0"/>
              <w:rPr>
                <w:sz w:val="20"/>
                <w:szCs w:val="20"/>
                <w:color w:val="auto"/>
              </w:rPr>
            </w:pPr>
            <w:r>
              <w:rPr>
                <w:rFonts w:ascii="Arial" w:cs="Arial" w:eastAsia="Arial" w:hAnsi="Arial"/>
                <w:sz w:val="18"/>
                <w:szCs w:val="18"/>
                <w:color w:val="auto"/>
              </w:rPr>
              <w:t>Distributor B</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Distributor C</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60" w:type="dxa"/>
            <w:vAlign w:val="bottom"/>
            <w:gridSpan w:val="5"/>
          </w:tcPr>
          <w:p>
            <w:pPr>
              <w:spacing w:after="0"/>
              <w:rPr>
                <w:sz w:val="20"/>
                <w:szCs w:val="20"/>
                <w:color w:val="auto"/>
              </w:rPr>
            </w:pPr>
            <w:r>
              <w:rPr>
                <w:rFonts w:ascii="Arial" w:cs="Arial" w:eastAsia="Arial" w:hAnsi="Arial"/>
                <w:sz w:val="16"/>
                <w:szCs w:val="16"/>
                <w:color w:val="auto"/>
              </w:rPr>
              <w:t>* Represents less than 10%</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0" w:type="dxa"/>
            <w:vAlign w:val="bottom"/>
          </w:tcPr>
          <w:p>
            <w:pPr>
              <w:spacing w:after="0"/>
              <w:rPr>
                <w:sz w:val="24"/>
                <w:szCs w:val="24"/>
                <w:color w:val="auto"/>
              </w:rPr>
            </w:pPr>
          </w:p>
        </w:tc>
        <w:tc>
          <w:tcPr>
            <w:tcW w:w="8020" w:type="dxa"/>
            <w:vAlign w:val="bottom"/>
            <w:gridSpan w:val="4"/>
          </w:tcPr>
          <w:p>
            <w:pPr>
              <w:ind w:left="620"/>
              <w:spacing w:after="0"/>
              <w:rPr>
                <w:sz w:val="20"/>
                <w:szCs w:val="20"/>
                <w:color w:val="auto"/>
              </w:rPr>
            </w:pPr>
            <w:r>
              <w:rPr>
                <w:rFonts w:ascii="Arial" w:cs="Arial" w:eastAsia="Arial" w:hAnsi="Arial"/>
                <w:sz w:val="18"/>
                <w:szCs w:val="18"/>
                <w:color w:val="auto"/>
              </w:rPr>
              <w:t>The following distributors accounted for 10% or more of net accounts receivable: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A</w:t>
            </w:r>
          </w:p>
        </w:tc>
        <w:tc>
          <w:tcPr>
            <w:tcW w:w="2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tcPr>
          <w:p>
            <w:pPr>
              <w:spacing w:after="0"/>
              <w:rPr>
                <w:sz w:val="20"/>
                <w:szCs w:val="20"/>
                <w:color w:val="auto"/>
              </w:rPr>
            </w:pPr>
            <w:r>
              <w:rPr>
                <w:rFonts w:ascii="Arial" w:cs="Arial" w:eastAsia="Arial" w:hAnsi="Arial"/>
                <w:sz w:val="18"/>
                <w:szCs w:val="18"/>
                <w:color w:val="auto"/>
              </w:rPr>
              <w:t>Distributor B</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 Split</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April 14, 2022, our Board of Directors approved a five-for-one forward stock split of our common stock, conditioned on obtaining stockholder approval at our upcoming 2022 Annual Meeting of Stockholders to be held on June 17, 2022 (the “Stock Split”). If approved by our stockholders, the Stock Split would be effected through an amendment and restatement of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right="54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supply chain constraints and the global chip and component shortages and other factors affecting our manufacturing capacity, delivery, cost and inventory management;</w:t>
      </w:r>
    </w:p>
    <w:p>
      <w:pPr>
        <w:spacing w:after="0" w:line="197" w:lineRule="exact"/>
        <w:rPr>
          <w:rFonts w:ascii="Arial" w:cs="Arial" w:eastAsia="Arial" w:hAnsi="Arial"/>
          <w:sz w:val="18"/>
          <w:szCs w:val="18"/>
          <w:i w:val="1"/>
          <w:iCs w:val="1"/>
          <w:color w:val="auto"/>
        </w:rPr>
      </w:pPr>
    </w:p>
    <w:p>
      <w:pPr>
        <w:ind w:left="1300" w:right="6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duration and impact of the COVID-19 pandemic, including various COVID-19 variants, and the implementation of “return to office” plans;</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effects of the war in Ukraine, related macroeconomic effects and the impact of our decision to suspend operations in Russia;</w:t>
      </w:r>
    </w:p>
    <w:p>
      <w:pPr>
        <w:spacing w:after="0" w:line="238"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effects of increased inflation in certain geographies;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8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i w:val="1"/>
          <w:iCs w:val="1"/>
          <w:color w:val="auto"/>
        </w:rPr>
      </w:pPr>
    </w:p>
    <w:p>
      <w:pPr>
        <w:ind w:left="1300" w:right="4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policies;</w:t>
      </w:r>
    </w:p>
    <w:p>
      <w:pPr>
        <w:spacing w:after="0" w:line="252" w:lineRule="exact"/>
        <w:rPr>
          <w:rFonts w:ascii="Arial" w:cs="Arial" w:eastAsia="Arial" w:hAnsi="Arial"/>
          <w:sz w:val="18"/>
          <w:szCs w:val="18"/>
          <w:color w:val="auto"/>
        </w:rPr>
      </w:pPr>
    </w:p>
    <w:p>
      <w:pPr>
        <w:ind w:left="1300" w:right="160" w:hanging="644"/>
        <w:spacing w:after="0" w:line="261"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and capacity, functionality and value in our subscription service offerings;</w:t>
      </w:r>
    </w:p>
    <w:p>
      <w:pPr>
        <w:spacing w:after="0" w:line="197"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and public companies, including integration issues related to product plans and the acquired technology, and risks of negative impact by such acquisitions and equity investments on our financial results;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2022;</w:t>
      </w:r>
    </w:p>
    <w:p>
      <w:pPr>
        <w:spacing w:after="0" w:line="252" w:lineRule="exact"/>
        <w:rPr>
          <w:rFonts w:ascii="Arial" w:cs="Arial" w:eastAsia="Arial" w:hAnsi="Arial"/>
          <w:sz w:val="18"/>
          <w:szCs w:val="18"/>
          <w:i w:val="1"/>
          <w:iCs w:val="1"/>
          <w:color w:val="auto"/>
        </w:rPr>
      </w:pPr>
    </w:p>
    <w:p>
      <w:pPr>
        <w:ind w:left="1300" w:right="100" w:hanging="644"/>
        <w:spacing w:after="0" w:line="277" w:lineRule="auto"/>
        <w:tabs>
          <w:tab w:leader="none" w:pos="1295"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and the Coronavirus Aid, Relief, and Economic Security Act (the “CARES Act”);</w:t>
      </w:r>
    </w:p>
    <w:p>
      <w:pPr>
        <w:spacing w:after="0" w:line="197" w:lineRule="exact"/>
        <w:rPr>
          <w:rFonts w:ascii="Arial" w:cs="Arial" w:eastAsia="Arial" w:hAnsi="Arial"/>
          <w:sz w:val="18"/>
          <w:szCs w:val="18"/>
          <w:color w:val="auto"/>
        </w:rPr>
      </w:pPr>
    </w:p>
    <w:p>
      <w:pPr>
        <w:ind w:left="1300" w:right="300" w:hanging="644"/>
        <w:spacing w:after="0" w:line="261"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expectations regarding spending related to real estate acquisitions and development, data center investments, as well as other capital expenditures and to the impact on free cash flow;</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2022 spending on capital expenditures;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61"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39"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including enterprises, communication service providers and security service providers, government organizations and small businesses. Our cybersecurity solutions are designed to provide broad visibility and segmentation of the digital attack surface through our integrated cybersecurity platform products and services providing a mesh architecture, which feature automated protection, detection and response along with consolidated visibility across both Fortinet developed solutions and a broad ecosystem of third-party solutions and technologies. Our cybersecurity platform portfolio leverages a common operating system or integration to this operating system across our product offerings and helps organizations better secure their environments and reduce their security and network complexities. The Fortinet operating system has an open architecture designed to integrate Fortinet solutions with third-party solutions in a single ecosystem, enabling automated detection and response across the attack surface.</w:t>
      </w:r>
    </w:p>
    <w:p>
      <w:pPr>
        <w:spacing w:after="0" w:line="204"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Our product offerings consist of our Core Platform (previously referred to as FortiGate network security physical and virtual products) and our Platform Extension (previously referred to as non-FortiGate physical and virtual, software and cloud-hosted products). In addition to high performing security and networking features, we offer a rich set of cloud-delivered security services that can be added to Platform Extension products and customized to the organization’s use cases.</w:t>
      </w:r>
    </w:p>
    <w:p>
      <w:pPr>
        <w:spacing w:after="0" w:line="20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Our cloud- and hosted- Platform Extension products and services include sandboxing, endpoint detection and response (“EDR”), email security, web application and API security and cloud networking security as well as management and analytics.</w:t>
      </w:r>
    </w:p>
    <w:p>
      <w:pPr>
        <w:spacing w:after="0" w:line="19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Our FortiGuard security services are enabled by FortiGuard Labs, which provides threat research and artificial intelligence capabilities from a cloud network to deliver coordinated protection for the ever-expanding attack surface through Core Platform appliance and virtual machine as well as all Platform Extension products that are registered by the end-customer.</w:t>
      </w:r>
    </w:p>
    <w:p>
      <w:pPr>
        <w:spacing w:after="0" w:line="202" w:lineRule="exact"/>
        <w:rPr>
          <w:sz w:val="20"/>
          <w:szCs w:val="20"/>
          <w:color w:val="auto"/>
        </w:rPr>
      </w:pPr>
    </w:p>
    <w:p>
      <w:pPr>
        <w:ind w:right="580" w:firstLine="648"/>
        <w:spacing w:after="0" w:line="246" w:lineRule="auto"/>
        <w:rPr>
          <w:sz w:val="20"/>
          <w:szCs w:val="20"/>
          <w:color w:val="auto"/>
        </w:rPr>
      </w:pPr>
      <w:r>
        <w:rPr>
          <w:rFonts w:ascii="Arial" w:cs="Arial" w:eastAsia="Arial" w:hAnsi="Arial"/>
          <w:sz w:val="18"/>
          <w:szCs w:val="18"/>
          <w:color w:val="auto"/>
        </w:rPr>
        <w:t>Our FortiCare services provide both technical support and professional services to help our customers deploy, maintain, and operationalize Fortinet’s Core Platform and Platform Extension products and services.</w:t>
      </w:r>
    </w:p>
    <w:p>
      <w:pPr>
        <w:spacing w:after="0" w:line="197" w:lineRule="exact"/>
        <w:rPr>
          <w:sz w:val="20"/>
          <w:szCs w:val="20"/>
          <w:color w:val="auto"/>
        </w:rPr>
      </w:pPr>
    </w:p>
    <w:p>
      <w:pPr>
        <w:ind w:right="540" w:firstLine="648"/>
        <w:spacing w:after="0" w:line="246" w:lineRule="auto"/>
        <w:rPr>
          <w:sz w:val="20"/>
          <w:szCs w:val="20"/>
          <w:color w:val="auto"/>
        </w:rPr>
      </w:pPr>
      <w:r>
        <w:rPr>
          <w:rFonts w:ascii="Arial" w:cs="Arial" w:eastAsia="Arial" w:hAnsi="Arial"/>
          <w:sz w:val="18"/>
          <w:szCs w:val="18"/>
          <w:color w:val="auto"/>
        </w:rPr>
        <w:t>Our proprietary Security Processing Units (“SPUs”) are Application-Specific Integrated Circuits that are implemented in our physical Core Platform appliances and are designed to enhance the security processing capabilities implemented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software by accelerating computationally intensive tasks such as firewall policy enforcement, software-defined wide-area network (“SD-WAN”), network address translation, Intrusion Prevention Systems (“IPS”), threat detection and encryption. We also provide virtualized Security Processing Units (“vSPUs”) across our Core Platform virtual appliances to deliver similar accelerated capabilities when run in virtualized environments.</w:t>
      </w:r>
    </w:p>
    <w:p>
      <w:pPr>
        <w:spacing w:after="0" w:line="20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FortiOS operating system provides the foundation for the operation of all Core Platform and Platform Extension products, whether physical, virtual, private- or public-cloud based. FortiOS directs the operations of processors and SPUs and provides system management functions. We make regular updates to FortiOS available through our FortiCare support services.</w:t>
      </w:r>
    </w:p>
    <w:p>
      <w:pPr>
        <w:spacing w:after="0" w:line="21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Networking functionality and security capabilities are integrated into the FortiOS operating system to run both the Core Platform and Platform Extension capabilities of Fortinet’s cybersecurity mesh architecture. This approach to security combines discrete security solutions together into an integrated operating system which provides centralized management, visibility, automation and intelligence sharing to simplify operations and respond rapidly to threats.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39" w:lineRule="exact"/>
        <w:rPr>
          <w:sz w:val="20"/>
          <w:szCs w:val="20"/>
          <w:color w:val="auto"/>
        </w:rPr>
      </w:pPr>
    </w:p>
    <w:p>
      <w:pPr>
        <w:ind w:left="660" w:right="120" w:hanging="328"/>
        <w:spacing w:after="0" w:line="23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Secure Networking</w:t>
      </w:r>
      <w:r>
        <w:rPr>
          <w:rFonts w:ascii="Arial" w:cs="Arial" w:eastAsia="Arial" w:hAnsi="Arial"/>
          <w:sz w:val="17"/>
          <w:szCs w:val="17"/>
          <w:color w:val="auto"/>
        </w:rPr>
        <w:t>—Our Security-Driven Networking solutions enables the convergence of networking and security across all edges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next-generation firewall (“NGFW”), software-defined wide area network (“SD-WAN”), LAN Edge (Wi-Fi and switch) and secure access service edge (“SASE”). We derive a majority of product sales from our Core Platform network security appliances. Core Platform network 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Core Platform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 Along with our secure Wi-Fi access points and switches, Fortinet helps organizations secure their networks across campuses, branches and work-from-home deployments.</w:t>
      </w:r>
    </w:p>
    <w:p>
      <w:pPr>
        <w:spacing w:after="0" w:line="207" w:lineRule="exact"/>
        <w:rPr>
          <w:rFonts w:ascii="Arial" w:cs="Arial" w:eastAsia="Arial" w:hAnsi="Arial"/>
          <w:sz w:val="17"/>
          <w:szCs w:val="17"/>
          <w:color w:val="auto"/>
        </w:rPr>
      </w:pPr>
    </w:p>
    <w:p>
      <w:pPr>
        <w:ind w:left="660" w:hanging="328"/>
        <w:spacing w:after="0" w:line="22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Zero Trust Access</w:t>
      </w:r>
      <w:r>
        <w:rPr>
          <w:rFonts w:ascii="Arial" w:cs="Arial" w:eastAsia="Arial" w:hAnsi="Arial"/>
          <w:sz w:val="18"/>
          <w:szCs w:val="18"/>
          <w:color w:val="auto"/>
        </w:rPr>
        <w:t>—Fortinet’s Platform Extension products and services extend beyond the network to create a cybersecurity mesh architecture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 other attack vectors. Our Zero Trust Access solutions enable customers to know and control who and what is on their network, in addition to providing security for work from anywhere (“WFA”). Zero Trust Access solutions include FortiNAC, FortiAuthenticator, FortiClient and FortiToken. Additionally, the proliferation of operational technology (“OT”) and internet of things (“IoT”) devices has generated new opportunities for us to grow our business. Our network access control solutions provide visibility, control and automated event responses in order to secure OT and IoT devices.</w:t>
      </w:r>
    </w:p>
    <w:p>
      <w:pPr>
        <w:spacing w:after="0" w:line="202" w:lineRule="exact"/>
        <w:rPr>
          <w:rFonts w:ascii="Arial" w:cs="Arial" w:eastAsia="Arial" w:hAnsi="Arial"/>
          <w:sz w:val="18"/>
          <w:szCs w:val="18"/>
          <w:color w:val="auto"/>
        </w:rPr>
      </w:pPr>
    </w:p>
    <w:p>
      <w:pPr>
        <w:ind w:left="660" w:right="140" w:hanging="328"/>
        <w:spacing w:after="0" w:line="22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Cloud Security</w:t>
      </w:r>
      <w:r>
        <w:rPr>
          <w:rFonts w:ascii="Arial" w:cs="Arial" w:eastAsia="Arial" w:hAnsi="Arial"/>
          <w:sz w:val="18"/>
          <w:szCs w:val="18"/>
          <w:color w:val="auto"/>
        </w:rPr>
        <w:t>—We help customers connect securely to and across their individual, hybrid cloud, multi-cloud and virtualized data center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by offering security through our virtual firewall and other software products and through integrated capabilities with major cloud platforms. Our public and private cloud security solutions, including virtual appliances and hosted solutions, bring our Platform Extension products and services into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secures applications, including email and web. Fortinet cloud security offerings are available for deployment in major public and private cloud environments, including Alibaba Cloud, Amazon Web Services, Google Cloud, IBM Cloud, Microsoft Azure, Oracle Cloud and VMWare Cloud. We also offer managed IPS and web application firewall (“WAF”) rules delivered by FortiGuard Labs as an overlay service to native security offerings offered by Amazon Web Services.</w:t>
      </w:r>
    </w:p>
    <w:p>
      <w:pPr>
        <w:spacing w:after="0" w:line="209"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Security Operations</w:t>
      </w:r>
      <w:r>
        <w:rPr>
          <w:rFonts w:ascii="Arial" w:cs="Arial" w:eastAsia="Arial" w:hAnsi="Arial"/>
          <w:sz w:val="16"/>
          <w:szCs w:val="16"/>
          <w:color w:val="auto"/>
        </w:rPr>
        <w:t>—We develop and provide a range of products and services that enable the security operations center (“SOC”) teams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 investigate and remediate potential incidents in which cybercriminals bypass prevention-oriented controls. Given the breadth of the attack surface to monitor, as well as the volume and sophistication of cyber threats, artificial intelligence is a key part of these offerings, which include: FortiGuard and other security subscription services, modern endpoint security with EDR, a range of breach-protection technologies plus our security information and event management (“SIEM”) and security orchestration, automation and response (“SOAR”), all of which can be applied across the entire set of Platform Extension products and services. These solutions automatically deliver security intelligence and insights that enable organizations to protect against and respond to threats faster through integration with Fortinet and third-party controls.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60" w:hanging="328"/>
        <w:spacing w:after="0" w:line="22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as a Service</w:t>
      </w:r>
      <w:r>
        <w:rPr>
          <w:rFonts w:ascii="Arial" w:cs="Arial" w:eastAsia="Arial" w:hAnsi="Arial"/>
          <w:sz w:val="18"/>
          <w:szCs w:val="18"/>
          <w:color w:val="auto"/>
        </w:rPr>
        <w:t>—Our customers purchase our natively integrated FortiGuard security subscription services as an add-on to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the Platform Extension products and services with the goal of receiving real-time threat intelligence and protection updates. The rich set of FortiGuard services is built from the ground up to provide comprehensive protection for users and applications, including market leading offerings for IPS, Web, video and DNS filtering, AV and cloud sandbox as well as OT and IoT Security. The FortiGuard security services are provided from our FortiGuard Labs and cloud-delivered to provide real-time unified protection across network endpoint and cloud. FortiCare technical support services and the support of technical account managers, resident engineers and professional service consultants for implementations or training services.</w:t>
      </w:r>
    </w:p>
    <w:p>
      <w:pPr>
        <w:spacing w:after="0" w:line="207" w:lineRule="exact"/>
        <w:rPr>
          <w:rFonts w:ascii="Arial" w:cs="Arial" w:eastAsia="Arial" w:hAnsi="Arial"/>
          <w:sz w:val="18"/>
          <w:szCs w:val="18"/>
          <w:color w:val="auto"/>
        </w:rPr>
      </w:pPr>
    </w:p>
    <w:p>
      <w:pPr>
        <w:ind w:left="660" w:right="180" w:hanging="328"/>
        <w:spacing w:after="0" w:line="24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Support and Professional Services</w:t>
      </w:r>
      <w:r>
        <w:rPr>
          <w:rFonts w:ascii="Arial" w:cs="Arial" w:eastAsia="Arial" w:hAnsi="Arial"/>
          <w:sz w:val="18"/>
          <w:szCs w:val="18"/>
          <w:color w:val="auto"/>
        </w:rPr>
        <w:t>—Fortinet offers technical support, FortiOS updates and extended product warranty through our FortiCare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services. In addition to our technical support services, we offer a range of advanced services, including premium support, professional services and expedited warranty replacement. Our professional service offerings include resident engineers and professional service consultants for implementations or trainings.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28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revenue was $954.8 million during the three months ended March 31, 2022, an increase of 34%, compared to $710.3 million in the same period last year. Product revenue was $371.0 million during the three months ended March 31, 2022, an increase of 54%, compared to $240.7 million in the same period last year. Service revenue was $583.8 million during the three months ended March 31, 2022, an increase of 24%, compared to $469.6 million in the same period last year.</w:t>
      </w:r>
    </w:p>
    <w:p>
      <w:pPr>
        <w:spacing w:after="0" w:line="21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gross profit was $701.0 million during the three months ended March 31, 2022, an increase of 27%, compared to $553.7 million in the same period last year.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cash equivalents, short-term and long-term investments and marketable equity securities were $2.50 billion as of March 31, 2022.</w:t>
      </w:r>
    </w:p>
    <w:p>
      <w:pPr>
        <w:spacing w:after="0" w:line="263"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three months ended March 31, 2022, we repurchased 2.3 million shares of common stock under our Share Repurchase Program (the “Repurchase Program”), for a total purchase price of $691.2 million.</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revenue was $3.66 billion as of March 31, 2022, an increase of $205.0 million, or 6%, from December 31, 2021. Short-term deferred revenue was $1.89 billion as of March 31, 2022, an increase of $115.9 million, or 7%, from December 31, 2021.</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$396.1 million during the three months ended March 31, 2022, an increase of $80.2 million, or 25%, compared to the same period last year.</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bookings were $1.28 billion during the three months ended March 31, 2022, an increase of 50% compared to $851.6 million in the same period last year. We define bookings as the total value of all orders received during the period.</w:t>
      </w:r>
    </w:p>
    <w:p>
      <w:pPr>
        <w:spacing w:after="0" w:line="197"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Backlog was $278.3 million as of March 31, 2022, an increase of $116.4 million compared to $161.9 million as of December 31, 2021. Backlog represents orders received but not fulfilled and excludes backlog related to Alaxala’s products and services of $48.7 million.</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 geographic basis, revenue continues to be diversified, which remains a key strength of our business. During the three months ended</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March 31, 2022, the Americas region, the Europe, Middle East and Africa (“EMEA”) region and the Asia Pacific (“APAC”) region contributed 40%, 36% and 24% of our total revenue, respectively, and increased by 32%, 25% and 57% compared to the same periods last year, respectively.</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6"/>
          <w:szCs w:val="16"/>
          <w:color w:val="auto"/>
        </w:rPr>
        <w:t>Our revenue growth was driven by strong product revenue performance. Product revenue grew 54% during the three months ended March 31, 2022, compared to the same period last year. Product revenue growth was consistent with an elevated cyber threat landscape. Core Platform products accounted for more than half of the product revenue growth during the three months ended March 31, 2022. While Secure SD-WAN contributed to product revenue growth, the main driver was the strong demand for the wide range of other operating system capabilities embedded in the Core Platform products. We experienced strong product revenue growth across many of our Platform Extension products, including our OT solutions, secure access products and</w:t>
      </w:r>
    </w:p>
    <w:p>
      <w:pPr>
        <w:spacing w:after="0" w:line="1"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software licenses. The impact of the increase in backlog was seen in Core Platform and Platform Extension products. Service revenue growth of 24% during the three months ended March 31, 2022, compared to the same period last</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year, was driven by the strength of our FortiCare technical support and other service revenue which grew 26%. FortiGuard and other security subscription revenue, grew 23%.</w:t>
      </w:r>
    </w:p>
    <w:p>
      <w:pPr>
        <w:spacing w:after="0" w:line="21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March 31, 2022, approximately 50% of our billings in the aggregate were from over 100 countries that each individually contributed less than 3% of our billings.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margin decreased by 1.3 percentage points during the three months ended March 31, 2022 compared to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Headcount increased to 10,860 employees and contractors as of March 31, 2022, a 7% increase compared to 10,195 as of December 31, 2021.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52"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212529"/>
        </w:rPr>
        <w:t>The United States and the global community we serve are facing unprecedented challenges posed by the COVID-19 pandemic, including the various COVID-19 variants. In response to the pandemic, we undertook a number of actions to protect our employees, including restricting travel and directing many of our employees to work from home. In certain geographies, we have started to transition back to an in-person working mode, allowing increasing numbers of employees to work from our offices with reasonable precautions and, in all cases, subject to abiding by local legal restrictions. We intend to continue to monitor and abide by local employee health and safety protocols and other regulations as applicable to each local office.</w:t>
      </w:r>
    </w:p>
    <w:p>
      <w:pPr>
        <w:spacing w:after="0" w:line="175" w:lineRule="exact"/>
        <w:rPr>
          <w:sz w:val="20"/>
          <w:szCs w:val="20"/>
          <w:color w:val="auto"/>
        </w:rPr>
      </w:pPr>
    </w:p>
    <w:p>
      <w:pPr>
        <w:ind w:right="80" w:firstLine="405"/>
        <w:spacing w:after="0" w:line="231" w:lineRule="auto"/>
        <w:rPr>
          <w:sz w:val="20"/>
          <w:szCs w:val="20"/>
          <w:color w:val="auto"/>
        </w:rPr>
      </w:pPr>
      <w:r>
        <w:rPr>
          <w:rFonts w:ascii="Arial" w:cs="Arial" w:eastAsia="Arial" w:hAnsi="Arial"/>
          <w:sz w:val="18"/>
          <w:szCs w:val="18"/>
          <w:color w:val="auto"/>
        </w:rPr>
        <w:t xml:space="preserve">While the broader implications of the COVID-19 pandemic on our employees and overall financial performance continue to evolve, we have seen certain impacts on our business and operations, results of operations, financial condition, cash flows, liquidity and capital and financial resources </w:t>
      </w:r>
      <w:r>
        <w:rPr>
          <w:rFonts w:ascii="Arial" w:cs="Arial" w:eastAsia="Arial" w:hAnsi="Arial"/>
          <w:sz w:val="18"/>
          <w:szCs w:val="18"/>
          <w:color w:val="212529"/>
        </w:rPr>
        <w:t>as of and</w:t>
      </w:r>
      <w:r>
        <w:rPr>
          <w:rFonts w:ascii="Arial" w:cs="Arial" w:eastAsia="Arial" w:hAnsi="Arial"/>
          <w:sz w:val="18"/>
          <w:szCs w:val="18"/>
          <w:color w:val="auto"/>
        </w:rPr>
        <w:t xml:space="preserve"> </w:t>
      </w:r>
      <w:r>
        <w:rPr>
          <w:rFonts w:ascii="Arial" w:cs="Arial" w:eastAsia="Arial" w:hAnsi="Arial"/>
          <w:sz w:val="18"/>
          <w:szCs w:val="18"/>
          <w:color w:val="212529"/>
        </w:rPr>
        <w:t xml:space="preserve">during the three months ended </w:t>
      </w:r>
      <w:r>
        <w:rPr>
          <w:rFonts w:ascii="Arial" w:cs="Arial" w:eastAsia="Arial" w:hAnsi="Arial"/>
          <w:sz w:val="18"/>
          <w:szCs w:val="18"/>
          <w:color w:val="000000"/>
        </w:rPr>
        <w:t>March 31, 2022</w:t>
      </w:r>
      <w:r>
        <w:rPr>
          <w:rFonts w:ascii="Arial" w:cs="Arial" w:eastAsia="Arial" w:hAnsi="Arial"/>
          <w:sz w:val="18"/>
          <w:szCs w:val="18"/>
          <w:color w:val="212529"/>
        </w:rPr>
        <w:t xml:space="preserve">. Conversely, some aspects of our business do not appear to have been significantly affected. During the three months ended </w:t>
      </w:r>
      <w:r>
        <w:rPr>
          <w:rFonts w:ascii="Arial" w:cs="Arial" w:eastAsia="Arial" w:hAnsi="Arial"/>
          <w:sz w:val="18"/>
          <w:szCs w:val="18"/>
          <w:color w:val="000000"/>
        </w:rPr>
        <w:t>March 31, 2022</w:t>
      </w:r>
      <w:r>
        <w:rPr>
          <w:rFonts w:ascii="Arial" w:cs="Arial" w:eastAsia="Arial" w:hAnsi="Arial"/>
          <w:sz w:val="18"/>
          <w:szCs w:val="18"/>
          <w:color w:val="212529"/>
        </w:rPr>
        <w:t>, we have observed the following:</w:t>
      </w:r>
    </w:p>
    <w:p>
      <w:pPr>
        <w:spacing w:after="0" w:line="216" w:lineRule="exact"/>
        <w:rPr>
          <w:sz w:val="20"/>
          <w:szCs w:val="20"/>
          <w:color w:val="auto"/>
        </w:rPr>
      </w:pPr>
    </w:p>
    <w:p>
      <w:pPr>
        <w:ind w:left="660" w:right="280" w:hanging="328"/>
        <w:spacing w:after="0" w:line="277" w:lineRule="auto"/>
        <w:tabs>
          <w:tab w:leader="none" w:pos="655"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We have seen continued supply chain challenges, including chip and other component shortages and increased costs for certain chips and other components and shipping, and we do not have enough inventory to promptly meet all demand for all products.</w:t>
      </w:r>
    </w:p>
    <w:p>
      <w:pPr>
        <w:spacing w:after="0" w:line="197" w:lineRule="exact"/>
        <w:rPr>
          <w:rFonts w:ascii="Arial" w:cs="Arial" w:eastAsia="Arial" w:hAnsi="Arial"/>
          <w:sz w:val="18"/>
          <w:szCs w:val="18"/>
          <w:color w:val="212529"/>
        </w:rPr>
      </w:pPr>
    </w:p>
    <w:p>
      <w:pPr>
        <w:ind w:left="660" w:hanging="328"/>
        <w:spacing w:after="0" w:line="301" w:lineRule="auto"/>
        <w:tabs>
          <w:tab w:leader="none" w:pos="655" w:val="left"/>
        </w:tabs>
        <w:numPr>
          <w:ilvl w:val="0"/>
          <w:numId w:val="24"/>
        </w:numPr>
        <w:rPr>
          <w:rFonts w:ascii="Arial" w:cs="Arial" w:eastAsia="Arial" w:hAnsi="Arial"/>
          <w:sz w:val="16"/>
          <w:szCs w:val="16"/>
          <w:color w:val="212529"/>
        </w:rPr>
      </w:pPr>
      <w:r>
        <w:rPr>
          <w:rFonts w:ascii="Arial" w:cs="Arial" w:eastAsia="Arial" w:hAnsi="Arial"/>
          <w:sz w:val="16"/>
          <w:szCs w:val="16"/>
          <w:color w:val="212529"/>
        </w:rPr>
        <w:t>In many countries, our employees’ ability to travel has been reduced. Certain in-person sales and marketing events or meetings that would normally have been held were canceled, postponed or converted into virtual events. However, as certain country’s restrictions start to ease, we have started to see an increase in expenses related to travel and marketing events. Although we cannot predict if or when such expenses will return to pre-pandemic levels, as of March 31, 2022, we have started to see an increase in such expenses as compared to the same period last year.</w:t>
      </w:r>
    </w:p>
    <w:p>
      <w:pPr>
        <w:spacing w:after="0" w:line="184" w:lineRule="exact"/>
        <w:rPr>
          <w:rFonts w:ascii="Arial" w:cs="Arial" w:eastAsia="Arial" w:hAnsi="Arial"/>
          <w:sz w:val="16"/>
          <w:szCs w:val="16"/>
          <w:color w:val="212529"/>
        </w:rPr>
      </w:pPr>
    </w:p>
    <w:p>
      <w:pPr>
        <w:ind w:left="660" w:right="20" w:hanging="328"/>
        <w:spacing w:after="0" w:line="259" w:lineRule="auto"/>
        <w:tabs>
          <w:tab w:leader="none" w:pos="655"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In order to mitigate supply chain disruption and other supply chain risks and in anticipation of future demand, we increased our commitments with certain suppliers to secure capacity, and are meeting regularly with our contract manufacturers and component suppliers to manage future commitments, address component shortages and monitor delivery. We have also transitioned primarily to air shipping to avoid port congestion and extended ocean freight time.</w:t>
      </w:r>
    </w:p>
    <w:p>
      <w:pPr>
        <w:spacing w:after="0" w:line="200" w:lineRule="exact"/>
        <w:rPr>
          <w:sz w:val="20"/>
          <w:szCs w:val="20"/>
          <w:color w:val="auto"/>
        </w:rPr>
      </w:pPr>
    </w:p>
    <w:p>
      <w:pPr>
        <w:ind w:firstLine="405"/>
        <w:spacing w:after="0" w:line="253" w:lineRule="auto"/>
        <w:rPr>
          <w:sz w:val="20"/>
          <w:szCs w:val="20"/>
          <w:color w:val="auto"/>
        </w:rPr>
      </w:pPr>
      <w:r>
        <w:rPr>
          <w:rFonts w:ascii="Arial" w:cs="Arial" w:eastAsia="Arial" w:hAnsi="Arial"/>
          <w:sz w:val="16"/>
          <w:szCs w:val="16"/>
          <w:color w:val="212529"/>
        </w:rPr>
        <w:t>Going forward, the situation remains uncertain, rapidly changing and hard to predict, and the COVID-19 pandemic may have a material negative impact on our future periods. If we experience component, shipping or inventory challenges, it will negatively impact billings and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extent of the impact of the COVID-19 pandemic on our operational and financial performance will depend on ongoing developments, including the duration and spread of the virus and its variants, the impact on our end-customers’ spending, the volume of sales and length of our sales cycles, the impact on our partners, suppliers, and employees, actions that may be taken by governmental authorities and other factors identified in Part II, Item 1A “Risk Factors” in this Form 10-Q. Given the dynamic nature of these circumstances, the full impact of the COVID-19 pandemic on our business and operations, results of operations, financial condition, cash flows, liquidity and capital and financial resources cannot be reasonably estimated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Due to the war in Ukraine and the resulting sanctions and other actions against Russia and Belarus, there has been uncertainty and disruption in the global economy. At the beginning of the war in Ukraine in late February 2022, we experienced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immediate reductions in orders from Russia. On March 7, 2022, we announced that we were suspending sales, support and other operations in Russia.</w:t>
      </w:r>
    </w:p>
    <w:p>
      <w:pPr>
        <w:spacing w:after="0" w:line="262" w:lineRule="exact"/>
        <w:rPr>
          <w:sz w:val="20"/>
          <w:szCs w:val="20"/>
          <w:color w:val="auto"/>
        </w:rPr>
      </w:pPr>
    </w:p>
    <w:p>
      <w:pPr>
        <w:ind w:right="80" w:firstLine="648"/>
        <w:spacing w:after="0" w:line="227" w:lineRule="auto"/>
        <w:rPr>
          <w:sz w:val="20"/>
          <w:szCs w:val="20"/>
          <w:color w:val="auto"/>
        </w:rPr>
      </w:pPr>
      <w:r>
        <w:rPr>
          <w:rFonts w:ascii="Arial" w:cs="Arial" w:eastAsia="Arial" w:hAnsi="Arial"/>
          <w:sz w:val="18"/>
          <w:szCs w:val="18"/>
          <w:color w:val="auto"/>
        </w:rPr>
        <w:t>Although the Russian war against Ukraine did not have a material adverse impact on our revenue or other financial results for the three months ended March 31, 2022, at this time we are unable to fully assess the aggregate impact it will have on our business in future periods due to various uncertainties, which include, but are not limited to, the duration of the war, its effect on the economy, its impact to the businesses of our customers and distributors, actions that may be taken by governmental authorities related to the war, and other factors identified in Part II, Item 1A, “Risk Factors” in this Quarterly Report, including the risk factor titled “The war in Ukraine and our suspension of operations in Russia have affected and may continue to affect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39"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We typically sell our security solutions to distributors that sell to networking security focused resellers and to service providers and managed security service providers (“MSSPs”), who, in turn, sell to end-customers or use our products and services to provide hosted solutions to other enterprises. At times, we also sell directly to large service providers and major systems integrators. Our end-customers are located in over 100 countries and include small, medium and large enterprises and government organizations across a wide range of industries, including education, financial services, government, healthcare, manufacturing, retail, technology and telecommunications. An end-customer deployment may involve as few as one or as many as thousands of Core Platform as well as Platform Extension products, depending on the end-customer’s size and security requirements.</w:t>
      </w:r>
    </w:p>
    <w:p>
      <w:pPr>
        <w:spacing w:after="0" w:line="190" w:lineRule="exact"/>
        <w:rPr>
          <w:sz w:val="20"/>
          <w:szCs w:val="20"/>
          <w:color w:val="auto"/>
        </w:rPr>
      </w:pPr>
    </w:p>
    <w:p>
      <w:pPr>
        <w:ind w:right="80" w:firstLine="648"/>
        <w:spacing w:after="0" w:line="242" w:lineRule="auto"/>
        <w:rPr>
          <w:sz w:val="20"/>
          <w:szCs w:val="20"/>
          <w:color w:val="auto"/>
        </w:rPr>
      </w:pPr>
      <w:r>
        <w:rPr>
          <w:rFonts w:ascii="Arial" w:cs="Arial" w:eastAsia="Arial" w:hAnsi="Arial"/>
          <w:sz w:val="17"/>
          <w:szCs w:val="17"/>
          <w:color w:val="auto"/>
        </w:rPr>
        <w:t>We also offer our products hosted in our own data centers and through major cloud providers, and have recognized revenue on a usage basis from Alibaba Cloud, Amazon Web Services, Google Cloud, IBM Cloud, Microsoft Azure and Oracle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it in third-party clouds or in their private cloud.</w:t>
      </w:r>
    </w:p>
    <w:p>
      <w:pPr>
        <w:spacing w:after="0" w:line="21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we continue to offer extended payment terms to certain distributors.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6"/>
              </w:rPr>
              <w:t>March 31, 2022</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2021</w:t>
            </w:r>
          </w:p>
        </w:tc>
      </w:tr>
      <w:tr>
        <w:trPr>
          <w:trHeight w:val="226"/>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3,657.9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2,745.6</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315.9</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r>
    </w:tbl>
    <w:p>
      <w:pPr>
        <w:spacing w:after="0" w:line="32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$3.66 billion as of March 31, 2022, an increase of $205.0 million, or 6%, from December 31, 2021.</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firstLine="648"/>
        <w:spacing w:after="0" w:line="260"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GAAP plus the change in deferred revenue from the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several limitations related to the use of billings instead of GAAP revenue. First, billings include amounts that have not yet been</w:t>
      </w:r>
    </w:p>
    <w:p>
      <w:pPr>
        <w:ind w:right="60"/>
        <w:spacing w:after="0" w:line="230" w:lineRule="auto"/>
        <w:rPr>
          <w:sz w:val="20"/>
          <w:szCs w:val="20"/>
          <w:color w:val="auto"/>
        </w:rPr>
      </w:pPr>
      <w:r>
        <w:rPr>
          <w:rFonts w:ascii="Arial" w:cs="Arial" w:eastAsia="Arial" w:hAnsi="Arial"/>
          <w:sz w:val="18"/>
          <w:szCs w:val="18"/>
          <w:color w:val="auto"/>
        </w:rPr>
        <w:t>recognized as revenue and are impacted by the term of FortiGuard security and FortiCare and other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$1.16 billion for the three months ended March 31, 2022, an increase of 36% compared to $850.6 million in the same period last year.</w:t>
      </w:r>
    </w:p>
    <w:p>
      <w:pPr>
        <w:spacing w:after="0" w:line="218" w:lineRule="exact"/>
        <w:rPr>
          <w:sz w:val="20"/>
          <w:szCs w:val="20"/>
          <w:color w:val="auto"/>
        </w:rPr>
      </w:pPr>
    </w:p>
    <w:p>
      <w:pPr>
        <w:ind w:right="380" w:firstLine="648"/>
        <w:spacing w:after="0" w:line="274"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2021</w:t>
            </w:r>
          </w:p>
        </w:tc>
      </w:tr>
      <w:tr>
        <w:trPr>
          <w:trHeight w:val="226"/>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710.3</w:t>
            </w:r>
          </w:p>
        </w:tc>
      </w:tr>
      <w:tr>
        <w:trPr>
          <w:trHeight w:val="229"/>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Change in deferred revenue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w:t>
            </w: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2021</w:t>
            </w:r>
          </w:p>
        </w:tc>
      </w:tr>
      <w:tr>
        <w:trPr>
          <w:trHeight w:val="226"/>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315.9</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956.0</w:t>
            </w:r>
          </w:p>
        </w:tc>
      </w:tr>
      <w:tr>
        <w:trPr>
          <w:trHeight w:val="21"/>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circumstances. To the extent that there are material differences between these estimates and our actual results, our future financial statements will be affected.</w:t>
      </w:r>
    </w:p>
    <w:p>
      <w:pPr>
        <w:spacing w:after="0" w:line="19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months ended March 31, 2022, as compared to the critical accounting policies and estimates described in our Annual Report on Form 10-K filed with the SEC on February 25, 2022 (the “Form 10-K”).</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and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371.0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54 %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954.8</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34 %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382.6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32 %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6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w:t>
            </w:r>
          </w:p>
        </w:tc>
        <w:tc>
          <w:tcPr>
            <w:tcW w:w="1440" w:type="dxa"/>
            <w:vAlign w:val="bottom"/>
            <w:gridSpan w:val="3"/>
          </w:tcPr>
          <w:p>
            <w:pPr>
              <w:jc w:val="right"/>
              <w:ind w:right="1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143.7</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w:t>
            </w:r>
          </w:p>
        </w:tc>
        <w:tc>
          <w:tcPr>
            <w:tcW w:w="1420" w:type="dxa"/>
            <w:vAlign w:val="bottom"/>
          </w:tcPr>
          <w:p>
            <w:pPr>
              <w:ind w:left="10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34 %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46" w:lineRule="auto"/>
        <w:rPr>
          <w:sz w:val="20"/>
          <w:szCs w:val="20"/>
          <w:color w:val="auto"/>
        </w:rPr>
      </w:pPr>
      <w:r>
        <w:rPr>
          <w:rFonts w:ascii="Arial" w:cs="Arial" w:eastAsia="Arial" w:hAnsi="Arial"/>
          <w:sz w:val="17"/>
          <w:szCs w:val="17"/>
          <w:color w:val="auto"/>
        </w:rPr>
        <w:t>Total revenue increased by $244.5 million, or 34%, during the three months ended March 31, 2022 compared to the same period last year. We continued to experience largely organic revenue growth (i.e. revenue growth excluding attribution from recent acquisitions) with diversification of revenue geographically, and across both customers and industries. Revenue from all regions grew, with Americas contributing the largest portion of the increase on an absolute dollar basis and APAC, which included Alaxala, contributing the largest portion of the increase on a percentage basis.</w:t>
      </w:r>
    </w:p>
    <w:p>
      <w:pPr>
        <w:spacing w:after="0" w:line="198"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Product revenue increased by $130.3 million, or 54%, during the three months ended March 31, 2022 compared to the same period last year. Product revenue growth was consistent with an elevated cyber threat landscape and included the benefit of certain pricing actions, largely in the second half of 2021. Core Platform products accounted for more than half of the product revenue growth in the three months ended March 31, 2022. While Secure SD-WAN contributed to product revenue growth, the main driver was the strong demand for the wide range of other operating system capabilities embedded in the Core Platform products. We also experienced strong revenue growth across many Platform Extension products, including OT solutions and other secure access.</w:t>
      </w:r>
    </w:p>
    <w:p>
      <w:pPr>
        <w:spacing w:after="0" w:line="202" w:lineRule="exact"/>
        <w:rPr>
          <w:sz w:val="20"/>
          <w:szCs w:val="20"/>
          <w:color w:val="auto"/>
        </w:rPr>
      </w:pPr>
    </w:p>
    <w:p>
      <w:pPr>
        <w:ind w:right="20" w:firstLine="648"/>
        <w:spacing w:after="0" w:line="261" w:lineRule="auto"/>
        <w:rPr>
          <w:sz w:val="20"/>
          <w:szCs w:val="20"/>
          <w:color w:val="auto"/>
        </w:rPr>
      </w:pPr>
      <w:r>
        <w:rPr>
          <w:rFonts w:ascii="Arial" w:cs="Arial" w:eastAsia="Arial" w:hAnsi="Arial"/>
          <w:sz w:val="16"/>
          <w:szCs w:val="16"/>
          <w:color w:val="auto"/>
        </w:rPr>
        <w:t>Service revenue increased by $114.2 million, or 24%, during the three months ended March 31, 2022 compared to the same period last year. FortiGuard security subscription and FortiCare and other technical support and other revenues increased by $57.6 million, or 23%, and by $56.6 million, or 26%, respectively, during the three months ended March 31, 2022 compared to the same period last year. The increases were primarily due to the recognition of revenue from our growing deferred revenue balance related to FortiGuard and other security subscriptions delivered to on-premise and cloud based environments as well as FortiCare and other technical support, including our customers moving to higher-tier support offerings.</w:t>
      </w:r>
    </w:p>
    <w:p>
      <w:pPr>
        <w:spacing w:after="0" w:line="20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Of the service revenue recognized during the three months ended March 31, 2022, 87% was included in the deferred revenue balance as of December 31, 2021. Of the service revenue recognized during the three months ended March 31, 2021, 89% was included in the deferred revenue balance as of December 31, 2020.</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4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ind w:left="440"/>
              <w:spacing w:after="0"/>
              <w:rPr>
                <w:sz w:val="20"/>
                <w:szCs w:val="20"/>
                <w:color w:val="auto"/>
              </w:rPr>
            </w:pPr>
            <w:r>
              <w:rPr>
                <w:rFonts w:ascii="Arial" w:cs="Arial" w:eastAsia="Arial" w:hAnsi="Arial"/>
                <w:sz w:val="16"/>
                <w:szCs w:val="16"/>
                <w:b w:val="1"/>
                <w:bCs w:val="1"/>
                <w:color w:val="auto"/>
              </w:rPr>
              <w:t>(in millions, except percentages)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69.7</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76 %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62 %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80" w:firstLine="648"/>
        <w:spacing w:after="0" w:line="231" w:lineRule="auto"/>
        <w:rPr>
          <w:sz w:val="20"/>
          <w:szCs w:val="20"/>
          <w:color w:val="auto"/>
        </w:rPr>
      </w:pPr>
      <w:r>
        <w:rPr>
          <w:rFonts w:ascii="Arial" w:cs="Arial" w:eastAsia="Arial" w:hAnsi="Arial"/>
          <w:sz w:val="18"/>
          <w:szCs w:val="18"/>
          <w:color w:val="auto"/>
        </w:rPr>
        <w:t>Total gross margin decreased by 4.6 percentage points during the three months ended March 31, 2022 compared to the same period last year, driven by the consolidation of Alaxala and a change in revenue mix to lower margin product revenue from higher margin service revenue. Revenue mix shifted by 5.1 percentage points from service revenue to product revenue, as a percentage of total revenue. Total gross margin also reflected a decline in product gross margin and services gross margin.</w:t>
      </w:r>
    </w:p>
    <w:p>
      <w:pPr>
        <w:spacing w:after="0" w:line="202" w:lineRule="exact"/>
        <w:rPr>
          <w:sz w:val="20"/>
          <w:szCs w:val="20"/>
          <w:color w:val="auto"/>
        </w:rPr>
      </w:pPr>
    </w:p>
    <w:p>
      <w:pPr>
        <w:ind w:right="20" w:firstLine="648"/>
        <w:spacing w:after="0" w:line="231" w:lineRule="auto"/>
        <w:rPr>
          <w:sz w:val="20"/>
          <w:szCs w:val="20"/>
          <w:color w:val="auto"/>
        </w:rPr>
      </w:pPr>
      <w:r>
        <w:rPr>
          <w:rFonts w:ascii="Arial" w:cs="Arial" w:eastAsia="Arial" w:hAnsi="Arial"/>
          <w:sz w:val="18"/>
          <w:szCs w:val="18"/>
          <w:color w:val="auto"/>
        </w:rPr>
        <w:t>Product gross margin decreased by 5.5 percentage points during the three months ended March 31, 2022 compared to the same period last year. The decrease in product margin is driven by higher product costs and expedite fees due to supply chain constraints and the consolidation of Alaxala, partially offset by higher average selling prices. Cost of product revenue was comprised primarily of third-party contract manufacturers’ costs and the costs of materials used in production.</w:t>
      </w:r>
    </w:p>
    <w:p>
      <w:pPr>
        <w:spacing w:after="0" w:line="216" w:lineRule="exact"/>
        <w:rPr>
          <w:sz w:val="20"/>
          <w:szCs w:val="20"/>
          <w:color w:val="auto"/>
        </w:rPr>
      </w:pPr>
    </w:p>
    <w:p>
      <w:pPr>
        <w:jc w:val="both"/>
        <w:ind w:right="200" w:firstLine="648"/>
        <w:spacing w:after="0" w:line="248" w:lineRule="auto"/>
        <w:rPr>
          <w:sz w:val="20"/>
          <w:szCs w:val="20"/>
          <w:color w:val="auto"/>
        </w:rPr>
      </w:pPr>
      <w:r>
        <w:rPr>
          <w:rFonts w:ascii="Arial" w:cs="Arial" w:eastAsia="Arial" w:hAnsi="Arial"/>
          <w:sz w:val="18"/>
          <w:szCs w:val="18"/>
          <w:color w:val="auto"/>
        </w:rPr>
        <w:t>Service gross margin decreased by 2.0 percentage points during the three months ended March 31, 2022 compared to the same period last year. Cost of service revenue was comprised primarily of personnel and data center costs. The decrease in service gross margin was primarily impacted by our consolidation of Alaxala and our data center expansion.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6"/>
                <w:szCs w:val="16"/>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6"/>
                <w:szCs w:val="16"/>
                <w:b w:val="1"/>
                <w:bCs w:val="1"/>
                <w:color w:val="auto"/>
                <w:w w:val="95"/>
              </w:rPr>
              <w:t>2021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6"/>
                <w:szCs w:val="16"/>
                <w:color w:val="auto"/>
              </w:rPr>
            </w:pPr>
          </w:p>
        </w:tc>
        <w:tc>
          <w:tcPr>
            <w:tcW w:w="138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8"/>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28 %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w:t>
            </w:r>
          </w:p>
        </w:tc>
        <w:tc>
          <w:tcPr>
            <w:tcW w:w="1420" w:type="dxa"/>
            <w:vAlign w:val="bottom"/>
          </w:tcPr>
          <w:p>
            <w:pPr>
              <w:ind w:left="10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27 %</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expense increased by $27.7 million, or 28%, during the three months ended March 31, 2022 compared to the same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period last year, primarily due to an increase of $19.3 million in personnel-related costs as a result of increased headcount to support the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products and continued enhancements to our existing products. In addition, we incurred increases in depreciation and other occupancy costs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$7.7 million. We currently intend to continue to invest in our research and development organization, and expect research and development expense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absolute dollars during the remainder of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Sales and marketing expense increased by $83.6 million, or 28%, during the three months ended March 31, 2022 compared to the same period last year, primarily due to an increase of $56.7 million in personnel-related costs as a result of increases to sales and marketing headcount in order to drive global market revenue increases. In addition, we incurred increases in marketing-related expense of $9.5 million, travel expense of $6.7 million and depreciation and other occupancy expense of $4.4 million. We currently intend to continue to make investments in sales and marketing resources, which are critical to support our future growth, and expect sales and marketing expense to increase in absolute dollars during the remainder of 2022.</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ind w:right="340" w:firstLine="648"/>
        <w:spacing w:after="0" w:line="276" w:lineRule="auto"/>
        <w:rPr>
          <w:sz w:val="20"/>
          <w:szCs w:val="20"/>
          <w:color w:val="auto"/>
        </w:rPr>
      </w:pPr>
      <w:r>
        <w:rPr>
          <w:rFonts w:ascii="Arial" w:cs="Arial" w:eastAsia="Arial" w:hAnsi="Arial"/>
          <w:sz w:val="16"/>
          <w:szCs w:val="16"/>
          <w:color w:val="auto"/>
        </w:rPr>
        <w:t>General and administrative expense increased by $6.6 million, or 21%, during the three months ended March 31, 2022 compared to the same period last year, primarily due to an increase in personnel-related costs of $4.6 million, an increase in depreciation and other occupancy-related costs of $1.0 million. We currently expect general and administrative expense to increase in absolute dollars during the remainder of 2022.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2020, we entered into an agreement with a competitor in the network security industry, whereby, in February 2020, the competitor party paid us a lump sum of $50.0 million for a mutual covenant-not-to-sue for patent claims. During the three months ended March 31, 2022 and 2021, we recorded $1.1 million in amortization of the deferred component as a gain on IP matter in our condensed consolidated statements of income. See Note 11 of the notes to condensed consolidated financial statements included in Part I, Item 1 of this Quarterly Report on Form 10-Q for additional information regarding the gain on IP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generated operating income of $151.0 million during the three months ended March 31, 2022, an increase of $29.4 million, or 24%, compared to $121.6 million in the same period last year. Operating income as a percentage of revenue was 16% during the three months ended March 31, 2022, compared to 17% in the same period last year. The decrease in operating margin is primarily due to 4.6 percentage points decrease in gross margin, partially offset by 2.2 percentage points, 0.6 percentage point and 0.5 percentage point decreases in sales and marketing expense, research and development expense, general and administrative expense as percentage of revenue,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95"/>
              <w:spacing w:after="0"/>
              <w:rPr>
                <w:sz w:val="20"/>
                <w:szCs w:val="20"/>
                <w:color w:val="auto"/>
              </w:rPr>
            </w:pPr>
            <w:r>
              <w:rPr>
                <w:rFonts w:ascii="Arial" w:cs="Arial" w:eastAsia="Arial" w:hAnsi="Arial"/>
                <w:sz w:val="16"/>
                <w:szCs w:val="16"/>
                <w:b w:val="1"/>
                <w:bCs w:val="1"/>
                <w:color w:val="auto"/>
                <w:w w:val="94"/>
              </w:rPr>
              <w:t>March 31,</w:t>
            </w:r>
          </w:p>
        </w:tc>
        <w:tc>
          <w:tcPr>
            <w:tcW w:w="380" w:type="dxa"/>
            <w:vAlign w:val="bottom"/>
          </w:tcPr>
          <w:p>
            <w:pPr>
              <w:spacing w:after="0"/>
              <w:rPr>
                <w:sz w:val="16"/>
                <w:szCs w:val="16"/>
                <w:color w:val="auto"/>
              </w:rPr>
            </w:pPr>
          </w:p>
        </w:tc>
        <w:tc>
          <w:tcPr>
            <w:tcW w:w="1460" w:type="dxa"/>
            <w:vAlign w:val="bottom"/>
          </w:tcPr>
          <w:p>
            <w:pPr>
              <w:jc w:val="center"/>
              <w:ind w:right="255"/>
              <w:spacing w:after="0"/>
              <w:rPr>
                <w:sz w:val="20"/>
                <w:szCs w:val="20"/>
                <w:color w:val="auto"/>
              </w:rPr>
            </w:pPr>
            <w:r>
              <w:rPr>
                <w:rFonts w:ascii="Arial" w:cs="Arial" w:eastAsia="Arial" w:hAnsi="Arial"/>
                <w:sz w:val="16"/>
                <w:szCs w:val="16"/>
                <w:b w:val="1"/>
                <w:bCs w:val="1"/>
                <w:color w:val="auto"/>
                <w:w w:val="97"/>
              </w:rPr>
              <w:t>March 31,</w:t>
            </w:r>
          </w:p>
        </w:tc>
        <w:tc>
          <w:tcPr>
            <w:tcW w:w="460" w:type="dxa"/>
            <w:vAlign w:val="bottom"/>
          </w:tcPr>
          <w:p>
            <w:pPr>
              <w:spacing w:after="0"/>
              <w:rPr>
                <w:sz w:val="16"/>
                <w:szCs w:val="16"/>
                <w:color w:val="auto"/>
              </w:rPr>
            </w:pPr>
          </w:p>
        </w:tc>
        <w:tc>
          <w:tcPr>
            <w:tcW w:w="17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3"/>
          </w:tcPr>
          <w:p>
            <w:pPr>
              <w:ind w:left="480"/>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center"/>
              <w:ind w:left="935"/>
              <w:spacing w:after="0"/>
              <w:rPr>
                <w:sz w:val="20"/>
                <w:szCs w:val="20"/>
                <w:color w:val="auto"/>
              </w:rPr>
            </w:pPr>
            <w:r>
              <w:rPr>
                <w:rFonts w:ascii="Arial" w:cs="Arial" w:eastAsia="Arial" w:hAnsi="Arial"/>
                <w:sz w:val="18"/>
                <w:szCs w:val="18"/>
                <w:color w:val="auto"/>
                <w:w w:val="87"/>
              </w:rPr>
              <w:t>1.3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87"/>
              </w:rPr>
              <w:t>1.1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center"/>
              <w:ind w:left="632"/>
              <w:spacing w:after="0"/>
              <w:rPr>
                <w:sz w:val="20"/>
                <w:szCs w:val="20"/>
                <w:color w:val="auto"/>
              </w:rPr>
            </w:pPr>
            <w:r>
              <w:rPr>
                <w:rFonts w:ascii="Arial" w:cs="Arial" w:eastAsia="Arial" w:hAnsi="Arial"/>
                <w:sz w:val="18"/>
                <w:szCs w:val="18"/>
                <w:color w:val="auto"/>
                <w:w w:val="87"/>
              </w:rPr>
              <w:t>0.2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center"/>
              <w:ind w:left="915"/>
              <w:spacing w:after="0"/>
              <w:rPr>
                <w:sz w:val="20"/>
                <w:szCs w:val="20"/>
                <w:color w:val="auto"/>
              </w:rPr>
            </w:pPr>
            <w:r>
              <w:rPr>
                <w:rFonts w:ascii="Arial" w:cs="Arial" w:eastAsia="Arial" w:hAnsi="Arial"/>
                <w:sz w:val="18"/>
                <w:szCs w:val="18"/>
                <w:color w:val="auto"/>
                <w:w w:val="97"/>
              </w:rPr>
              <w:t>(4.5)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955"/>
              <w:spacing w:after="0"/>
              <w:rPr>
                <w:sz w:val="20"/>
                <w:szCs w:val="20"/>
                <w:color w:val="auto"/>
              </w:rPr>
            </w:pPr>
            <w:r>
              <w:rPr>
                <w:rFonts w:ascii="Arial" w:cs="Arial" w:eastAsia="Arial" w:hAnsi="Arial"/>
                <w:sz w:val="18"/>
                <w:szCs w:val="18"/>
                <w:color w:val="auto"/>
                <w:w w:val="91"/>
              </w:rPr>
              <w:t>(1.3)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center"/>
              <w:ind w:left="592"/>
              <w:spacing w:after="0"/>
              <w:rPr>
                <w:sz w:val="20"/>
                <w:szCs w:val="20"/>
                <w:color w:val="auto"/>
              </w:rPr>
            </w:pPr>
            <w:r>
              <w:rPr>
                <w:rFonts w:ascii="Arial" w:cs="Arial" w:eastAsia="Arial" w:hAnsi="Arial"/>
                <w:sz w:val="18"/>
                <w:szCs w:val="18"/>
                <w:color w:val="auto"/>
                <w:w w:val="91"/>
              </w:rPr>
              <w:t>(3.2)</w:t>
            </w:r>
          </w:p>
        </w:tc>
        <w:tc>
          <w:tcPr>
            <w:tcW w:w="1700" w:type="dxa"/>
            <w:vAlign w:val="bottom"/>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center"/>
              <w:ind w:left="915"/>
              <w:spacing w:after="0"/>
              <w:rPr>
                <w:sz w:val="20"/>
                <w:szCs w:val="20"/>
                <w:color w:val="auto"/>
              </w:rPr>
            </w:pPr>
            <w:r>
              <w:rPr>
                <w:rFonts w:ascii="Arial" w:cs="Arial" w:eastAsia="Arial" w:hAnsi="Arial"/>
                <w:sz w:val="18"/>
                <w:szCs w:val="18"/>
                <w:color w:val="auto"/>
                <w:w w:val="97"/>
              </w:rPr>
              <w:t>(9.1)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91"/>
              </w:rPr>
              <w:t>(2.0)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91"/>
              </w:rPr>
              <w:t>(7.1)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Interest income increased by $0.2 million during the three months ended March 31, 2022 compared to the same period last year, as a result of higher interest rates. Interest income varies depending on our average investment balances during the period, types and mix of investments, and market interest rates. Interest expense increased by $3.2 million during the three months ended March 31, 2022 compared to the same period last year, primarily due to the senior notes issued in the first quarter of 2021. Other expense—net increased by $7.1 million during the three months ended March 31, 2022 compared to the same period last year, primarily due to an increase of $6.5 million loss on marketable equity securities and an increase of $2.3 million of foreign currency exchange loss, partially offset by net rental income of $1.9 million from real estate.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32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300" w:type="dxa"/>
            <w:vAlign w:val="bottom"/>
          </w:tcPr>
          <w:p>
            <w:pPr>
              <w:jc w:val="center"/>
              <w:ind w:left="457"/>
              <w:spacing w:after="0"/>
              <w:rPr>
                <w:sz w:val="20"/>
                <w:szCs w:val="20"/>
                <w:color w:val="auto"/>
              </w:rPr>
            </w:pPr>
            <w:r>
              <w:rPr>
                <w:rFonts w:ascii="Arial" w:cs="Arial" w:eastAsia="Arial" w:hAnsi="Arial"/>
                <w:sz w:val="16"/>
                <w:szCs w:val="16"/>
                <w:b w:val="1"/>
                <w:bCs w:val="1"/>
                <w:color w:val="auto"/>
                <w:w w:val="97"/>
              </w:rPr>
              <w:t>March 31,</w:t>
            </w:r>
          </w:p>
        </w:tc>
        <w:tc>
          <w:tcPr>
            <w:tcW w:w="580" w:type="dxa"/>
            <w:vAlign w:val="bottom"/>
          </w:tcPr>
          <w:p>
            <w:pPr>
              <w:spacing w:after="0"/>
              <w:rPr>
                <w:sz w:val="16"/>
                <w:szCs w:val="16"/>
                <w:color w:val="auto"/>
              </w:rPr>
            </w:pPr>
          </w:p>
        </w:tc>
        <w:tc>
          <w:tcPr>
            <w:tcW w:w="1360" w:type="dxa"/>
            <w:vAlign w:val="bottom"/>
          </w:tcPr>
          <w:p>
            <w:pPr>
              <w:ind w:left="640"/>
              <w:spacing w:after="0"/>
              <w:rPr>
                <w:sz w:val="20"/>
                <w:szCs w:val="20"/>
                <w:color w:val="auto"/>
              </w:rPr>
            </w:pPr>
            <w:r>
              <w:rPr>
                <w:rFonts w:ascii="Arial" w:cs="Arial" w:eastAsia="Arial" w:hAnsi="Arial"/>
                <w:sz w:val="16"/>
                <w:szCs w:val="16"/>
                <w:b w:val="1"/>
                <w:bCs w:val="1"/>
                <w:color w:val="auto"/>
                <w:w w:val="94"/>
              </w:rPr>
              <w:t>March 31,</w:t>
            </w:r>
          </w:p>
        </w:tc>
        <w:tc>
          <w:tcPr>
            <w:tcW w:w="56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gridSpan w:val="3"/>
          </w:tcPr>
          <w:p>
            <w:pPr>
              <w:ind w:left="820"/>
              <w:spacing w:after="0"/>
              <w:rPr>
                <w:sz w:val="20"/>
                <w:szCs w:val="20"/>
                <w:color w:val="auto"/>
              </w:rPr>
            </w:pPr>
            <w:r>
              <w:rPr>
                <w:rFonts w:ascii="Arial" w:cs="Arial" w:eastAsia="Arial" w:hAnsi="Arial"/>
                <w:sz w:val="16"/>
                <w:szCs w:val="16"/>
                <w:b w:val="1"/>
                <w:bCs w:val="1"/>
                <w:color w:val="auto"/>
                <w:w w:val="95"/>
              </w:rPr>
              <w:t>(in millions, except percentages)</w:t>
            </w: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shd w:val="clear" w:color="auto" w:fill="CCEEFF"/>
          </w:tcPr>
          <w:p>
            <w:pPr>
              <w:jc w:val="right"/>
              <w:ind w:right="1117"/>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(8.1)</w:t>
            </w:r>
          </w:p>
        </w:tc>
        <w:tc>
          <w:tcPr>
            <w:tcW w:w="1360" w:type="dxa"/>
            <w:vAlign w:val="bottom"/>
            <w:shd w:val="clear" w:color="auto" w:fill="CCEEFF"/>
          </w:tcPr>
          <w:p>
            <w:pPr>
              <w:jc w:val="right"/>
              <w:ind w:right="109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12.2</w:t>
            </w:r>
          </w:p>
        </w:tc>
        <w:tc>
          <w:tcPr>
            <w:tcW w:w="128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10 %</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0" w:firstLine="648"/>
        <w:spacing w:after="0" w:line="246" w:lineRule="auto"/>
        <w:rPr>
          <w:sz w:val="20"/>
          <w:szCs w:val="20"/>
          <w:color w:val="auto"/>
        </w:rPr>
      </w:pPr>
      <w:r>
        <w:rPr>
          <w:rFonts w:ascii="Arial" w:cs="Arial" w:eastAsia="Arial" w:hAnsi="Arial"/>
          <w:sz w:val="17"/>
          <w:szCs w:val="17"/>
          <w:color w:val="auto"/>
        </w:rPr>
        <w:t>Our effective tax rate was negative 6% for the three months ended March 31, 2022 compared to an effective tax rate of 10% for the same period last year. The benefit from income taxes for the three months ended March 31, 2022 was primarily comprised of U.S. federal and state taxes, withholding taxes and foreign taxes that were $38.5 million, which were favorably affected by a tax benefit of $14.4 million from the foreign-derived intangible income deduction (the “FDII deduction”) and excess tax benefits from stock-based compensation expense of $32.2 million.</w:t>
      </w:r>
    </w:p>
    <w:p>
      <w:pPr>
        <w:spacing w:after="0" w:line="198" w:lineRule="exact"/>
        <w:rPr>
          <w:sz w:val="20"/>
          <w:szCs w:val="20"/>
          <w:color w:val="auto"/>
        </w:rPr>
      </w:pPr>
    </w:p>
    <w:p>
      <w:pPr>
        <w:jc w:val="both"/>
        <w:ind w:right="100" w:firstLine="648"/>
        <w:spacing w:after="0" w:line="235" w:lineRule="auto"/>
        <w:rPr>
          <w:sz w:val="20"/>
          <w:szCs w:val="20"/>
          <w:color w:val="auto"/>
        </w:rPr>
      </w:pPr>
      <w:r>
        <w:rPr>
          <w:rFonts w:ascii="Arial" w:cs="Arial" w:eastAsia="Arial" w:hAnsi="Arial"/>
          <w:sz w:val="18"/>
          <w:szCs w:val="18"/>
          <w:color w:val="auto"/>
        </w:rPr>
        <w:t>The provision for income taxes for the three months ended March 31, 2021 was comprised of U.S. federal and state taxes, withholding taxes, and foreign taxes that were $35.7 million, which were offset by a tax benefit of $7.3 million from the FDII deduction and excess tax benefits from stock-based compensation expense of $16.2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974"/>
              <w:spacing w:after="0"/>
              <w:rPr>
                <w:sz w:val="20"/>
                <w:szCs w:val="20"/>
                <w:color w:val="auto"/>
              </w:rPr>
            </w:pPr>
            <w:r>
              <w:rPr>
                <w:rFonts w:ascii="Arial" w:cs="Arial" w:eastAsia="Arial" w:hAnsi="Arial"/>
                <w:sz w:val="16"/>
                <w:szCs w:val="16"/>
                <w:b w:val="1"/>
                <w:bCs w:val="1"/>
                <w:color w:val="auto"/>
                <w:w w:val="89"/>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2021</w:t>
            </w:r>
          </w:p>
        </w:tc>
      </w:tr>
      <w:tr>
        <w:trPr>
          <w:trHeight w:val="209"/>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Short-term and long-term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1,634.8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equity securities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cash, cash equivalents, investments and marketable equity securities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6"/>
                <w:szCs w:val="16"/>
                <w:b w:val="1"/>
                <w:bCs w:val="1"/>
                <w:color w:val="auto"/>
                <w:w w:val="93"/>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3"/>
                <w:szCs w:val="13"/>
                <w:color w:val="auto"/>
              </w:rPr>
            </w:pPr>
          </w:p>
        </w:tc>
        <w:tc>
          <w:tcPr>
            <w:tcW w:w="130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7"/>
              </w:rPr>
              <w:t>March 31,</w:t>
            </w:r>
          </w:p>
        </w:tc>
      </w:t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2021</w:t>
            </w:r>
          </w:p>
        </w:tc>
      </w:tr>
      <w:tr>
        <w:trPr>
          <w:trHeight w:val="210"/>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40" w:firstLine="648"/>
        <w:spacing w:after="0" w:line="235"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proceeds from the issuance of common stock, investment grade debt issuance and payment of taxes in connection with the net settlement of equity awards, real estate and other capital expenditures, business acquisitions and the timing of inventory deliveries.</w:t>
      </w:r>
    </w:p>
    <w:p>
      <w:pPr>
        <w:spacing w:after="0" w:line="202"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market or industry changes, macroeconomic events such as the COVID-19 pandemic, supply chain capacity and disruptions, international conflicts, including the war in Ukraine,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October 2021, our board of directors authorized a $1.25 billion increase in the authorized stock repurchase under the Repurchase Program and extended the term of the Repurchase Program to February 28, 2023, bringing the aggregate amount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authorized to be repurchased to $4.25 billion of our outstanding common stock through February 28, 2023. During the three months ended March 31, 2022, we repurchased 2.3 million shares of common stock under the Repurchase Program for an aggregate purchase price of $691.2 million. As of March 31, 2022, $829.6 million remained available for future share repurchases under the Repurchase Program.</w:t>
      </w:r>
    </w:p>
    <w:p>
      <w:pPr>
        <w:spacing w:after="0" w:line="211"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w:t>
      </w:r>
    </w:p>
    <w:p>
      <w:pPr>
        <w:spacing w:after="0" w:line="2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expect to continue to increase our office and warehouse capacity to support growth. As we purchase new properties, we will work to incorporate these properties into the environmental goals we have established. We estimate capital expenditures to be between $150.0 million and $180.0 million in the rest of 2022.</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our cash provided by operating activities, together with our existing cash, cash equivalents and investments will be sufficient to meet our anticipated cash needs and do not currently intend to retire these Notes early. Refer to Note 10. Debt in Part I, Item 1 of this Quarterly Report on Form 10-Q for information on the Notes. As of March 31, 2022, the long-term debt, net of unamortized discount and debt issuance costs, was $988.9 million.</w:t>
      </w:r>
    </w:p>
    <w:p>
      <w:pPr>
        <w:spacing w:after="0" w:line="200"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We enter into non-cancellable agreements with contract manufacturers and certain component suppliers to procure inventory based on our requirements in order to negotiate manufacturing lead times and encourage and incentivize vendors to deliver components and finished goods. These purchase commitments totaled $1.37 billion as of March 31, 2022. We also have open purchase orders and contractual obligations in the ordinary course of business for which we have not received goods or services. As of March 31, 2022, we had $114.4 million in other contractual commitments having a remaining term in excess of one year that are non-cancelable.</w:t>
      </w:r>
    </w:p>
    <w:p>
      <w:pPr>
        <w:spacing w:after="0" w:line="205"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There have been no significant changes to our leases as disclosed in our Annual Report on Form 10-K for the year ended December 31, 2021 other than as of March 31, 2022 we had additional minimum lease payments of $39.7 million relating to operating leases that had been signed but had not yet commenced. These leases will commence during 2022 and will have lease terms of approximately one to six years.</w:t>
      </w:r>
    </w:p>
    <w:p>
      <w:pPr>
        <w:spacing w:after="0" w:line="20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of March 31, 2022, our cash, cash equivalents, short-term and long-term investments and marketable equity securities of $2.50 billion were invested primarily in deposit accounts, money market funds, corporate debt securities, commercial paper, certificates of deposit and term deposits, U.S. government and agency securities, municipal bonds and marketable equity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1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$143.9 million as of March 31, 2022 and $132.4 million as of December 31, 2021.</w:t>
      </w:r>
    </w:p>
    <w:p>
      <w:pPr>
        <w:spacing w:after="0" w:line="19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March 31,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based compensation, amortization of deferred contract costs and depreciation and amortization. Changes in operating assets and liabilities consist primarily of changes in deferred revenue, deferred tax assets, accrued liabilities and deferred contract costs.</w:t>
      </w:r>
    </w:p>
    <w:p>
      <w:pPr>
        <w:spacing w:after="0" w:line="19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operating activities during the three months ended March 31, 2022 provided cash flows of $396.1 million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in our deferred revenue. Our total deferred revenue balance grew $205 million, or 6%, during the three months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closely aligned with our long-term strategy. We expect to make similar decisions in the future. We may also make cash payments in connection with future business combinations.</w:t>
      </w:r>
    </w:p>
    <w:p>
      <w:pPr>
        <w:spacing w:after="0" w:line="21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the three months ended March 31, 2022, cash used in investing activities was $45.4 million, driven by $122.6 million of purchases of property and equipment and $77.2 million spent for purchases of investments, net of maturities and sales of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taxes paid related to net share settlement of equity awards, net of proceeds from the issuance of common stock under the Amended and Restated Fortinet, Inc. 2009 Equity Incentive Plan and the issuance of long-term notes, net of discount and underwriting.</w:t>
      </w:r>
    </w:p>
    <w:p>
      <w:pPr>
        <w:spacing w:after="0" w:line="21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During the three months ended March 31, 2022, cash used in financing activities was $746.0 million, primarily driven by $691.2 million used to repurchase shares of our common stock and $53.8 million used to pay tax withholding, net of proceeds from the issuance of common stock.</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2022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March 31, 2022.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March 31, 2022 to provide reasonable assurance that information we are required to disclose in reports that we file or submit under the Exchange Act is recorded, processed, summarized and reported within the time periods specified in </w:t>
      </w:r>
      <w:r>
        <w:rPr>
          <w:rFonts w:ascii="Arial" w:cs="Arial" w:eastAsia="Arial" w:hAnsi="Arial"/>
          <w:sz w:val="18"/>
          <w:szCs w:val="18"/>
          <w:i w:val="1"/>
          <w:iCs w:val="1"/>
          <w:color w:val="auto"/>
        </w:rPr>
        <w:t>SEC</w:t>
      </w:r>
      <w:r>
        <w:rPr>
          <w:rFonts w:ascii="Arial" w:cs="Arial" w:eastAsia="Arial" w:hAnsi="Arial"/>
          <w:sz w:val="18"/>
          <w:szCs w:val="18"/>
          <w:color w:val="auto"/>
        </w:rPr>
        <w:t xml:space="preserve">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or 15d-15(f) under the Exchange Act) during the three months ended March 31, 2022,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right="280" w:hanging="644"/>
        <w:spacing w:after="0" w:line="23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conditions, including macro-economic and regional economic challenges resulting, for example, from a recession or other economic downturn, increased inflation or possible stagflation in certain geographies, the war in Ukraine, the COVID-19 pandemic or other factors;</w:t>
      </w:r>
    </w:p>
    <w:p>
      <w:pPr>
        <w:spacing w:after="0" w:line="201" w:lineRule="exact"/>
        <w:rPr>
          <w:rFonts w:ascii="Arial" w:cs="Arial" w:eastAsia="Arial" w:hAnsi="Arial"/>
          <w:sz w:val="18"/>
          <w:szCs w:val="18"/>
          <w:color w:val="auto"/>
        </w:rPr>
      </w:pPr>
    </w:p>
    <w:p>
      <w:pPr>
        <w:jc w:val="both"/>
        <w:ind w:left="1300" w:right="60" w:hanging="644"/>
        <w:spacing w:after="0" w:line="231"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component shortages, including chips and other components, and product inventory shortages, including those caused by factors outside of our control, such as the COVID-19 pandemic,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spacing w:after="0" w:line="21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160" w:hanging="644"/>
        <w:spacing w:after="0" w:line="246"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increase backlog and may be impacted by the COVID-19 pandemic and supply chain constraints in ways that we are not able to foresee;</w:t>
      </w:r>
    </w:p>
    <w:p>
      <w:pPr>
        <w:spacing w:after="0" w:line="196"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supplier cost increases and any lack of market acceptance of our price increases designed to help offset any supplier cost increases;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our suspension of operations in Russia;</w:t>
      </w:r>
    </w:p>
    <w:p>
      <w:pPr>
        <w:spacing w:after="0" w:line="177" w:lineRule="exact"/>
        <w:rPr>
          <w:rFonts w:ascii="Arial" w:cs="Arial" w:eastAsia="Arial" w:hAnsi="Arial"/>
          <w:sz w:val="18"/>
          <w:szCs w:val="18"/>
          <w:color w:val="auto"/>
        </w:rPr>
      </w:pPr>
    </w:p>
    <w:p>
      <w:pPr>
        <w:ind w:left="1300" w:right="180" w:hanging="644"/>
        <w:spacing w:after="0" w:line="24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r>
        <w:rPr>
          <w:rFonts w:ascii="Arial" w:cs="Arial" w:eastAsia="Arial" w:hAnsi="Arial"/>
          <w:sz w:val="21"/>
          <w:szCs w:val="21"/>
          <w:color w:val="auto"/>
        </w:rPr>
        <w:t>,</w:t>
      </w:r>
      <w:r>
        <w:rPr>
          <w:rFonts w:ascii="Arial" w:cs="Arial" w:eastAsia="Arial" w:hAnsi="Arial"/>
          <w:sz w:val="18"/>
          <w:szCs w:val="18"/>
          <w:color w:val="auto"/>
        </w:rPr>
        <w:t xml:space="preserve"> market acceptance of our price increases, and our reliance on a concentration of shipments at the end of each quarter;</w:t>
      </w:r>
    </w:p>
    <w:p>
      <w:pPr>
        <w:spacing w:after="0" w:line="197" w:lineRule="exact"/>
        <w:rPr>
          <w:rFonts w:ascii="Arial" w:cs="Arial" w:eastAsia="Arial" w:hAnsi="Arial"/>
          <w:sz w:val="18"/>
          <w:szCs w:val="18"/>
          <w:color w:val="auto"/>
        </w:rPr>
      </w:pPr>
    </w:p>
    <w:p>
      <w:pPr>
        <w:ind w:left="1300" w:right="120" w:hanging="644"/>
        <w:spacing w:after="0" w:line="246"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 the war in Ukraine and other factors;</w:t>
      </w:r>
    </w:p>
    <w:p>
      <w:pPr>
        <w:spacing w:after="0" w:line="156" w:lineRule="exact"/>
        <w:rPr>
          <w:rFonts w:ascii="Arial" w:cs="Arial" w:eastAsia="Arial" w:hAnsi="Arial"/>
          <w:sz w:val="18"/>
          <w:szCs w:val="18"/>
          <w:color w:val="auto"/>
        </w:rPr>
      </w:pPr>
    </w:p>
    <w:p>
      <w:pPr>
        <w:ind w:left="1300" w:right="40" w:hanging="644"/>
        <w:spacing w:after="0" w:line="23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300" w:right="40" w:hanging="644"/>
        <w:spacing w:after="0" w:line="248"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expenses, unforeseen liabilities or write-downs and any negative impact on results of operations from any acquisition or equity investment consummated, as well as accounting risks, integration risks related to product plans and products and risks of negative impact by such acquisitions and equity investments on our financial results;</w:t>
      </w:r>
    </w:p>
    <w:p>
      <w:pPr>
        <w:spacing w:after="0" w:line="195" w:lineRule="exact"/>
        <w:rPr>
          <w:rFonts w:ascii="Arial" w:cs="Arial" w:eastAsia="Arial" w:hAnsi="Arial"/>
          <w:sz w:val="18"/>
          <w:szCs w:val="18"/>
          <w:color w:val="auto"/>
        </w:rPr>
      </w:pPr>
    </w:p>
    <w:p>
      <w:pPr>
        <w:ind w:left="1300" w:right="420" w:hanging="644"/>
        <w:spacing w:after="0" w:line="307" w:lineRule="auto"/>
        <w:tabs>
          <w:tab w:leader="none" w:pos="1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mix of products sold, such as the mix between Core Platform and Platform Extension solutions, and the mix of revenue between products and services, as well as the degree to which products and services are bundled and sold together for a package price;</w:t>
      </w:r>
    </w:p>
    <w:p>
      <w:pPr>
        <w:spacing w:after="0" w:line="150" w:lineRule="exact"/>
        <w:rPr>
          <w:rFonts w:ascii="Arial" w:cs="Arial" w:eastAsia="Arial" w:hAnsi="Arial"/>
          <w:sz w:val="16"/>
          <w:szCs w:val="16"/>
          <w:color w:val="auto"/>
        </w:rPr>
      </w:pPr>
    </w:p>
    <w:p>
      <w:pPr>
        <w:ind w:left="1300" w:right="480" w:hanging="644"/>
        <w:spacing w:after="0" w:line="246"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lifecycles or refresh cycles;</w:t>
      </w:r>
    </w:p>
    <w:p>
      <w:pPr>
        <w:spacing w:after="0" w:line="196" w:lineRule="exact"/>
        <w:rPr>
          <w:rFonts w:ascii="Arial" w:cs="Arial" w:eastAsia="Arial" w:hAnsi="Arial"/>
          <w:sz w:val="18"/>
          <w:szCs w:val="18"/>
          <w:color w:val="auto"/>
        </w:rPr>
      </w:pPr>
    </w:p>
    <w:p>
      <w:pPr>
        <w:ind w:left="1300" w:right="180" w:hanging="644"/>
        <w:spacing w:after="0" w:line="246"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11" w:lineRule="exact"/>
        <w:rPr>
          <w:rFonts w:ascii="Arial" w:cs="Arial" w:eastAsia="Arial" w:hAnsi="Arial"/>
          <w:sz w:val="17"/>
          <w:szCs w:val="17"/>
          <w:color w:val="auto"/>
        </w:rPr>
      </w:pPr>
    </w:p>
    <w:p>
      <w:pPr>
        <w:ind w:left="1300" w:right="10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84" w:lineRule="exact"/>
        <w:rPr>
          <w:rFonts w:ascii="Arial" w:cs="Arial" w:eastAsia="Arial" w:hAnsi="Arial"/>
          <w:sz w:val="18"/>
          <w:szCs w:val="18"/>
          <w:color w:val="auto"/>
        </w:rPr>
      </w:pPr>
    </w:p>
    <w:p>
      <w:pPr>
        <w:ind w:left="1300" w:hanging="644"/>
        <w:spacing w:after="0" w:line="23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and increased competition and unpredictability of timing to close larger enterprise and large organization deals;</w:t>
      </w:r>
    </w:p>
    <w:p>
      <w:pPr>
        <w:spacing w:after="0" w:line="202" w:lineRule="exact"/>
        <w:rPr>
          <w:rFonts w:ascii="Arial" w:cs="Arial" w:eastAsia="Arial" w:hAnsi="Arial"/>
          <w:sz w:val="18"/>
          <w:szCs w:val="18"/>
          <w:color w:val="auto"/>
        </w:rPr>
      </w:pPr>
    </w:p>
    <w:p>
      <w:pPr>
        <w:ind w:left="1300" w:right="20" w:hanging="644"/>
        <w:spacing w:after="0" w:line="253"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cloud security and endpoint protection, and IoT and OT security opportunities;</w:t>
      </w:r>
    </w:p>
    <w:p>
      <w:pPr>
        <w:spacing w:after="0" w:line="205" w:lineRule="exact"/>
        <w:rPr>
          <w:rFonts w:ascii="Arial" w:cs="Arial" w:eastAsia="Arial" w:hAnsi="Arial"/>
          <w:sz w:val="17"/>
          <w:szCs w:val="17"/>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120" w:hanging="644"/>
        <w:spacing w:after="0" w:line="274"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34" w:lineRule="exact"/>
        <w:rPr>
          <w:rFonts w:ascii="Arial" w:cs="Arial" w:eastAsia="Arial" w:hAnsi="Arial"/>
          <w:sz w:val="17"/>
          <w:szCs w:val="17"/>
          <w:color w:val="auto"/>
        </w:rPr>
      </w:pPr>
    </w:p>
    <w:p>
      <w:pPr>
        <w:ind w:left="1300" w:right="440" w:hanging="644"/>
        <w:spacing w:after="0" w:line="246"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revenue recognition for our sales, including any impacts resulting from extension of payment terms to distributors and backlog levels;</w:t>
      </w:r>
    </w:p>
    <w:p>
      <w:pPr>
        <w:spacing w:after="0" w:line="16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38" w:lineRule="exact"/>
        <w:rPr>
          <w:rFonts w:ascii="Arial" w:cs="Arial" w:eastAsia="Arial" w:hAnsi="Arial"/>
          <w:sz w:val="18"/>
          <w:szCs w:val="18"/>
          <w:color w:val="auto"/>
        </w:rPr>
      </w:pPr>
    </w:p>
    <w:p>
      <w:pPr>
        <w:ind w:left="1300" w:right="200" w:hanging="644"/>
        <w:spacing w:after="0" w:line="261"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84" w:lineRule="exact"/>
        <w:rPr>
          <w:rFonts w:ascii="Arial" w:cs="Arial" w:eastAsia="Arial" w:hAnsi="Arial"/>
          <w:sz w:val="18"/>
          <w:szCs w:val="18"/>
          <w:color w:val="auto"/>
        </w:rPr>
      </w:pPr>
    </w:p>
    <w:p>
      <w:pPr>
        <w:ind w:left="1300" w:right="260" w:hanging="644"/>
        <w:spacing w:after="0" w:line="274"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the growth rates of the network security market in particular and other security and networking markets, such as SD-WAN, OT, switches, access points and cloud solutions for which we and our competitors sell products and services;</w:t>
      </w:r>
    </w:p>
    <w:p>
      <w:pPr>
        <w:spacing w:after="0" w:line="147" w:lineRule="exact"/>
        <w:rPr>
          <w:rFonts w:ascii="Arial" w:cs="Arial" w:eastAsia="Arial" w:hAnsi="Arial"/>
          <w:sz w:val="17"/>
          <w:szCs w:val="17"/>
          <w:color w:val="auto"/>
        </w:rPr>
      </w:pPr>
    </w:p>
    <w:p>
      <w:pPr>
        <w:ind w:left="1300" w:right="280" w:hanging="644"/>
        <w:spacing w:after="0" w:line="291"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19" w:lineRule="exact"/>
        <w:rPr>
          <w:rFonts w:ascii="Arial" w:cs="Arial" w:eastAsia="Arial" w:hAnsi="Arial"/>
          <w:sz w:val="17"/>
          <w:szCs w:val="17"/>
          <w:color w:val="auto"/>
        </w:rPr>
      </w:pPr>
    </w:p>
    <w:p>
      <w:pPr>
        <w:ind w:left="1300" w:right="200" w:hanging="644"/>
        <w:spacing w:after="0" w:line="274"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deferral of orders from distributors, resellers or end-customers in anticipation of new products or product enhancements announced by us or our competitors, or the acceleration of orders in response to our announced or expected price list increases;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100" w:hanging="644"/>
        <w:spacing w:after="0" w:line="294" w:lineRule="auto"/>
        <w:tabs>
          <w:tab w:leader="none" w:pos="12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25" w:lineRule="exact"/>
        <w:rPr>
          <w:rFonts w:ascii="Arial" w:cs="Arial" w:eastAsia="Arial" w:hAnsi="Arial"/>
          <w:sz w:val="18"/>
          <w:szCs w:val="18"/>
          <w:color w:val="auto"/>
        </w:rPr>
      </w:pPr>
    </w:p>
    <w:p>
      <w:pPr>
        <w:ind w:left="1300" w:right="400" w:hanging="644"/>
        <w:spacing w:after="0" w:line="246"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and maintain permits, clearances and certifications that are applicable to our ability to conduct business with the public sector, including the U.S. federal government, and other sectors;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cloud-based security solutions on our billings, revenues, operating margins and free cash flow;</w:t>
      </w:r>
    </w:p>
    <w:p>
      <w:pPr>
        <w:spacing w:after="0" w:line="198" w:lineRule="exact"/>
        <w:rPr>
          <w:rFonts w:ascii="Arial" w:cs="Arial" w:eastAsia="Arial" w:hAnsi="Arial"/>
          <w:sz w:val="18"/>
          <w:szCs w:val="18"/>
          <w:color w:val="auto"/>
        </w:rPr>
      </w:pPr>
    </w:p>
    <w:p>
      <w:pPr>
        <w:ind w:left="1300" w:right="66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both increase revenues and manage and control operating expenses in order to maintain or improve our operating margins;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120" w:hanging="644"/>
        <w:spacing w:after="0" w:line="291"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57"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66" w:lineRule="exact"/>
        <w:rPr>
          <w:rFonts w:ascii="Arial" w:cs="Arial" w:eastAsia="Arial" w:hAnsi="Arial"/>
          <w:sz w:val="17"/>
          <w:szCs w:val="17"/>
          <w:color w:val="auto"/>
        </w:rPr>
      </w:pPr>
    </w:p>
    <w:p>
      <w:pPr>
        <w:ind w:left="1300" w:right="220" w:hanging="644"/>
        <w:spacing w:after="0" w:line="254"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w:t>
      </w:r>
      <w:r>
        <w:rPr>
          <w:rFonts w:ascii="Arial" w:cs="Arial" w:eastAsia="Arial" w:hAnsi="Arial"/>
          <w:sz w:val="21"/>
          <w:szCs w:val="21"/>
          <w:color w:val="auto"/>
        </w:rPr>
        <w:t>,</w:t>
      </w:r>
      <w:r>
        <w:rPr>
          <w:rFonts w:ascii="Arial" w:cs="Arial" w:eastAsia="Arial" w:hAnsi="Arial"/>
          <w:sz w:val="18"/>
          <w:szCs w:val="18"/>
          <w:color w:val="auto"/>
        </w:rPr>
        <w:t xml:space="preserve"> such as that caused by the war in Ukraine and any disruption and negative impact on our ability to sell to, ship product to and support customers in certain regions based on trade restrictions, embargoes and export control law restrictions;</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6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8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26" w:lineRule="exact"/>
        <w:rPr>
          <w:sz w:val="20"/>
          <w:szCs w:val="20"/>
          <w:color w:val="auto"/>
        </w:rPr>
      </w:pPr>
    </w:p>
    <w:p>
      <w:pPr>
        <w:ind w:right="600"/>
        <w:spacing w:after="0" w:line="238" w:lineRule="auto"/>
        <w:rPr>
          <w:sz w:val="20"/>
          <w:szCs w:val="20"/>
          <w:color w:val="auto"/>
        </w:rPr>
      </w:pPr>
      <w:r>
        <w:rPr>
          <w:rFonts w:ascii="Arial" w:cs="Arial" w:eastAsia="Arial" w:hAnsi="Arial"/>
          <w:sz w:val="18"/>
          <w:szCs w:val="18"/>
          <w:b w:val="1"/>
          <w:bCs w:val="1"/>
          <w:i w:val="1"/>
          <w:iCs w:val="1"/>
          <w:color w:val="auto"/>
        </w:rPr>
        <w:t>The COVID-19 pandemic</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including its ongoing variants</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will likely continue to adversely affect our business in a significant way</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for example, through product and component shortages or negative impact on demand.</w:t>
      </w:r>
    </w:p>
    <w:p>
      <w:pPr>
        <w:spacing w:after="0" w:line="23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COVID-19 pandemic, including its ongoing variants, has negatively impacted the global economy, disrupted global supply chains and demand for certain solutions and created significant volatility in, and disruption of, global markets. The extent of the future impact of the COVID-19 pandemic on our operational and financial performance, including on demand for our products and services, our ability to source components and properly manage costs, and our ability to execute our business strategies and initiatives in the expected time frame, will depend on future developments, including the duration and spread of the COVID-19 pandemic and related restrictions on, and disruptions of business, supply chain and world economies, all of which are uncertain and difficult to predict. There is a worldwide shortage of various components, impacting many industries, caused in-part by the COVID-19 pandemic. We are experiencing ongoing product and component shortages, which have resulted in, and which we expect will continue to result in, extended lead times of certain products and significant disruption to our production schedule and predictability. In fact, certain of our contract manufacturers and component suppliers have de-committed from their scheduled delivery dates and product and component delivery commitments. We also have experienced and expect to continue to experience increased component costs, which have negatively impacted our gross margins.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COVID-19 pandemic continues to limit the availability of our products, either by limiting components available, the actual manufacture and assembly or by limiting or restricting shipping of components and products, this could continue to result in increased product backlog, and result in lower billings, lower revenue and decreased profitability, and would negatively impact, and may materially negatively impact, our operating results and business. In addition, we may also face 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20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2021 Accelerate sales conferences, and has resulted in increased component and product manufacturing costs. The COVID-19 pandemic has limited certain demand generation activities, such as conferences and in-person sales meetings, which may reduce our costs, but also</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1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including based on the effects of ongoing or increased inflation or possible stagflation in certain geographies, geopolitical instability and uncertainty, or a reduction in information technology spending regardless of macro-economic conditions, the effects of the COVID-19 pandemic and the impact of the war in Ukraine, each could have a material adverse impacts on our business, financial condition and results of operations, including longer sales cycles, lower prices for our products and services, increased component costs, higher default rates among our channel partners, reduced unit sales and slower or declining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and free cash flow growth may slow or may not continue</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and our operating margins may decline.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decrease in services revenue growth, our suspension of operations in Russia, increased competition, worldwide or regional economic challenges based on inflation or possible stagflation, a recession in the global economy, the war in Ukraine, or other factors,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19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29% of our total net accounts receivable as of March 31, 2022.</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00" w:lineRule="exact"/>
        <w:rPr>
          <w:sz w:val="20"/>
          <w:szCs w:val="20"/>
          <w:color w:val="auto"/>
        </w:rPr>
      </w:pPr>
    </w:p>
    <w:p>
      <w:pPr>
        <w:ind w:right="200" w:firstLine="648"/>
        <w:spacing w:after="0" w:line="227" w:lineRule="auto"/>
        <w:rPr>
          <w:sz w:val="20"/>
          <w:szCs w:val="20"/>
          <w:color w:val="auto"/>
        </w:rPr>
      </w:pPr>
      <w:r>
        <w:rPr>
          <w:rFonts w:ascii="Arial" w:cs="Arial" w:eastAsia="Arial" w:hAnsi="Arial"/>
          <w:sz w:val="18"/>
          <w:szCs w:val="18"/>
          <w:color w:val="auto"/>
        </w:rPr>
        <w:t>Six distributor customers accounted for 64% of our total net accounts receivable in the aggregate. See Note 16. Segment Information in Part I, Item 1 of this Quarterly Report on Form 10-Q for distributor customers that accounted for 10% or more of our revenue or net accounts receivable. In addition to other risks associated with the concentration of accounts receivable and revenue from these distributors, our largest distributor is a private equity-backed company and we may not have sufficient information to assess its financial condition and, accordingly, if it was to experience financial difficulties, we might not have advance notice. Additionally, our largest distributor may face liquidity risk or other financial challenges, which may harm our ability to collect on our accounts receivable.</w:t>
      </w:r>
    </w:p>
    <w:p>
      <w:pPr>
        <w:spacing w:after="0" w:line="21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 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64"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197" w:lineRule="exact"/>
        <w:rPr>
          <w:rFonts w:ascii="Arial" w:cs="Arial" w:eastAsia="Arial" w:hAnsi="Arial"/>
          <w:sz w:val="18"/>
          <w:szCs w:val="18"/>
          <w:color w:val="auto"/>
        </w:rPr>
      </w:pPr>
    </w:p>
    <w:p>
      <w:pPr>
        <w:ind w:left="1300" w:right="4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disruption in manufacturing or shipping based on power outages, system failures, labor disputes or constraints, excessive demand, natural disasters or widespread public health problems including pandemics and epidemics such as the COVID-19 pandemic;</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00"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Core Platform appliances or our Platform Extension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As of March 31, 2022, we had an aggregate of $988.9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275" w:lineRule="exact"/>
        <w:rPr>
          <w:rFonts w:ascii="Arial" w:cs="Arial" w:eastAsia="Arial" w:hAnsi="Arial"/>
          <w:sz w:val="16"/>
          <w:szCs w:val="16"/>
          <w:color w:val="auto"/>
        </w:rPr>
      </w:pPr>
    </w:p>
    <w:p>
      <w:pPr>
        <w:ind w:left="1300" w:right="260" w:hanging="644"/>
        <w:spacing w:after="0" w:line="342" w:lineRule="auto"/>
        <w:tabs>
          <w:tab w:leader="none" w:pos="12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changes by any rating agency to our credit rating may negatively impact the value and liquidity of both our debt and equity securities. If our credit ratings are downgraded or other negative action is taken, the interest rate payable by us under our unsecured revolving credit facility may increase. In addition, any downgrades in our credit ratings may affect our ability to obtain additional financing in the future and may negatively impact the terms of any such financing.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52" w:lineRule="exact"/>
        <w:rPr>
          <w:sz w:val="20"/>
          <w:szCs w:val="20"/>
          <w:color w:val="auto"/>
        </w:rPr>
      </w:pPr>
    </w:p>
    <w:p>
      <w:pPr>
        <w:ind w:left="1300" w:right="400" w:hanging="644"/>
        <w:spacing w:after="0" w:line="246"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such as any economic or political instability caused by economic downturns and wars, such as the war in Ukraine and any expansion thereof;</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83" w:lineRule="exact"/>
        <w:rPr>
          <w:rFonts w:ascii="Arial" w:cs="Arial" w:eastAsia="Arial" w:hAnsi="Arial"/>
          <w:sz w:val="18"/>
          <w:szCs w:val="18"/>
          <w:color w:val="auto"/>
        </w:rPr>
      </w:pPr>
    </w:p>
    <w:p>
      <w:pPr>
        <w:ind w:left="1300" w:right="160" w:hanging="644"/>
        <w:spacing w:after="0" w:line="228"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such as the COVID-19 pandemic and manmade events such as civil unrest, labor disruption, international trade disputes, international conflicts, terrorism, wars, such as the war in Ukraine, and critical infrastructure attacks;</w:t>
      </w:r>
    </w:p>
    <w:p>
      <w:pPr>
        <w:spacing w:after="0" w:line="218" w:lineRule="exact"/>
        <w:rPr>
          <w:rFonts w:ascii="Arial" w:cs="Arial" w:eastAsia="Arial" w:hAnsi="Arial"/>
          <w:sz w:val="18"/>
          <w:szCs w:val="18"/>
          <w:color w:val="auto"/>
        </w:rPr>
      </w:pPr>
    </w:p>
    <w:p>
      <w:pPr>
        <w:ind w:left="1300" w:right="960" w:hanging="644"/>
        <w:spacing w:after="0" w:line="261"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w:t>
      </w:r>
    </w:p>
    <w:p>
      <w:pPr>
        <w:spacing w:after="0" w:line="170" w:lineRule="exact"/>
        <w:rPr>
          <w:rFonts w:ascii="Arial" w:cs="Arial" w:eastAsia="Arial" w:hAnsi="Arial"/>
          <w:sz w:val="18"/>
          <w:szCs w:val="18"/>
          <w:color w:val="auto"/>
        </w:rPr>
      </w:pPr>
    </w:p>
    <w:p>
      <w:pPr>
        <w:ind w:left="1300" w:right="100" w:hanging="644"/>
        <w:spacing w:after="0" w:line="259"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20" w:hanging="644"/>
        <w:spacing w:after="0" w:line="259"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war in Ukraine and any expansion thereof, and our suspension of operations in Russia have affected and may continue to affect our business</w:t>
      </w:r>
    </w:p>
    <w:p>
      <w:pPr>
        <w:spacing w:after="0" w:line="275" w:lineRule="exact"/>
        <w:rPr>
          <w:sz w:val="20"/>
          <w:szCs w:val="20"/>
          <w:color w:val="auto"/>
        </w:rPr>
      </w:pPr>
    </w:p>
    <w:p>
      <w:pPr>
        <w:ind w:right="420" w:firstLine="648"/>
        <w:spacing w:after="0" w:line="324" w:lineRule="auto"/>
        <w:rPr>
          <w:sz w:val="20"/>
          <w:szCs w:val="20"/>
          <w:color w:val="auto"/>
        </w:rPr>
      </w:pPr>
      <w:r>
        <w:rPr>
          <w:rFonts w:ascii="Arial" w:cs="Arial" w:eastAsia="Arial" w:hAnsi="Arial"/>
          <w:sz w:val="18"/>
          <w:szCs w:val="18"/>
          <w:color w:val="auto"/>
        </w:rPr>
        <w:t>The war in Ukraine and resulting disruption are ongoing and likely to continue, and may expand into other regions. Some of the impacts and potential impacts of the war Ukraine and possible expansion thereof include, but are not limited to:</w:t>
      </w:r>
    </w:p>
    <w:p>
      <w:pPr>
        <w:spacing w:after="0" w:line="15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reduction of sales and revenue based on our suspension of operations and sales in Russia;</w:t>
      </w:r>
    </w:p>
    <w:p>
      <w:pPr>
        <w:spacing w:after="0" w:line="252" w:lineRule="exact"/>
        <w:rPr>
          <w:rFonts w:ascii="Arial" w:cs="Arial" w:eastAsia="Arial" w:hAnsi="Arial"/>
          <w:sz w:val="18"/>
          <w:szCs w:val="18"/>
          <w:color w:val="auto"/>
        </w:rPr>
      </w:pPr>
    </w:p>
    <w:p>
      <w:pPr>
        <w:ind w:left="1300" w:right="14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business planning and forecasting due to the uncertainty of the impact of the war on aspects of our business, such as on our distributors, resellers, end-customers and suppliers;</w:t>
      </w:r>
    </w:p>
    <w:p>
      <w:pPr>
        <w:spacing w:after="0" w:line="197" w:lineRule="exact"/>
        <w:rPr>
          <w:rFonts w:ascii="Arial" w:cs="Arial" w:eastAsia="Arial" w:hAnsi="Arial"/>
          <w:sz w:val="18"/>
          <w:szCs w:val="18"/>
          <w:color w:val="auto"/>
        </w:rPr>
      </w:pPr>
    </w:p>
    <w:p>
      <w:pPr>
        <w:ind w:left="1300" w:right="18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uncertainty and disruption in the general demand environment, including Russia, Belarus, and Ukraine, which could reduce demand by distributors;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and the diversion of management’s attention related to oversight of our international operations;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Russian distributors to pay outstanding accounts receivables owed to us;</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retaliatory actions by Russia or other countries against us and other Western companies that chose to limit or remove business operations in the region;</w:t>
      </w:r>
    </w:p>
    <w:p>
      <w:pPr>
        <w:spacing w:after="0" w:line="197"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risk of data breach and other threats from ransomware, destructive malware, distributed denial-of-service attacks, as well as fraud, spam and fake accounts, cyber-attacks, or other illegal activity conducted generally by bad actors seeking to take advantage of us, our distributors, resellers or end-customers;</w:t>
      </w:r>
    </w:p>
    <w:p>
      <w:pPr>
        <w:spacing w:after="0" w:line="210" w:lineRule="exact"/>
        <w:rPr>
          <w:rFonts w:ascii="Arial" w:cs="Arial" w:eastAsia="Arial" w:hAnsi="Arial"/>
          <w:sz w:val="18"/>
          <w:szCs w:val="18"/>
          <w:color w:val="auto"/>
        </w:rPr>
      </w:pPr>
    </w:p>
    <w:p>
      <w:pPr>
        <w:ind w:left="1300" w:right="12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devaluation of local currency or other inflationary effects caused by the impact of sanctions and other macroeconomic effects of the war;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volatility and disruption of global financial markets and negative impact to global and regional economies.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Sanctions and trade control measures that have been implemented against Russia and Belarus, and others that may be implemented, are complex and still evolving. Our efforts to comply with such measures may be costly, time consuming and divert the attention of management. Any alleged or actual failure to comply with these measures as we work to suspend our business operations in Russia may subject us to government scrutiny, civil or criminal proceedings, sanctions, and other liabilities, which may have a material adverse effect on our international operations, financial condition, and results of operations.</w:t>
      </w:r>
    </w:p>
    <w:p>
      <w:pPr>
        <w:spacing w:after="0" w:line="21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of the above-mentioned factors could adversely affect our business, prospects, financial condition and results of operations. The extent and duration of the military action, sanctions, and resulting market disruptions are impossible to predict, but could be substantial. Any such disruptions may also magnify the impact of other risks described in this Quarterly Report on Form 10-Q.</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18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2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may not be able to achieve sustained growth, and our business, financial condition and results of operations may be adversely affected. We are also limited 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government has and in the future may require them to make operational changes in order to obtain the necessary approvals to sell into the government;</w:t>
      </w:r>
    </w:p>
    <w:p>
      <w:pPr>
        <w:spacing w:after="0" w:line="197"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ind w:left="1300" w:right="40" w:hanging="644"/>
        <w:spacing w:after="0" w:line="270" w:lineRule="auto"/>
        <w:tabs>
          <w:tab w:leader="none" w:pos="12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geopolitical matters, including tariff and trade disputes, government shutdowns, impact of the war in Ukraine,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17" w:lineRule="exact"/>
        <w:rPr>
          <w:rFonts w:ascii="Arial" w:cs="Arial" w:eastAsia="Arial" w:hAnsi="Arial"/>
          <w:sz w:val="17"/>
          <w:szCs w:val="17"/>
          <w:color w:val="auto"/>
        </w:rPr>
      </w:pPr>
    </w:p>
    <w:p>
      <w:pPr>
        <w:jc w:val="both"/>
        <w:ind w:left="1300" w:right="20" w:hanging="644"/>
        <w:spacing w:after="0" w:line="256"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U.S. General Service Administration regulations and certain third-party security certifications, and changes to such rules and regulations that may require us to make operational changes in order to obtain the necessary approvals to sell to government agencies.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high-cost manufacturing locations, and we may not manufacture all products in locations that meet the requirements of the U.S. government and may not successfully obtain all certifications or clearances required for certain U.S. government purchases.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 and we may not maintain or improve our competitive position.</w:t>
      </w:r>
    </w:p>
    <w:p>
      <w:pPr>
        <w:spacing w:after="0" w:line="212"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Barracuda Networks, Inc., Check Point Software Technologies Ltd., Cisco Systems, Inc. (“Cisco”), CrowdStrike Holdings, Inc., F5 Networks, Inc., Forcepoint LLC, Imperva, Inc., Juniper Networks, Inc. (“Juniper”), Mandiant, Inc., McAfee Corp., Palo Alto Networks, Inc., Proofpoint, Inc., SonicWALL, Inc., Sophos Group Plc, Trend Micro Incorporated and Zscaler, Inc. (“Zscaler”).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84" w:lineRule="exact"/>
        <w:rPr>
          <w:sz w:val="20"/>
          <w:szCs w:val="20"/>
          <w:color w:val="auto"/>
        </w:rPr>
      </w:pPr>
    </w:p>
    <w:p>
      <w:pPr>
        <w:ind w:right="80" w:firstLine="648"/>
        <w:spacing w:after="0" w:line="239" w:lineRule="auto"/>
        <w:rPr>
          <w:sz w:val="20"/>
          <w:szCs w:val="20"/>
          <w:color w:val="auto"/>
        </w:rPr>
      </w:pPr>
      <w:r>
        <w:rPr>
          <w:rFonts w:ascii="Arial" w:cs="Arial" w:eastAsia="Arial" w:hAnsi="Arial"/>
          <w:sz w:val="17"/>
          <w:szCs w:val="17"/>
          <w:color w:val="auto"/>
        </w:rPr>
        <w:t>Managing our inventory is complex, especially given current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the time required to source components including chips and other components, and manufacture or ship certain products has increased, and so we expect inventory shortfalls to continue and costs to manufacture and ship on-time to continue to increase. If we cannot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manufacture and ship our products due to, for example, global chip shortages, excessive demand on contract manufacturers capacity, natural disasters and health emergencies such as earthquakes, fires, power outages, typhoons, floods, cyber events, pandemics and epidemics such as the COVID-19 pandemic or manmade events such as civil unrest, labor disruption, international trade disputes, international conflicts, terrorism, wars, such as the war in Ukraine, and critical infrastructure attacks, our business and financial results could be materially and adversely impacted.</w:t>
      </w:r>
    </w:p>
    <w:p>
      <w:pPr>
        <w:spacing w:after="0" w:line="211"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global chip shortage caused by the COVID-19 pandemic and other factors affecting manufacturing capacity is having, and we expect to continue to have, an adverse impact on our ability to manage our inventory and to meet product demand in a timely fashion. We expect this shortage will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for us to obtain components and inventory, as well as increases to freight and shipping costs, and may result in a material adverse effect on our results of operations.</w:t>
      </w:r>
    </w:p>
    <w:p>
      <w:pPr>
        <w:spacing w:after="0" w:line="21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COVID-19 pandemic impacts on global supply chains are impacting our ability to procure parts required for our hardware appliances. Extended lead times have been introduced in delivering products for customer orders in a timely fashion.</w:t>
      </w:r>
    </w:p>
    <w:p>
      <w:pPr>
        <w:spacing w:after="0" w:line="197" w:lineRule="exact"/>
        <w:rPr>
          <w:sz w:val="20"/>
          <w:szCs w:val="20"/>
          <w:color w:val="auto"/>
        </w:rPr>
      </w:pPr>
    </w:p>
    <w:p>
      <w:pPr>
        <w:ind w:right="80" w:firstLine="648"/>
        <w:spacing w:after="0" w:line="294" w:lineRule="auto"/>
        <w:rPr>
          <w:sz w:val="20"/>
          <w:szCs w:val="20"/>
          <w:color w:val="auto"/>
        </w:rPr>
      </w:pPr>
      <w:r>
        <w:rPr>
          <w:rFonts w:ascii="Arial" w:cs="Arial" w:eastAsia="Arial" w:hAnsi="Arial"/>
          <w:sz w:val="16"/>
          <w:szCs w:val="16"/>
          <w:color w:val="auto"/>
        </w:rPr>
        <w:t>The COVID-19 pandemic has continued to impact global supply chains for many organizations, including us, resulting in shortages of and delays in both raw materials and electronic components such as computer chips. Events in upstream supplies and component shortages are negatively impacting our ability to plan and deliver upon orders received in a timely fashion, and supply chain disruption, component shortages and shipping challenges are increasing our costs. These increased costs have resulted in us increasing the prices of our products in turn; such price increases may result in our products</w:t>
      </w:r>
    </w:p>
    <w:p>
      <w:pPr>
        <w:spacing w:after="0" w:line="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being less price-competitive in the market. If our price increases do not offset our increased costs based on COVID-19, our margins will be negatively impacted.</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have the appropriate research and development expertise and focus to make our top strategic Platform Extension products successful;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additional network infrastructure from new vendors or otherwise decide to work with their existing vendors, our business, financial condition and results of operations will be adversely affected.</w:t>
      </w:r>
    </w:p>
    <w:p>
      <w:pPr>
        <w:spacing w:after="0" w:line="19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97" w:lineRule="exact"/>
        <w:rPr>
          <w:sz w:val="20"/>
          <w:szCs w:val="20"/>
          <w:color w:val="auto"/>
        </w:rPr>
      </w:pPr>
    </w:p>
    <w:p>
      <w:pPr>
        <w:ind w:right="20" w:firstLine="648"/>
        <w:spacing w:after="0" w:line="252"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ADLINK,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cyber events, international trade disputes, international conflicts, terrorism, wars, such as the war in Ukraine,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86% of our hardware is manufactured in Taiwan. Any increase in tensions between China and Taiwan, including threats of military actions or escalation of military activities, could adversely affect our manufacturing operations in Taiwan.</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SPU or ASICs, our business would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23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 or stagflation</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Inflation or possible stagflation in certain regions has the potential to adversely affect our liquidity, business, financial condition and results of operations by increasing our overall product cost structure, and this can negatively impact our business particularly if we are unable to achieve the increases in product prices necessary to appropriately offset the additional costs sufficient to maintain margins. The existence of inflation in certain economies has resulted in, and may continue to result in, higher interest rates and capital costs, shipping costs, increased costs of labor, weakening exchange rates and other similar effects. As a result of inflation, we have experienced and may continue to experience component, product and shipping cost increases. Although we may take measures to mitigate the impact of this inflation, if these measures are not effective, our business, financial condition, results of operations and liquidity will be materially adversely affected. And, even if such measures are effective, there could be a difference between the timing of when these beneficial actions impact our results of operations and when the cost of inflation is incurred. Inflation and any economic challenges may also adversely impact spending patterns by our distributors, resellers and end-customers.</w:t>
      </w:r>
    </w:p>
    <w:p>
      <w:pPr>
        <w:spacing w:after="0" w:line="20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62" w:lineRule="exact"/>
        <w:rPr>
          <w:sz w:val="20"/>
          <w:szCs w:val="20"/>
          <w:color w:val="auto"/>
        </w:rPr>
      </w:pPr>
    </w:p>
    <w:p>
      <w:pPr>
        <w:ind w:right="40" w:firstLine="648"/>
        <w:spacing w:after="0" w:line="252"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and Advanced Micro Devices, Inc. (“AMD”), network chips from Broadcom, Marvell and Intel, and memory devices from Intel, ADATA, Toshiba, Samsung and Western Digital. We also may face shortages in the supply of the capacitors and resistors that are used in the manufacturing of our products. For example, the global chip shortage caused by the COVID-19 pandemic and other factors affecting manufacturing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3" w:lineRule="exact"/>
        <w:rPr>
          <w:sz w:val="20"/>
          <w:szCs w:val="20"/>
          <w:color w:val="auto"/>
        </w:rPr>
      </w:pPr>
    </w:p>
    <w:p>
      <w:pPr>
        <w:ind w:right="140" w:firstLine="648"/>
        <w:spacing w:after="0" w:line="242" w:lineRule="auto"/>
        <w:rPr>
          <w:sz w:val="20"/>
          <w:szCs w:val="20"/>
          <w:color w:val="auto"/>
        </w:rPr>
      </w:pPr>
      <w:r>
        <w:rPr>
          <w:rFonts w:ascii="Arial" w:cs="Arial" w:eastAsia="Arial" w:hAnsi="Arial"/>
          <w:sz w:val="17"/>
          <w:szCs w:val="17"/>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such as the war in Ukraine, critical infrastructure attacks and other factors. Our reliance on a limited number of suppliers involves several additional risks, including:</w:t>
      </w:r>
    </w:p>
    <w:p>
      <w:pPr>
        <w:spacing w:after="0" w:line="216"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1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vulnerable to attacks. Furthermore, our solutions may also fail to detect or prevent viruses, worms, ransomware attacks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5" w:lineRule="exact"/>
        <w:rPr>
          <w:sz w:val="20"/>
          <w:szCs w:val="20"/>
          <w:color w:val="auto"/>
        </w:rPr>
      </w:pPr>
    </w:p>
    <w:p>
      <w:pPr>
        <w:ind w:left="1300" w:right="12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181"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Moreover, business models based on a subscription software as a service (“SaaS”), cloud-based services, have become increasingly in-demand by our end-customers and adopted by other providers, including our competitors. While we have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ability to sell our products is dependent on our quality control processes and the quality of our technical support services, and our failure to offer high-quality technical support services would have a material adverse effect on our sales and results of operations.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b w:val="1"/>
          <w:bCs w:val="1"/>
          <w:i w:val="1"/>
          <w:iCs w:val="1"/>
          <w:color w:val="auto"/>
        </w:rPr>
        <w:t>If our internal enterprise IT networks, on which we conduct internal business and interface externally, our operational networks, through which we connect to customers</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vendors and partners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00"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07"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4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88"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proprietary rights may be difficult to enforce and we may be subject to claims by others that we infringe their propriety technology.</w:t>
      </w:r>
    </w:p>
    <w:p>
      <w:pPr>
        <w:spacing w:after="0" w:line="23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may find ourselves at a competitive disadvantage to others who need not incur the additional expense, time and effort required to create the innovative products that have enabled us to be successful to date.</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01" w:lineRule="exact"/>
        <w:rPr>
          <w:sz w:val="20"/>
          <w:szCs w:val="20"/>
          <w:color w:val="auto"/>
        </w:rPr>
      </w:pPr>
    </w:p>
    <w:p>
      <w:pPr>
        <w:ind w:right="20" w:firstLine="648"/>
        <w:spacing w:after="0" w:line="225" w:lineRule="auto"/>
        <w:rPr>
          <w:sz w:val="20"/>
          <w:szCs w:val="20"/>
          <w:color w:val="auto"/>
        </w:rPr>
      </w:pPr>
      <w:r>
        <w:rPr>
          <w:rFonts w:ascii="Arial" w:cs="Arial" w:eastAsia="Arial" w:hAnsi="Arial"/>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December 2021, we entered into an agreement that provided for settlement and dismissal of an existing patent infringement lawsuit and a mutual covenant-not-to-sue for a defined duration of time. Please refer to Note 12. Commitments and Contingencies in Part I, Item 1 of this Quarterly Report on Form 10-Q for additional information.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w:t>
      </w:r>
    </w:p>
    <w:p>
      <w:pPr>
        <w:spacing w:after="0" w:line="18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or IP and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The results of certain businesses that we invest in, such as Linksys Holdings, Inc. (“Linksys”),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and we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result in negative impact to our operating results and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40" w:firstLine="648"/>
        <w:spacing w:after="0" w:line="307" w:lineRule="auto"/>
        <w:rPr>
          <w:sz w:val="20"/>
          <w:szCs w:val="20"/>
          <w:color w:val="auto"/>
        </w:rPr>
      </w:pPr>
      <w:r>
        <w:rPr>
          <w:rFonts w:ascii="Arial" w:cs="Arial" w:eastAsia="Arial" w:hAnsi="Arial"/>
          <w:sz w:val="16"/>
          <w:szCs w:val="16"/>
          <w:color w:val="auto"/>
        </w:rPr>
        <w:t>In addition, because we are accounting for our Linksys investment using the equity method of accounting, we are reliant on the accuracy and timeliness of their financial reporting to us. If their financial reporting to us is not accurate and timely, it may result in delays in our financial reporting.</w:t>
      </w:r>
    </w:p>
    <w:p>
      <w:pPr>
        <w:spacing w:after="0" w:line="15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21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 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4"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6" w:lineRule="exact"/>
        <w:rPr>
          <w:sz w:val="20"/>
          <w:szCs w:val="20"/>
          <w:color w:val="auto"/>
        </w:rPr>
      </w:pPr>
    </w:p>
    <w:p>
      <w:pPr>
        <w:ind w:firstLine="648"/>
        <w:spacing w:after="0" w:line="235"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5"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0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73" w:lineRule="exact"/>
        <w:rPr>
          <w:sz w:val="20"/>
          <w:szCs w:val="20"/>
          <w:color w:val="auto"/>
        </w:rPr>
      </w:pPr>
    </w:p>
    <w:p>
      <w:pPr>
        <w:ind w:firstLine="648"/>
        <w:spacing w:after="0"/>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have an adverse impact on the costs of components in our products.</w:t>
      </w:r>
    </w:p>
    <w:p>
      <w:pPr>
        <w:spacing w:after="0" w:line="20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(“SVHC”) in articles and in complex objects. The SCIP database is established under the WFD and managed by the European Chemicals Agency (“ECHA”). We have incurred costs in order to comply with this new requirement.</w:t>
      </w:r>
    </w:p>
    <w:p>
      <w:pPr>
        <w:spacing w:after="0" w:line="208" w:lineRule="exact"/>
        <w:rPr>
          <w:sz w:val="20"/>
          <w:szCs w:val="20"/>
          <w:color w:val="auto"/>
        </w:rPr>
      </w:pPr>
    </w:p>
    <w:p>
      <w:pPr>
        <w:ind w:right="20" w:firstLine="648"/>
        <w:spacing w:after="0" w:line="229" w:lineRule="auto"/>
        <w:rPr>
          <w:sz w:val="20"/>
          <w:szCs w:val="20"/>
          <w:color w:val="auto"/>
        </w:rPr>
      </w:pPr>
      <w:r>
        <w:rPr>
          <w:rFonts w:ascii="Arial" w:cs="Arial" w:eastAsia="Arial" w:hAnsi="Arial"/>
          <w:sz w:val="18"/>
          <w:szCs w:val="18"/>
          <w:color w:val="auto"/>
        </w:rPr>
        <w:t>The EU</w:t>
      </w:r>
      <w:r>
        <w:rPr>
          <w:rFonts w:ascii="Arial" w:cs="Arial" w:eastAsia="Arial" w:hAnsi="Arial"/>
          <w:sz w:val="21"/>
          <w:szCs w:val="21"/>
          <w:color w:val="008080"/>
        </w:rPr>
        <w:t>’</w:t>
      </w:r>
      <w:r>
        <w:rPr>
          <w:rFonts w:ascii="Arial" w:cs="Arial" w:eastAsia="Arial" w:hAnsi="Arial"/>
          <w:sz w:val="18"/>
          <w:szCs w:val="18"/>
          <w:color w:val="auto"/>
        </w:rPr>
        <w:t>s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United States.</w:t>
      </w:r>
    </w:p>
    <w:p>
      <w:pPr>
        <w:spacing w:after="0" w:line="202" w:lineRule="exact"/>
        <w:rPr>
          <w:sz w:val="20"/>
          <w:szCs w:val="20"/>
          <w:color w:val="auto"/>
        </w:rPr>
      </w:pPr>
    </w:p>
    <w:p>
      <w:pPr>
        <w:ind w:right="80" w:firstLine="648"/>
        <w:spacing w:after="0" w:line="239" w:lineRule="auto"/>
        <w:rPr>
          <w:sz w:val="20"/>
          <w:szCs w:val="20"/>
          <w:color w:val="auto"/>
        </w:rPr>
      </w:pPr>
      <w:r>
        <w:rPr>
          <w:rFonts w:ascii="Arial" w:cs="Arial" w:eastAsia="Arial" w:hAnsi="Arial"/>
          <w:sz w:val="17"/>
          <w:szCs w:val="17"/>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right="40" w:firstLine="648"/>
        <w:spacing w:after="0" w:line="272" w:lineRule="auto"/>
        <w:rPr>
          <w:sz w:val="20"/>
          <w:szCs w:val="20"/>
          <w:color w:val="auto"/>
        </w:rPr>
      </w:pPr>
      <w:r>
        <w:rPr>
          <w:rFonts w:ascii="Arial" w:cs="Arial" w:eastAsia="Arial" w:hAnsi="Arial"/>
          <w:sz w:val="16"/>
          <w:szCs w:val="16"/>
          <w:color w:val="auto"/>
        </w:rPr>
        <w:t>There is an increasing focus from certain investors, employees, customers and other stakeholders concerning corporate responsibility, specifically related to environmental, social and governance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We may face reputational damage in the event that we do not meet the ESG standards set by various constituencies.</w:t>
      </w:r>
    </w:p>
    <w:p>
      <w:pPr>
        <w:spacing w:after="0" w:line="181"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Furthermore, in the event that we communicate certain initiatives and goals regarding ESG matters, such as our commitment to target carbon neutrality on Scope 1 and 2 emissions resulting from our owned facilities worldwide by 2030, we could fail, or be perceived to fail, in our achievement of such initiatives or goals, or we could be criticized for the scope of such initiatives or goals. If we fail to satisfy the expectations of investors, customers, employees and other stakeholders or our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initiatives are not executed as planned, our reputation and business, operating results and financial condition could be adversely impacted. In addition, the SEC has also proposed a draft rule that requires climate disclosures in financial filings. To the extent the SEC proposals becomes effective for our company,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valuation of inventory, accounting for business combination, contingent liabilities and accounting for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to corporate tax rates;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2021, our internal controls over financial reporting were effective, we cannot predict the outcome of our testing in</w:t>
      </w:r>
    </w:p>
    <w:p>
      <w:pPr>
        <w:spacing w:after="0" w:line="3" w:lineRule="exact"/>
        <w:rPr>
          <w:sz w:val="20"/>
          <w:szCs w:val="20"/>
          <w:color w:val="auto"/>
        </w:rPr>
      </w:pPr>
    </w:p>
    <w:p>
      <w:pPr>
        <w:jc w:val="both"/>
        <w:ind w:right="140"/>
        <w:spacing w:after="0" w:line="228" w:lineRule="auto"/>
        <w:rPr>
          <w:sz w:val="20"/>
          <w:szCs w:val="20"/>
          <w:color w:val="auto"/>
        </w:rPr>
      </w:pPr>
      <w:r>
        <w:rPr>
          <w:rFonts w:ascii="Arial" w:cs="Arial" w:eastAsia="Arial" w:hAnsi="Arial"/>
          <w:sz w:val="18"/>
          <w:szCs w:val="18"/>
          <w:color w:val="auto"/>
        </w:rPr>
        <w:t>2022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1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may be volatile, which may be exacerbated by share repurchases under our Share Repurchase Program.</w:t>
      </w:r>
    </w:p>
    <w:p>
      <w:pPr>
        <w:spacing w:after="0" w:line="275" w:lineRule="exact"/>
        <w:rPr>
          <w:sz w:val="20"/>
          <w:szCs w:val="20"/>
          <w:color w:val="auto"/>
        </w:rPr>
      </w:pPr>
    </w:p>
    <w:p>
      <w:pPr>
        <w:ind w:right="220" w:firstLine="648"/>
        <w:spacing w:after="0" w:line="262"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three months ended March 31, 2022, the closing price of our common stock ranged from $269.72 to $347.48 per share.</w:t>
      </w:r>
    </w:p>
    <w:p>
      <w:pPr>
        <w:spacing w:after="0" w:line="199"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March 31, 2022, $829.6 million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professionals to advise and assist us on activist stockholder matters, including legal, financial, communications advisors and solicitation experts, which may negatively impact our future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changes in trade agreements and conflicts, such as the conflict between Russia and Ukraine, could adversely affect our business and financial performance.</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19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March 31, 2022 (in millions,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Shares Purchased as</w:t>
            </w:r>
          </w:p>
        </w:tc>
        <w:tc>
          <w:tcPr>
            <w:tcW w:w="100" w:type="dxa"/>
            <w:vAlign w:val="bottom"/>
          </w:tcPr>
          <w:p>
            <w:pPr>
              <w:spacing w:after="0"/>
              <w:rPr>
                <w:sz w:val="11"/>
                <w:szCs w:val="11"/>
                <w:color w:val="auto"/>
              </w:rPr>
            </w:pPr>
          </w:p>
        </w:tc>
        <w:tc>
          <w:tcPr>
            <w:tcW w:w="2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1"/>
                <w:szCs w:val="11"/>
                <w:color w:val="auto"/>
              </w:rPr>
            </w:pPr>
          </w:p>
        </w:tc>
        <w:tc>
          <w:tcPr>
            <w:tcW w:w="2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1"/>
                <w:szCs w:val="11"/>
                <w:color w:val="auto"/>
              </w:rPr>
            </w:pPr>
          </w:p>
        </w:tc>
        <w:tc>
          <w:tcPr>
            <w:tcW w:w="20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Average Price Paid</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 or</w:t>
            </w:r>
          </w:p>
        </w:tc>
        <w:tc>
          <w:tcPr>
            <w:tcW w:w="100" w:type="dxa"/>
            <w:vAlign w:val="bottom"/>
          </w:tcPr>
          <w:p>
            <w:pPr>
              <w:spacing w:after="0"/>
              <w:rPr>
                <w:sz w:val="11"/>
                <w:szCs w:val="11"/>
                <w:color w:val="auto"/>
              </w:rPr>
            </w:pPr>
          </w:p>
        </w:tc>
        <w:tc>
          <w:tcPr>
            <w:tcW w:w="24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of Shares that May Yet Be Purchased</w:t>
            </w: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7"/>
                <w:szCs w:val="7"/>
                <w:color w:val="auto"/>
              </w:rPr>
            </w:pPr>
          </w:p>
        </w:tc>
        <w:tc>
          <w:tcPr>
            <w:tcW w:w="244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105"/>
        </w:trPr>
        <w:tc>
          <w:tcPr>
            <w:tcW w:w="31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Period</w:t>
            </w:r>
          </w:p>
        </w:tc>
        <w:tc>
          <w:tcPr>
            <w:tcW w:w="16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of Shares Purchased</w:t>
            </w:r>
          </w:p>
        </w:tc>
        <w:tc>
          <w:tcPr>
            <w:tcW w:w="100" w:type="dxa"/>
            <w:vAlign w:val="bottom"/>
          </w:tcPr>
          <w:p>
            <w:pPr>
              <w:spacing w:after="0"/>
              <w:rPr>
                <w:sz w:val="9"/>
                <w:szCs w:val="9"/>
                <w:color w:val="auto"/>
              </w:rPr>
            </w:pPr>
          </w:p>
        </w:tc>
        <w:tc>
          <w:tcPr>
            <w:tcW w:w="1340" w:type="dxa"/>
            <w:vAlign w:val="bottom"/>
            <w:vMerge w:val="restart"/>
          </w:tcPr>
          <w:p>
            <w:pPr>
              <w:ind w:left="680"/>
              <w:spacing w:after="0"/>
              <w:rPr>
                <w:sz w:val="20"/>
                <w:szCs w:val="20"/>
                <w:color w:val="auto"/>
              </w:rPr>
            </w:pPr>
            <w:r>
              <w:rPr>
                <w:rFonts w:ascii="Arial" w:cs="Arial" w:eastAsia="Arial" w:hAnsi="Arial"/>
                <w:sz w:val="14"/>
                <w:szCs w:val="14"/>
                <w:b w:val="1"/>
                <w:bCs w:val="1"/>
                <w:color w:val="auto"/>
                <w:w w:val="99"/>
              </w:rPr>
              <w:t>per Share</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16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January 1 -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311.07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29"/>
        </w:trPr>
        <w:tc>
          <w:tcPr>
            <w:tcW w:w="3160" w:type="dxa"/>
            <w:vAlign w:val="bottom"/>
            <w:gridSpan w:val="2"/>
          </w:tcPr>
          <w:p>
            <w:pPr>
              <w:ind w:left="680"/>
              <w:spacing w:after="0"/>
              <w:rPr>
                <w:sz w:val="20"/>
                <w:szCs w:val="20"/>
                <w:color w:val="auto"/>
              </w:rPr>
            </w:pPr>
            <w:r>
              <w:rPr>
                <w:rFonts w:ascii="Arial" w:cs="Arial" w:eastAsia="Arial" w:hAnsi="Arial"/>
                <w:sz w:val="18"/>
                <w:szCs w:val="18"/>
                <w:color w:val="auto"/>
                <w:w w:val="98"/>
              </w:rPr>
              <w:t>February 1 - February 28, 2022</w:t>
            </w: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294.51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March 1 - March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283.49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23"/>
        </w:trPr>
        <w:tc>
          <w:tcPr>
            <w:tcW w:w="3160" w:type="dxa"/>
            <w:vAlign w:val="bottom"/>
            <w:gridSpan w:val="2"/>
          </w:tcPr>
          <w:p>
            <w:pPr>
              <w:ind w:left="16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304.13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6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23495</wp:posOffset>
            </wp:positionV>
            <wp:extent cx="31457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2"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23495</wp:posOffset>
            </wp:positionV>
            <wp:extent cx="31457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w:t>
            </w:r>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Pr>
          <w:p>
            <w:pPr>
              <w:ind w:left="60"/>
              <w:spacing w:after="0" w:line="155" w:lineRule="exact"/>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5400" w:type="dxa"/>
            <w:vAlign w:val="bottom"/>
          </w:tcPr>
          <w:p>
            <w:pPr>
              <w:ind w:left="60"/>
              <w:spacing w:after="0"/>
              <w:rPr>
                <w:sz w:val="20"/>
                <w:szCs w:val="20"/>
                <w:color w:val="auto"/>
              </w:rPr>
            </w:pPr>
            <w:r>
              <w:rPr>
                <w:rFonts w:ascii="Arial" w:cs="Arial" w:eastAsia="Arial" w:hAnsi="Arial"/>
                <w:sz w:val="14"/>
                <w:szCs w:val="14"/>
                <w:color w:val="auto"/>
                <w:w w:val="95"/>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55"/>
        </w:trPr>
        <w:tc>
          <w:tcPr>
            <w:tcW w:w="680" w:type="dxa"/>
            <w:vAlign w:val="bottom"/>
            <w:gridSpan w:val="2"/>
            <w:vMerge w:val="restart"/>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5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 w:type="dxa"/>
            <w:vAlign w:val="bottom"/>
            <w:gridSpan w:val="2"/>
            <w:vMerge w:val="continue"/>
          </w:tcPr>
          <w:p>
            <w:pPr>
              <w:spacing w:after="0"/>
              <w:rPr>
                <w:sz w:val="17"/>
                <w:szCs w:val="17"/>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w w:val="96"/>
              </w:rPr>
              <w:t>Certifications of Chief Executive Officer and Chief Financial Officer pursuant to 18 U.S.C.</w:t>
            </w:r>
          </w:p>
        </w:tc>
        <w:tc>
          <w:tcPr>
            <w:tcW w:w="0" w:type="dxa"/>
            <w:vAlign w:val="bottom"/>
          </w:tcPr>
          <w:p>
            <w:pPr>
              <w:spacing w:after="0"/>
              <w:rPr>
                <w:sz w:val="1"/>
                <w:szCs w:val="1"/>
                <w:color w:val="auto"/>
              </w:rPr>
            </w:pPr>
          </w:p>
        </w:tc>
      </w:tr>
      <w:tr>
        <w:trPr>
          <w:trHeight w:val="155"/>
        </w:trPr>
        <w:tc>
          <w:tcPr>
            <w:tcW w:w="26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400" w:type="dxa"/>
            <w:vAlign w:val="bottom"/>
          </w:tcPr>
          <w:p>
            <w:pPr>
              <w:ind w:left="6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196"/>
        </w:trPr>
        <w:tc>
          <w:tcPr>
            <w:tcW w:w="680" w:type="dxa"/>
            <w:vAlign w:val="bottom"/>
            <w:gridSpan w:val="2"/>
          </w:tcPr>
          <w:p>
            <w:pPr>
              <w:spacing w:after="0"/>
              <w:rPr>
                <w:sz w:val="20"/>
                <w:szCs w:val="20"/>
                <w:color w:val="auto"/>
              </w:rPr>
            </w:pPr>
            <w:r>
              <w:rPr>
                <w:rFonts w:ascii="Arial" w:cs="Arial" w:eastAsia="Arial" w:hAnsi="Arial"/>
                <w:sz w:val="14"/>
                <w:szCs w:val="14"/>
                <w:color w:val="auto"/>
              </w:rPr>
              <w:t>101.INS*</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Inline XBRL Instance Document - the instance document does not appear in the interactive</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38"/>
        </w:trPr>
        <w:tc>
          <w:tcPr>
            <w:tcW w:w="680" w:type="dxa"/>
            <w:vAlign w:val="bottom"/>
            <w:gridSpan w:val="2"/>
          </w:tcPr>
          <w:p>
            <w:pPr>
              <w:spacing w:after="0"/>
              <w:rPr>
                <w:sz w:val="20"/>
                <w:szCs w:val="20"/>
                <w:color w:val="auto"/>
              </w:rPr>
            </w:pPr>
            <w:r>
              <w:rPr>
                <w:rFonts w:ascii="Arial" w:cs="Arial" w:eastAsia="Arial" w:hAnsi="Arial"/>
                <w:sz w:val="14"/>
                <w:szCs w:val="14"/>
                <w:color w:val="auto"/>
              </w:rPr>
              <w:t>101.SCH*</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101.CAL*</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101.DEF*</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101.LAB*</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680" w:type="dxa"/>
            <w:vAlign w:val="bottom"/>
            <w:gridSpan w:val="2"/>
          </w:tcPr>
          <w:p>
            <w:pPr>
              <w:spacing w:after="0"/>
              <w:rPr>
                <w:sz w:val="20"/>
                <w:szCs w:val="20"/>
                <w:color w:val="auto"/>
              </w:rPr>
            </w:pPr>
            <w:r>
              <w:rPr>
                <w:rFonts w:ascii="Arial" w:cs="Arial" w:eastAsia="Arial" w:hAnsi="Arial"/>
                <w:sz w:val="14"/>
                <w:szCs w:val="14"/>
                <w:color w:val="auto"/>
              </w:rPr>
              <w:t>101.PRE*</w:t>
            </w:r>
          </w:p>
        </w:tc>
        <w:tc>
          <w:tcPr>
            <w:tcW w:w="540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01"/>
        </w:trPr>
        <w:tc>
          <w:tcPr>
            <w:tcW w:w="680" w:type="dxa"/>
            <w:vAlign w:val="bottom"/>
            <w:gridSpan w:val="2"/>
          </w:tcPr>
          <w:p>
            <w:pPr>
              <w:spacing w:after="0"/>
              <w:rPr>
                <w:sz w:val="20"/>
                <w:szCs w:val="20"/>
                <w:color w:val="auto"/>
              </w:rPr>
            </w:pPr>
            <w:r>
              <w:rPr>
                <w:rFonts w:ascii="Arial" w:cs="Arial" w:eastAsia="Arial" w:hAnsi="Arial"/>
                <w:sz w:val="14"/>
                <w:szCs w:val="14"/>
                <w:color w:val="auto"/>
              </w:rPr>
              <w:t>104*</w:t>
            </w:r>
          </w:p>
        </w:tc>
        <w:tc>
          <w:tcPr>
            <w:tcW w:w="5400" w:type="dxa"/>
            <w:vAlign w:val="bottom"/>
          </w:tcPr>
          <w:p>
            <w:pPr>
              <w:ind w:left="60"/>
              <w:spacing w:after="0"/>
              <w:rPr>
                <w:sz w:val="20"/>
                <w:szCs w:val="20"/>
                <w:color w:val="auto"/>
              </w:rPr>
            </w:pPr>
            <w:r>
              <w:rPr>
                <w:rFonts w:ascii="Arial" w:cs="Arial" w:eastAsia="Arial" w:hAnsi="Arial"/>
                <w:sz w:val="14"/>
                <w:szCs w:val="14"/>
                <w:color w:val="auto"/>
                <w:w w:val="94"/>
              </w:rPr>
              <w:t>Cover Page Interactive Data File - the cover page from the Company’s Quarterly Report on</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0" w:type="dxa"/>
            <w:vAlign w:val="bottom"/>
          </w:tcPr>
          <w:p>
            <w:pPr>
              <w:ind w:left="60"/>
              <w:spacing w:after="0"/>
              <w:rPr>
                <w:sz w:val="20"/>
                <w:szCs w:val="20"/>
                <w:color w:val="auto"/>
              </w:rPr>
            </w:pPr>
            <w:r>
              <w:rPr>
                <w:rFonts w:ascii="Arial" w:cs="Arial" w:eastAsia="Arial" w:hAnsi="Arial"/>
                <w:sz w:val="14"/>
                <w:szCs w:val="14"/>
                <w:color w:val="auto"/>
              </w:rPr>
              <w:t>Form 10-Q for the quarter ended March 31, 2022 is formatted in inline XBRL.</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83" w:right="67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320" w:top="283" w:right="3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2022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Date:   May 6, 2022</w:t>
            </w:r>
          </w:p>
        </w:tc>
        <w:tc>
          <w:tcPr>
            <w:tcW w:w="2900" w:type="dxa"/>
            <w:vAlign w:val="bottom"/>
          </w:tcPr>
          <w:p>
            <w:pPr>
              <w:ind w:left="22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720" w:type="dxa"/>
            <w:vAlign w:val="bottom"/>
          </w:tcPr>
          <w:p>
            <w:pPr>
              <w:spacing w:after="0"/>
              <w:rPr>
                <w:sz w:val="15"/>
                <w:szCs w:val="15"/>
                <w:color w:val="auto"/>
              </w:rPr>
            </w:pPr>
          </w:p>
        </w:tc>
        <w:tc>
          <w:tcPr>
            <w:tcW w:w="2900" w:type="dxa"/>
            <w:vAlign w:val="bottom"/>
          </w:tcPr>
          <w:p>
            <w:pPr>
              <w:ind w:left="22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March 31, 2022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Date:   May 6, 2022</w:t>
            </w:r>
          </w:p>
        </w:tc>
        <w:tc>
          <w:tcPr>
            <w:tcW w:w="2900" w:type="dxa"/>
            <w:vAlign w:val="bottom"/>
          </w:tcPr>
          <w:p>
            <w:pPr>
              <w:ind w:left="22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720" w:type="dxa"/>
            <w:vAlign w:val="bottom"/>
          </w:tcPr>
          <w:p>
            <w:pPr>
              <w:spacing w:after="0"/>
              <w:rPr>
                <w:sz w:val="15"/>
                <w:szCs w:val="15"/>
                <w:color w:val="auto"/>
              </w:rPr>
            </w:pPr>
          </w:p>
        </w:tc>
        <w:tc>
          <w:tcPr>
            <w:tcW w:w="2900" w:type="dxa"/>
            <w:vAlign w:val="bottom"/>
          </w:tcPr>
          <w:p>
            <w:pPr>
              <w:ind w:left="22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3"/>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0"/>
    </w:lvl>
  </w:abstractNum>
  <w:abstractNum w:abstractNumId="12">
    <w:nsid w:val="7C3DBD3D"/>
    <w:multiLevelType w:val="hybridMultilevel"/>
    <w:lvl w:ilvl="0">
      <w:lvlJc w:val="left"/>
      <w:lvlText w:val="%1."/>
      <w:numFmt w:val="decimal"/>
      <w:start w:val="11"/>
    </w:lvl>
  </w:abstractNum>
  <w:abstractNum w:abstractNumId="13">
    <w:nsid w:val="737B8DDC"/>
    <w:multiLevelType w:val="hybridMultilevel"/>
    <w:lvl w:ilvl="0">
      <w:lvlJc w:val="left"/>
      <w:lvlText w:val="%1."/>
      <w:numFmt w:val="decimal"/>
      <w:start w:val="12"/>
    </w:lvl>
  </w:abstractNum>
  <w:abstractNum w:abstractNumId="14">
    <w:nsid w:val="6CEAF087"/>
    <w:multiLevelType w:val="hybridMultilevel"/>
    <w:lvl w:ilvl="0">
      <w:lvlJc w:val="left"/>
      <w:lvlText w:val="%1."/>
      <w:numFmt w:val="decimal"/>
      <w:start w:val="13"/>
    </w:lvl>
  </w:abstractNum>
  <w:abstractNum w:abstractNumId="15">
    <w:nsid w:val="22221A70"/>
    <w:multiLevelType w:val="hybridMultilevel"/>
    <w:lvl w:ilvl="0">
      <w:lvlJc w:val="left"/>
      <w:lvlText w:val="%1."/>
      <w:numFmt w:val="decimal"/>
      <w:start w:val="15"/>
    </w:lvl>
  </w:abstractNum>
  <w:abstractNum w:abstractNumId="16">
    <w:nsid w:val="4516DDE9"/>
    <w:multiLevelType w:val="hybridMultilevel"/>
    <w:lvl w:ilvl="0">
      <w:lvlJc w:val="left"/>
      <w:lvlText w:val="%1."/>
      <w:numFmt w:val="decimal"/>
      <w:start w:val="16"/>
    </w:lvl>
  </w:abstractNum>
  <w:abstractNum w:abstractNumId="17">
    <w:nsid w:val="3006C83E"/>
    <w:multiLevelType w:val="hybridMultilevel"/>
    <w:lvl w:ilvl="0">
      <w:lvlJc w:val="left"/>
      <w:lvlText w:val="%1."/>
      <w:numFmt w:val="decimal"/>
      <w:start w:val="17"/>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2022-05-07T08:21:59Z</dcterms:created>
  <dcterms:modified xsi:type="dcterms:W3CDTF">2022-05-07T08:21:59Z</dcterms:modified>
</cp:coreProperties>
</file>