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80" w:lineRule="exact"/>
        <w:rPr>
          <w:sz w:val="24"/>
          <w:szCs w:val="24"/>
          <w:color w:val="auto"/>
        </w:rPr>
      </w:pPr>
    </w:p>
    <w:p>
      <w:pPr>
        <w:ind w:left="4140" w:right="2040" w:hanging="4114"/>
        <w:spacing w:after="0" w:line="438"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year ended December 31, 2021</w:t>
      </w:r>
    </w:p>
    <w:p>
      <w:pPr>
        <w:ind w:left="5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306" w:lineRule="exact"/>
        <w:rPr>
          <w:rFonts w:ascii="MS PGothic" w:cs="MS PGothic" w:eastAsia="MS PGothic" w:hAnsi="MS PGothic"/>
          <w:sz w:val="18"/>
          <w:szCs w:val="18"/>
          <w:color w:val="auto"/>
        </w:rPr>
      </w:pPr>
    </w:p>
    <w:p>
      <w:pPr>
        <w:ind w:left="420" w:hanging="38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gridSpan w:val="3"/>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84"/>
        </w:trPr>
        <w:tc>
          <w:tcPr>
            <w:tcW w:w="3720" w:type="dxa"/>
            <w:vAlign w:val="bottom"/>
          </w:tcPr>
          <w:p>
            <w:pPr>
              <w:spacing w:after="0"/>
              <w:rPr>
                <w:sz w:val="24"/>
                <w:szCs w:val="24"/>
                <w:color w:val="auto"/>
              </w:rPr>
            </w:pPr>
          </w:p>
        </w:tc>
        <w:tc>
          <w:tcPr>
            <w:tcW w:w="5180" w:type="dxa"/>
            <w:vAlign w:val="bottom"/>
            <w:gridSpan w:val="10"/>
          </w:tcPr>
          <w:p>
            <w:pPr>
              <w:jc w:val="center"/>
              <w:ind w:right="1296"/>
              <w:spacing w:after="0"/>
              <w:rPr>
                <w:sz w:val="20"/>
                <w:szCs w:val="20"/>
                <w:color w:val="auto"/>
              </w:rPr>
            </w:pPr>
            <w:r>
              <w:rPr>
                <w:rFonts w:ascii="Arial" w:cs="Arial" w:eastAsia="Arial" w:hAnsi="Arial"/>
                <w:sz w:val="18"/>
                <w:szCs w:val="18"/>
                <w:b w:val="1"/>
                <w:bCs w:val="1"/>
                <w:color w:val="auto"/>
                <w:w w:val="89"/>
              </w:rPr>
              <w:t>Commission file number: 001-34511</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7"/>
        </w:trPr>
        <w:tc>
          <w:tcPr>
            <w:tcW w:w="3720" w:type="dxa"/>
            <w:vAlign w:val="bottom"/>
          </w:tcPr>
          <w:p>
            <w:pPr>
              <w:spacing w:after="0"/>
              <w:rPr>
                <w:sz w:val="18"/>
                <w:szCs w:val="18"/>
                <w:color w:val="auto"/>
              </w:rPr>
            </w:pPr>
          </w:p>
        </w:tc>
        <w:tc>
          <w:tcPr>
            <w:tcW w:w="3760" w:type="dxa"/>
            <w:vAlign w:val="bottom"/>
            <w:gridSpan w:val="9"/>
          </w:tcPr>
          <w:p>
            <w:pPr>
              <w:jc w:val="center"/>
              <w:spacing w:after="0"/>
              <w:rPr>
                <w:sz w:val="20"/>
                <w:szCs w:val="20"/>
                <w:color w:val="auto"/>
              </w:rPr>
            </w:pPr>
            <w:r>
              <w:rPr>
                <w:rFonts w:ascii="Arial" w:cs="Arial" w:eastAsia="Arial" w:hAnsi="Arial"/>
                <w:sz w:val="18"/>
                <w:szCs w:val="18"/>
                <w:color w:val="auto"/>
                <w:w w:val="89"/>
              </w:rPr>
              <w:t>______________________________________</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06"/>
        </w:trPr>
        <w:tc>
          <w:tcPr>
            <w:tcW w:w="3720" w:type="dxa"/>
            <w:vAlign w:val="bottom"/>
          </w:tcPr>
          <w:p>
            <w:pPr>
              <w:spacing w:after="0"/>
              <w:rPr>
                <w:sz w:val="24"/>
                <w:szCs w:val="24"/>
                <w:color w:val="auto"/>
              </w:rPr>
            </w:pPr>
          </w:p>
        </w:tc>
        <w:tc>
          <w:tcPr>
            <w:tcW w:w="3020" w:type="dxa"/>
            <w:vAlign w:val="bottom"/>
            <w:gridSpan w:val="7"/>
          </w:tcPr>
          <w:p>
            <w:pPr>
              <w:jc w:val="center"/>
              <w:ind w:left="748"/>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9"/>
        </w:trPr>
        <w:tc>
          <w:tcPr>
            <w:tcW w:w="3720" w:type="dxa"/>
            <w:vAlign w:val="bottom"/>
          </w:tcPr>
          <w:p>
            <w:pPr>
              <w:spacing w:after="0"/>
              <w:rPr>
                <w:sz w:val="16"/>
                <w:szCs w:val="16"/>
                <w:color w:val="auto"/>
              </w:rPr>
            </w:pPr>
          </w:p>
        </w:tc>
        <w:tc>
          <w:tcPr>
            <w:tcW w:w="5180" w:type="dxa"/>
            <w:vAlign w:val="bottom"/>
            <w:gridSpan w:val="10"/>
          </w:tcPr>
          <w:p>
            <w:pPr>
              <w:jc w:val="center"/>
              <w:ind w:right="127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3760" w:type="dxa"/>
            <w:vAlign w:val="bottom"/>
            <w:gridSpan w:val="9"/>
          </w:tcPr>
          <w:p>
            <w:pPr>
              <w:jc w:val="center"/>
              <w:spacing w:after="0"/>
              <w:rPr>
                <w:sz w:val="20"/>
                <w:szCs w:val="20"/>
                <w:color w:val="auto"/>
              </w:rPr>
            </w:pPr>
            <w:r>
              <w:rPr>
                <w:rFonts w:ascii="Arial" w:cs="Arial" w:eastAsia="Arial" w:hAnsi="Arial"/>
                <w:sz w:val="18"/>
                <w:szCs w:val="18"/>
                <w:color w:val="auto"/>
                <w:w w:val="89"/>
              </w:rPr>
              <w:t>______________________________________</w:t>
            </w: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3720" w:type="dxa"/>
            <w:vAlign w:val="bottom"/>
          </w:tcPr>
          <w:p>
            <w:pPr>
              <w:jc w:val="center"/>
              <w:ind w:left="1834"/>
              <w:spacing w:after="0"/>
              <w:rPr>
                <w:sz w:val="20"/>
                <w:szCs w:val="20"/>
                <w:color w:val="auto"/>
              </w:rPr>
            </w:pPr>
            <w:r>
              <w:rPr>
                <w:rFonts w:ascii="Arial" w:cs="Arial" w:eastAsia="Arial" w:hAnsi="Arial"/>
                <w:sz w:val="18"/>
                <w:szCs w:val="18"/>
                <w:b w:val="1"/>
                <w:bCs w:val="1"/>
                <w:color w:val="auto"/>
                <w:w w:val="91"/>
              </w:rPr>
              <w:t>Delaware</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77-0560389</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62"/>
        </w:trPr>
        <w:tc>
          <w:tcPr>
            <w:tcW w:w="6740" w:type="dxa"/>
            <w:vAlign w:val="bottom"/>
            <w:gridSpan w:val="8"/>
          </w:tcPr>
          <w:p>
            <w:pPr>
              <w:jc w:val="center"/>
              <w:ind w:right="1080"/>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6740" w:type="dxa"/>
            <w:vAlign w:val="bottom"/>
            <w:gridSpan w:val="8"/>
          </w:tcPr>
          <w:p>
            <w:pPr>
              <w:jc w:val="center"/>
              <w:ind w:right="1100"/>
              <w:spacing w:after="0"/>
              <w:rPr>
                <w:sz w:val="20"/>
                <w:szCs w:val="20"/>
                <w:color w:val="auto"/>
              </w:rPr>
            </w:pPr>
            <w:r>
              <w:rPr>
                <w:rFonts w:ascii="Arial" w:cs="Arial" w:eastAsia="Arial" w:hAnsi="Arial"/>
                <w:sz w:val="16"/>
                <w:szCs w:val="16"/>
                <w:b w:val="1"/>
                <w:bCs w:val="1"/>
                <w:color w:val="auto"/>
                <w:w w:val="92"/>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Identification No.)</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57"/>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3720" w:type="dxa"/>
            <w:vAlign w:val="bottom"/>
          </w:tcPr>
          <w:p>
            <w:pPr>
              <w:spacing w:after="0"/>
              <w:rPr>
                <w:sz w:val="15"/>
                <w:szCs w:val="15"/>
                <w:color w:val="auto"/>
              </w:rPr>
            </w:pPr>
          </w:p>
        </w:tc>
        <w:tc>
          <w:tcPr>
            <w:tcW w:w="3020" w:type="dxa"/>
            <w:vAlign w:val="bottom"/>
            <w:gridSpan w:val="7"/>
          </w:tcPr>
          <w:p>
            <w:pPr>
              <w:jc w:val="center"/>
              <w:ind w:left="708"/>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0"/>
        </w:trPr>
        <w:tc>
          <w:tcPr>
            <w:tcW w:w="8900" w:type="dxa"/>
            <w:vAlign w:val="bottom"/>
            <w:gridSpan w:val="11"/>
          </w:tcPr>
          <w:p>
            <w:pPr>
              <w:jc w:val="center"/>
              <w:ind w:left="2254"/>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667"/>
        </w:trPr>
        <w:tc>
          <w:tcPr>
            <w:tcW w:w="3720" w:type="dxa"/>
            <w:vAlign w:val="bottom"/>
          </w:tcPr>
          <w:p>
            <w:pPr>
              <w:spacing w:after="0"/>
              <w:rPr>
                <w:sz w:val="24"/>
                <w:szCs w:val="24"/>
                <w:color w:val="auto"/>
              </w:rPr>
            </w:pPr>
          </w:p>
        </w:tc>
        <w:tc>
          <w:tcPr>
            <w:tcW w:w="2720" w:type="dxa"/>
            <w:vAlign w:val="bottom"/>
            <w:gridSpan w:val="4"/>
          </w:tcPr>
          <w:p>
            <w:pPr>
              <w:jc w:val="center"/>
              <w:ind w:left="988"/>
              <w:spacing w:after="0"/>
              <w:rPr>
                <w:sz w:val="20"/>
                <w:szCs w:val="20"/>
                <w:color w:val="auto"/>
              </w:rPr>
            </w:pPr>
            <w:r>
              <w:rPr>
                <w:rFonts w:ascii="Arial" w:cs="Arial" w:eastAsia="Arial" w:hAnsi="Arial"/>
                <w:sz w:val="18"/>
                <w:szCs w:val="18"/>
                <w:b w:val="1"/>
                <w:bCs w:val="1"/>
                <w:color w:val="auto"/>
                <w:w w:val="90"/>
              </w:rPr>
              <w:t>(408) 235-7700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3720" w:type="dxa"/>
            <w:vAlign w:val="bottom"/>
          </w:tcPr>
          <w:p>
            <w:pPr>
              <w:spacing w:after="0"/>
              <w:rPr>
                <w:sz w:val="18"/>
                <w:szCs w:val="18"/>
                <w:color w:val="auto"/>
              </w:rPr>
            </w:pPr>
          </w:p>
        </w:tc>
        <w:tc>
          <w:tcPr>
            <w:tcW w:w="5180" w:type="dxa"/>
            <w:vAlign w:val="bottom"/>
            <w:gridSpan w:val="10"/>
          </w:tcPr>
          <w:p>
            <w:pPr>
              <w:jc w:val="center"/>
              <w:ind w:right="1276"/>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8"/>
        </w:trPr>
        <w:tc>
          <w:tcPr>
            <w:tcW w:w="8900" w:type="dxa"/>
            <w:vAlign w:val="bottom"/>
            <w:gridSpan w:val="11"/>
          </w:tcPr>
          <w:p>
            <w:pPr>
              <w:jc w:val="center"/>
              <w:ind w:left="225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4"/>
        </w:trPr>
        <w:tc>
          <w:tcPr>
            <w:tcW w:w="3720" w:type="dxa"/>
            <w:vAlign w:val="bottom"/>
          </w:tcPr>
          <w:p>
            <w:pPr>
              <w:jc w:val="center"/>
              <w:ind w:left="894"/>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Trading Symbol</w:t>
            </w:r>
          </w:p>
        </w:tc>
        <w:tc>
          <w:tcPr>
            <w:tcW w:w="200" w:type="dxa"/>
            <w:vAlign w:val="bottom"/>
          </w:tcPr>
          <w:p>
            <w:pPr>
              <w:spacing w:after="0"/>
              <w:rPr>
                <w:sz w:val="24"/>
                <w:szCs w:val="24"/>
                <w:color w:val="auto"/>
              </w:rPr>
            </w:pPr>
          </w:p>
        </w:tc>
        <w:tc>
          <w:tcPr>
            <w:tcW w:w="430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1"/>
        </w:trPr>
        <w:tc>
          <w:tcPr>
            <w:tcW w:w="3720" w:type="dxa"/>
            <w:vAlign w:val="bottom"/>
            <w:tcBorders>
              <w:top w:val="single" w:sz="8" w:color="auto"/>
            </w:tcBorders>
          </w:tcPr>
          <w:p>
            <w:pPr>
              <w:jc w:val="center"/>
              <w:ind w:left="894"/>
              <w:spacing w:after="0"/>
              <w:rPr>
                <w:sz w:val="20"/>
                <w:szCs w:val="20"/>
                <w:color w:val="auto"/>
              </w:rPr>
            </w:pPr>
            <w:r>
              <w:rPr>
                <w:rFonts w:ascii="Arial" w:cs="Arial" w:eastAsia="Arial" w:hAnsi="Arial"/>
                <w:sz w:val="18"/>
                <w:szCs w:val="18"/>
                <w:b w:val="1"/>
                <w:bCs w:val="1"/>
                <w:color w:val="auto"/>
                <w:w w:val="90"/>
              </w:rPr>
              <w:t>Common Stock, $0.001 Par Value</w:t>
            </w: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FTNT</w:t>
            </w: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The Nasdaq Stock Market LLC</w:t>
            </w:r>
          </w:p>
        </w:tc>
      </w:tr>
      <w:tr>
        <w:trPr>
          <w:trHeight w:val="373"/>
        </w:trPr>
        <w:tc>
          <w:tcPr>
            <w:tcW w:w="8900" w:type="dxa"/>
            <w:vAlign w:val="bottom"/>
            <w:gridSpan w:val="11"/>
          </w:tcPr>
          <w:p>
            <w:pPr>
              <w:jc w:val="center"/>
              <w:ind w:left="2254"/>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8900" w:type="dxa"/>
            <w:vAlign w:val="bottom"/>
            <w:gridSpan w:val="11"/>
          </w:tcPr>
          <w:p>
            <w:pPr>
              <w:ind w:left="30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520" w:type="dxa"/>
            <w:vAlign w:val="bottom"/>
          </w:tcPr>
          <w:p>
            <w:pPr>
              <w:ind w:left="2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No</w:t>
            </w:r>
          </w:p>
        </w:tc>
        <w:tc>
          <w:tcPr>
            <w:tcW w:w="1360" w:type="dxa"/>
            <w:vAlign w:val="bottom"/>
          </w:tcPr>
          <w:p>
            <w:pPr>
              <w:jc w:val="right"/>
              <w:ind w:right="107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78"/>
        </w:trPr>
        <w:tc>
          <w:tcPr>
            <w:tcW w:w="8900" w:type="dxa"/>
            <w:vAlign w:val="bottom"/>
            <w:gridSpan w:val="11"/>
          </w:tcPr>
          <w:p>
            <w:pPr>
              <w:ind w:left="30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460" w:type="dxa"/>
            <w:vAlign w:val="bottom"/>
          </w:tcPr>
          <w:p>
            <w:pPr>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1360" w:type="dxa"/>
            <w:vAlign w:val="bottom"/>
          </w:tcPr>
          <w:p>
            <w:pPr>
              <w:jc w:val="right"/>
              <w:ind w:right="1050"/>
              <w:spacing w:after="0" w:line="181" w:lineRule="exact"/>
              <w:rPr>
                <w:sz w:val="20"/>
                <w:szCs w:val="20"/>
                <w:color w:val="auto"/>
              </w:rPr>
            </w:pPr>
            <w:r>
              <w:rPr>
                <w:rFonts w:ascii="MS PGothic" w:cs="MS PGothic" w:eastAsia="MS PGothic" w:hAnsi="MS PGothic"/>
                <w:sz w:val="18"/>
                <w:szCs w:val="18"/>
                <w:color w:val="auto"/>
              </w:rPr>
              <w:t>☒</w:t>
            </w:r>
          </w:p>
        </w:tc>
      </w:tr>
      <w:tr>
        <w:trPr>
          <w:trHeight w:val="1108"/>
        </w:trPr>
        <w:tc>
          <w:tcPr>
            <w:tcW w:w="3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8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40"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49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ind w:right="220" w:firstLine="283"/>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ind w:right="4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ind w:left="300"/>
        <w:spacing w:after="0" w:line="207" w:lineRule="exact"/>
        <w:tabs>
          <w:tab w:leader="none" w:pos="786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ind w:firstLine="283"/>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2021, the last business day of the registrant’s most recently completed second quarter, was $25,503,578,291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February 18, 2022, there were 160,815,446 shares of the registrant’s common stock outstanding.</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71" w:lineRule="exact"/>
        <w:rPr>
          <w:sz w:val="20"/>
          <w:szCs w:val="20"/>
          <w:color w:val="auto"/>
        </w:rPr>
      </w:pPr>
    </w:p>
    <w:p>
      <w:pPr>
        <w:ind w:right="300" w:firstLine="283"/>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2022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10"/>
          </w:tcPr>
          <w:p>
            <w:pPr>
              <w:jc w:val="center"/>
              <w:ind w:right="33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10"/>
          </w:tcPr>
          <w:p>
            <w:pPr>
              <w:jc w:val="center"/>
              <w:ind w:right="340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3"/>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6"/>
          </w:tcPr>
          <w:p>
            <w:pPr>
              <w:ind w:left="160"/>
              <w:spacing w:after="0"/>
              <w:rPr>
                <w:sz w:val="20"/>
                <w:szCs w:val="20"/>
                <w:color w:val="auto"/>
              </w:rPr>
            </w:pPr>
            <w:r>
              <w:rPr>
                <w:rFonts w:ascii="Arial" w:cs="Arial" w:eastAsia="Arial" w:hAnsi="Arial"/>
                <w:sz w:val="16"/>
                <w:szCs w:val="16"/>
                <w:b w:val="1"/>
                <w:bCs w:val="1"/>
                <w:color w:val="auto"/>
              </w:rPr>
              <w:t>Page</w:t>
            </w:r>
          </w:p>
        </w:tc>
      </w:tr>
      <w:tr>
        <w:trPr>
          <w:trHeight w:val="442"/>
        </w:trPr>
        <w:tc>
          <w:tcPr>
            <w:tcW w:w="940" w:type="dxa"/>
            <w:vAlign w:val="bottom"/>
          </w:tcPr>
          <w:p>
            <w:pPr>
              <w:spacing w:after="0"/>
              <w:rPr>
                <w:sz w:val="24"/>
                <w:szCs w:val="24"/>
                <w:color w:val="auto"/>
              </w:rPr>
            </w:pPr>
          </w:p>
        </w:tc>
        <w:tc>
          <w:tcPr>
            <w:tcW w:w="96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Risk Factor Summary</w:t>
              </w:r>
            </w:hyperlink>
          </w:p>
        </w:tc>
        <w:tc>
          <w:tcPr>
            <w:tcW w:w="660" w:type="dxa"/>
            <w:vAlign w:val="bottom"/>
            <w:tcBorders>
              <w:top w:val="single" w:sz="8" w:color="auto"/>
            </w:tcBorders>
            <w:gridSpan w:val="5"/>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8980" w:type="dxa"/>
            <w:vAlign w:val="bottom"/>
            <w:gridSpan w:val="22"/>
          </w:tcPr>
          <w:p>
            <w:pPr>
              <w:spacing w:after="0"/>
              <w:rPr>
                <w:sz w:val="24"/>
                <w:szCs w:val="24"/>
                <w:color w:val="auto"/>
              </w:rPr>
            </w:pPr>
          </w:p>
        </w:tc>
        <w:tc>
          <w:tcPr>
            <w:tcW w:w="54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8720" w:type="dxa"/>
            <w:vAlign w:val="bottom"/>
            <w:gridSpan w:val="19"/>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1B.</w:t>
            </w:r>
          </w:p>
        </w:tc>
        <w:tc>
          <w:tcPr>
            <w:tcW w:w="2040" w:type="dxa"/>
            <w:vAlign w:val="bottom"/>
            <w:gridSpan w:val="11"/>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Unresolved Staff Comments</w:t>
              </w:r>
            </w:hyperlink>
          </w:p>
        </w:tc>
        <w:tc>
          <w:tcPr>
            <w:tcW w:w="7580" w:type="dxa"/>
            <w:vAlign w:val="bottom"/>
            <w:gridSpan w:val="12"/>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Properties</w:t>
              </w:r>
            </w:hyperlink>
          </w:p>
        </w:tc>
        <w:tc>
          <w:tcPr>
            <w:tcW w:w="1320" w:type="dxa"/>
            <w:vAlign w:val="bottom"/>
            <w:gridSpan w:val="9"/>
          </w:tcPr>
          <w:p>
            <w:pPr>
              <w:spacing w:after="0"/>
              <w:rPr>
                <w:sz w:val="18"/>
                <w:szCs w:val="18"/>
                <w:color w:val="auto"/>
              </w:rPr>
            </w:pPr>
          </w:p>
        </w:tc>
        <w:tc>
          <w:tcPr>
            <w:tcW w:w="7580" w:type="dxa"/>
            <w:vAlign w:val="bottom"/>
            <w:gridSpan w:val="12"/>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Legal Proceedings</w:t>
              </w:r>
            </w:hyperlink>
          </w:p>
        </w:tc>
        <w:tc>
          <w:tcPr>
            <w:tcW w:w="6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Mine Safety Disclosures</w:t>
              </w:r>
            </w:hyperlink>
          </w:p>
        </w:tc>
        <w:tc>
          <w:tcPr>
            <w:tcW w:w="6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5.</w:t>
            </w:r>
          </w:p>
        </w:tc>
        <w:tc>
          <w:tcPr>
            <w:tcW w:w="962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Market for Registrant’s Common Equity, Related Stockholder Matters and Issuer Purchases of Equity Securities</w:t>
              </w:r>
            </w:hyperlink>
          </w:p>
        </w:tc>
        <w:tc>
          <w:tcPr>
            <w:tcW w:w="64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gridSpan w:val="3"/>
          </w:tcPr>
          <w:p>
            <w:pPr>
              <w:spacing w:after="0"/>
              <w:rPr>
                <w:sz w:val="20"/>
                <w:szCs w:val="20"/>
                <w:color w:val="auto"/>
              </w:rPr>
            </w:pPr>
            <w:r>
              <w:rPr>
                <w:rFonts w:ascii="Arial" w:cs="Arial" w:eastAsia="Arial" w:hAnsi="Arial"/>
                <w:sz w:val="18"/>
                <w:szCs w:val="18"/>
                <w:color w:val="0000FF"/>
                <w:w w:val="84"/>
              </w:rPr>
              <w:t>[Reserved]</w:t>
            </w:r>
          </w:p>
        </w:tc>
        <w:tc>
          <w:tcPr>
            <w:tcW w:w="7280" w:type="dxa"/>
            <w:vAlign w:val="bottom"/>
            <w:gridSpan w:val="19"/>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7.</w:t>
            </w:r>
          </w:p>
        </w:tc>
        <w:tc>
          <w:tcPr>
            <w:tcW w:w="962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7A.</w:t>
            </w:r>
          </w:p>
        </w:tc>
        <w:tc>
          <w:tcPr>
            <w:tcW w:w="4300" w:type="dxa"/>
            <w:vAlign w:val="bottom"/>
            <w:gridSpan w:val="16"/>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Quantitative and Qualitative Disclosures about Market Risk</w:t>
              </w:r>
            </w:hyperlink>
          </w:p>
        </w:tc>
        <w:tc>
          <w:tcPr>
            <w:tcW w:w="2140" w:type="dxa"/>
            <w:vAlign w:val="bottom"/>
            <w:gridSpan w:val="3"/>
          </w:tcPr>
          <w:p>
            <w:pPr>
              <w:spacing w:after="0"/>
              <w:rPr>
                <w:sz w:val="18"/>
                <w:szCs w:val="18"/>
                <w:color w:val="auto"/>
              </w:rPr>
            </w:pPr>
          </w:p>
        </w:tc>
        <w:tc>
          <w:tcPr>
            <w:tcW w:w="3180" w:type="dxa"/>
            <w:vAlign w:val="bottom"/>
            <w:gridSpan w:val="4"/>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8.</w:t>
            </w:r>
          </w:p>
        </w:tc>
        <w:tc>
          <w:tcPr>
            <w:tcW w:w="3320" w:type="dxa"/>
            <w:vAlign w:val="bottom"/>
            <w:gridSpan w:val="14"/>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Financial Statements and Supplementary Data</w:t>
              </w:r>
            </w:hyperlink>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640" w:type="dxa"/>
            <w:vAlign w:val="bottom"/>
            <w:gridSpan w:val="4"/>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9.</w:t>
            </w:r>
          </w:p>
        </w:tc>
        <w:tc>
          <w:tcPr>
            <w:tcW w:w="65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Changes in and Disagreements With Accountants on Accounting and Financial Disclosure</w:t>
              </w:r>
            </w:hyperlink>
          </w:p>
        </w:tc>
        <w:tc>
          <w:tcPr>
            <w:tcW w:w="312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109">
              <w:r>
                <w:rPr>
                  <w:rFonts w:ascii="Arial" w:cs="Arial" w:eastAsia="Arial" w:hAnsi="Arial"/>
                  <w:sz w:val="18"/>
                  <w:szCs w:val="18"/>
                  <w:color w:val="0000FF"/>
                  <w:w w:val="87"/>
                </w:rPr>
                <w:t>Controls and Procedures</w:t>
              </w:r>
            </w:hyperlink>
          </w:p>
        </w:tc>
        <w:tc>
          <w:tcPr>
            <w:tcW w:w="786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9B.</w:t>
            </w:r>
          </w:p>
        </w:tc>
        <w:tc>
          <w:tcPr>
            <w:tcW w:w="9620" w:type="dxa"/>
            <w:vAlign w:val="bottom"/>
            <w:gridSpan w:val="2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Other Information</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108</w:t>
              </w:r>
            </w:hyperlink>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9C.</w:t>
            </w:r>
          </w:p>
        </w:tc>
        <w:tc>
          <w:tcPr>
            <w:tcW w:w="49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Disclosure Regarding Foreign Jurisdictions that Prevents Inspections</w:t>
              </w:r>
            </w:hyperlink>
          </w:p>
        </w:tc>
        <w:tc>
          <w:tcPr>
            <w:tcW w:w="46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108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10.</w:t>
            </w:r>
          </w:p>
        </w:tc>
        <w:tc>
          <w:tcPr>
            <w:tcW w:w="9620" w:type="dxa"/>
            <w:vAlign w:val="bottom"/>
            <w:gridSpan w:val="23"/>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Directors, Executive Officers and Corporate Governance</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108</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18"/>
                <w:szCs w:val="18"/>
                <w:color w:val="auto"/>
              </w:rPr>
            </w:pPr>
          </w:p>
        </w:tc>
        <w:tc>
          <w:tcPr>
            <w:tcW w:w="554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108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12.</w:t>
            </w:r>
          </w:p>
        </w:tc>
        <w:tc>
          <w:tcPr>
            <w:tcW w:w="9620" w:type="dxa"/>
            <w:vAlign w:val="bottom"/>
            <w:gridSpan w:val="23"/>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Security Ownership of Certain Beneficial Owners and Management and Related Stockholder Matters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108</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1"/>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Certain Relationships and Related Transactions, and Director Independence</w:t>
              </w:r>
            </w:hyperlink>
          </w:p>
        </w:tc>
        <w:tc>
          <w:tcPr>
            <w:tcW w:w="23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108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Principal Accounting Fees and Services</w:t>
              </w:r>
            </w:hyperlink>
          </w:p>
        </w:tc>
        <w:tc>
          <w:tcPr>
            <w:tcW w:w="418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108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15.</w:t>
            </w:r>
          </w:p>
        </w:tc>
        <w:tc>
          <w:tcPr>
            <w:tcW w:w="9620" w:type="dxa"/>
            <w:vAlign w:val="bottom"/>
            <w:gridSpan w:val="23"/>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Exhibits and Financial Statement Schedules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109</w:t>
              </w:r>
            </w:hyperlink>
          </w:p>
        </w:tc>
        <w:tc>
          <w:tcPr>
            <w:tcW w:w="20" w:type="dxa"/>
            <w:vAlign w:val="bottom"/>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980" w:type="dxa"/>
            <w:vAlign w:val="bottom"/>
            <w:tcBorders>
              <w:top w:val="single" w:sz="8" w:color="0000FF"/>
            </w:tcBorders>
            <w:gridSpan w:val="5"/>
          </w:tcPr>
          <w:p>
            <w:pPr>
              <w:spacing w:after="0"/>
              <w:rPr>
                <w:rFonts w:ascii="Arial" w:cs="Arial" w:eastAsia="Arial" w:hAnsi="Arial"/>
                <w:sz w:val="18"/>
                <w:szCs w:val="18"/>
                <w:color w:val="0000FF"/>
                <w:w w:val="93"/>
              </w:rPr>
            </w:pPr>
            <w:hyperlink w:anchor="page112">
              <w:r>
                <w:rPr>
                  <w:rFonts w:ascii="Arial" w:cs="Arial" w:eastAsia="Arial" w:hAnsi="Arial"/>
                  <w:sz w:val="18"/>
                  <w:szCs w:val="18"/>
                  <w:color w:val="0000FF"/>
                  <w:w w:val="93"/>
                </w:rPr>
                <w:t>Exhibit Index</w:t>
              </w:r>
            </w:hyperlink>
          </w:p>
        </w:tc>
        <w:tc>
          <w:tcPr>
            <w:tcW w:w="2160" w:type="dxa"/>
            <w:vAlign w:val="bottom"/>
            <w:tcBorders>
              <w:top w:val="single" w:sz="8" w:color="0000FF"/>
            </w:tcBorders>
            <w:gridSpan w:val="8"/>
          </w:tcPr>
          <w:p>
            <w:pPr>
              <w:spacing w:after="0"/>
              <w:rPr>
                <w:sz w:val="18"/>
                <w:szCs w:val="18"/>
                <w:color w:val="auto"/>
              </w:rPr>
            </w:pPr>
          </w:p>
        </w:tc>
        <w:tc>
          <w:tcPr>
            <w:tcW w:w="648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110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16.</w:t>
            </w:r>
          </w:p>
        </w:tc>
        <w:tc>
          <w:tcPr>
            <w:tcW w:w="1540" w:type="dxa"/>
            <w:vAlign w:val="bottom"/>
            <w:gridSpan w:val="7"/>
          </w:tcPr>
          <w:p>
            <w:pPr>
              <w:spacing w:after="0"/>
              <w:rPr>
                <w:rFonts w:ascii="Arial" w:cs="Arial" w:eastAsia="Arial" w:hAnsi="Arial"/>
                <w:sz w:val="18"/>
                <w:szCs w:val="18"/>
                <w:color w:val="0000FF"/>
                <w:w w:val="90"/>
              </w:rPr>
            </w:pPr>
            <w:hyperlink w:anchor="page114">
              <w:r>
                <w:rPr>
                  <w:rFonts w:ascii="Arial" w:cs="Arial" w:eastAsia="Arial" w:hAnsi="Arial"/>
                  <w:sz w:val="18"/>
                  <w:szCs w:val="18"/>
                  <w:color w:val="0000FF"/>
                  <w:w w:val="90"/>
                </w:rPr>
                <w:t>Form 10-K Summary</w:t>
              </w:r>
            </w:hyperlink>
          </w:p>
        </w:tc>
        <w:tc>
          <w:tcPr>
            <w:tcW w:w="8080" w:type="dxa"/>
            <w:vAlign w:val="bottom"/>
            <w:gridSpan w:val="16"/>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40" w:type="dxa"/>
            <w:vAlign w:val="bottom"/>
            <w:gridSpan w:val="7"/>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Signatures</w:t>
              </w:r>
            </w:hyperlink>
          </w:p>
        </w:tc>
        <w:tc>
          <w:tcPr>
            <w:tcW w:w="8080" w:type="dxa"/>
            <w:vAlign w:val="bottom"/>
            <w:gridSpan w:val="16"/>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r>
      <w:tr>
        <w:trPr>
          <w:trHeight w:val="1229"/>
        </w:trPr>
        <w:tc>
          <w:tcPr>
            <w:tcW w:w="9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Some of the principle risks and uncertainties include the following:</w:t>
      </w:r>
    </w:p>
    <w:p>
      <w:pPr>
        <w:spacing w:after="0" w:line="21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including its ongoing variants, could adversely affect our business in a material way, based on, for example, component shortages or negative impact on demand.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economic conditions or reduced information technology spending may adversely impact our business.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38"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19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accounts receivable.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50"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197"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generate a majority of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organizations, which are subject to a number of challenges and risks.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pacing w:after="0" w:line="238" w:lineRule="exact"/>
        <w:rPr>
          <w:rFonts w:ascii="Arial" w:cs="Arial" w:eastAsia="Arial" w:hAnsi="Arial"/>
          <w:sz w:val="18"/>
          <w:szCs w:val="18"/>
          <w:color w:val="auto"/>
        </w:rPr>
      </w:pPr>
    </w:p>
    <w:p>
      <w:pPr>
        <w:ind w:left="660" w:right="8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inventory or components, including finished goods, chips and other components, and including component or inventory shortages related to the COVID-19 pandemic, manufacturer’s capacity, shipping challenges, or other factors affecting the global supply chain, may result in lost sales opportunities or delayed billings and revenue and increased costs, and may harm our gross margins and our product price increases designed to help mitigate lower gross margins may not be acceptable to customers.</w:t>
      </w:r>
    </w:p>
    <w:p>
      <w:pPr>
        <w:spacing w:after="0" w:line="201"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third-party manufacturers to provide components for our products and build our products and are susceptible to manufacturing delays and cost increases.</w:t>
      </w:r>
    </w:p>
    <w:p>
      <w:pPr>
        <w:spacing w:after="0" w:line="196" w:lineRule="exact"/>
        <w:rPr>
          <w:rFonts w:ascii="Arial" w:cs="Arial" w:eastAsia="Arial" w:hAnsi="Arial"/>
          <w:sz w:val="18"/>
          <w:szCs w:val="18"/>
          <w:color w:val="auto"/>
        </w:rPr>
      </w:pPr>
    </w:p>
    <w:p>
      <w:pPr>
        <w:ind w:left="660" w:right="22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susceptible to supply chain constraints, supply shortages and disruptions, long lead times for components and finished goods and supply changes because some of the key components in our products come from limited sources of supply.</w:t>
      </w:r>
    </w:p>
    <w:p>
      <w:pPr>
        <w:spacing w:after="0" w:line="210"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19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uncertainty and weakening product demand caused by political instability, changes in trade agreements and conflicts, such as the conflict between Russia and Ukraine, could adversely affect our business and financial performance.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9"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Fortinet is a global leader in cybersecurity and networking solutions for organizations, including enterprises, communication service providers, security service providers, government organizations and small businesses.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39" w:lineRule="exact"/>
        <w:rPr>
          <w:sz w:val="20"/>
          <w:szCs w:val="20"/>
          <w:color w:val="auto"/>
        </w:rPr>
      </w:pPr>
    </w:p>
    <w:p>
      <w:pPr>
        <w:ind w:left="660" w:right="40" w:hanging="328"/>
        <w:spacing w:after="0" w:line="23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Convergence / Security-Driven Networking</w:t>
      </w:r>
      <w:r>
        <w:rPr>
          <w:rFonts w:ascii="Arial" w:cs="Arial" w:eastAsia="Arial" w:hAnsi="Arial"/>
          <w:sz w:val="17"/>
          <w:szCs w:val="17"/>
          <w:color w:val="auto"/>
        </w:rPr>
        <w:t>—Our Security-Driven Networking solutions enable the convergence of networking and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all edges to provide next-generation firewall (“NGFW”), software-defined wide area network (“SD-WAN”), LAN Edge (Wi-Fi and switch) and secure access service edge (“SASE”). Traditional networking lacks awareness of content, applications, users, devices, location and more. A security-driven networking approach converges networking and security into a single, accelerated solution. A specially designed operating system and security processors work in concert to greatly improve network performance and security posture while decreasing footprint and power consumption. We derive a majority of product sales from our FortiGate network security appliances. FortiGate network 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 from anywhere (“WFA”) deployments.</w:t>
      </w:r>
    </w:p>
    <w:p>
      <w:pPr>
        <w:spacing w:after="0" w:line="222" w:lineRule="exact"/>
        <w:rPr>
          <w:rFonts w:ascii="Arial" w:cs="Arial" w:eastAsia="Arial" w:hAnsi="Arial"/>
          <w:sz w:val="17"/>
          <w:szCs w:val="17"/>
          <w:color w:val="auto"/>
        </w:rPr>
      </w:pPr>
    </w:p>
    <w:p>
      <w:pPr>
        <w:ind w:left="660" w:right="2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Zero Trust Access</w:t>
      </w:r>
      <w:r>
        <w:rPr>
          <w:rFonts w:ascii="Arial" w:cs="Arial" w:eastAsia="Arial" w:hAnsi="Arial"/>
          <w:sz w:val="18"/>
          <w:szCs w:val="18"/>
          <w:color w:val="auto"/>
        </w:rPr>
        <w:t>—Our Zero Trust Access solutions enable customers to know and control who and what is on their network, in addition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security for WFA. Zero Trust Access solutions include FortiNAC, FortiAuthenticator, FortiClient/EDR and FortiToken. Our network access control solutions provide visibility, control and automated event responses in order to secure internet of things (“IoT”) and operational technology (“OT”) devices.</w:t>
      </w:r>
    </w:p>
    <w:p>
      <w:pPr>
        <w:spacing w:after="0" w:line="200" w:lineRule="exact"/>
        <w:rPr>
          <w:rFonts w:ascii="Arial" w:cs="Arial" w:eastAsia="Arial" w:hAnsi="Arial"/>
          <w:sz w:val="18"/>
          <w:szCs w:val="18"/>
          <w:color w:val="auto"/>
        </w:rPr>
      </w:pPr>
    </w:p>
    <w:p>
      <w:pPr>
        <w:ind w:left="660" w:right="20" w:hanging="328"/>
        <w:spacing w:after="0" w:line="23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Adaptive Cloud Security</w:t>
      </w:r>
      <w:r>
        <w:rPr>
          <w:rFonts w:ascii="Arial" w:cs="Arial" w:eastAsia="Arial" w:hAnsi="Arial"/>
          <w:sz w:val="17"/>
          <w:szCs w:val="17"/>
          <w:color w:val="auto"/>
        </w:rPr>
        <w:t>—We help customers connect securely to and across their individual, hybrid cloud, multi-cloud and virtualized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environments by offering 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cybersecurity mesh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Alibaba Cloud, Amazon Web Services, Google Cloud, IBM Cloud, Microsoft Azure, Oracle Cloud and VMWare Cloud. We also offer managed IPS and web application firewall (“WAF”) rules delivered by FortiGuard Labs as an overlay service to native security offerings offered by Amazon Web Services.</w:t>
      </w:r>
    </w:p>
    <w:p>
      <w:pPr>
        <w:spacing w:after="0" w:line="202" w:lineRule="exact"/>
        <w:rPr>
          <w:rFonts w:ascii="Arial" w:cs="Arial" w:eastAsia="Arial" w:hAnsi="Arial"/>
          <w:sz w:val="17"/>
          <w:szCs w:val="17"/>
          <w:color w:val="auto"/>
        </w:rPr>
      </w:pPr>
    </w:p>
    <w:p>
      <w:pPr>
        <w:ind w:left="660" w:hanging="328"/>
        <w:spacing w:after="0" w:line="22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AI-Driven Security Operations</w:t>
      </w:r>
      <w:r>
        <w:rPr>
          <w:rFonts w:ascii="Arial" w:cs="Arial" w:eastAsia="Arial" w:hAnsi="Arial"/>
          <w:sz w:val="18"/>
          <w:szCs w:val="18"/>
          <w:color w:val="auto"/>
        </w:rPr>
        <w:t>—We develop and provide a range of products and services that enable the security operations center (“SOC”)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teams to identify, investigate and remediate potential incidents in which cybercriminals bypass prevention-oriented controls. Given the breadth of the attack surface to monitor, as well as the volume and sophistication of cyber threats, artificial intelligence (“AI”) is a key part of these offerings, which include: FortiGuard and other security subscription services, endpoint security with endpoint detection and response (“EDR”), a range of breach-protection technologies plus our security information and event management (“SIEM”) and security orchestration, automation and response (“SOAR”), all of which can be applied across the Fortinet Security Fabric cybersecurity mesh platform. These solutions automatically deliver security intelligence and insights that help organizations to protect against and respond to threats through integration with Fortinet and third-party solutions.</w:t>
      </w:r>
    </w:p>
    <w:p>
      <w:pPr>
        <w:spacing w:after="0" w:line="202" w:lineRule="exact"/>
        <w:rPr>
          <w:rFonts w:ascii="Arial" w:cs="Arial" w:eastAsia="Arial" w:hAnsi="Arial"/>
          <w:sz w:val="18"/>
          <w:szCs w:val="18"/>
          <w:color w:val="auto"/>
        </w:rPr>
      </w:pPr>
    </w:p>
    <w:p>
      <w:pPr>
        <w:ind w:left="660" w:right="100" w:hanging="328"/>
        <w:spacing w:after="0" w:line="23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FortiGuard security subscription services as an add-on to products and solutions across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Fortinet Security Fabric to receive threat intelligence and protection updates. FortiGuard services are designed to provide protection for users and applications, including offerings for IPS, web, video and domain name system (“DNS”) filtering, audio/visual (“AV”) and cloud sandbox along with IoT and OT Security.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FortiGuard security services are provided from our FortiGuard Labs and cloud-delivered to provide real-time unified protection across network endpoint and cloud.</w:t>
      </w:r>
    </w:p>
    <w:p>
      <w:pPr>
        <w:spacing w:after="0" w:line="197" w:lineRule="exact"/>
        <w:rPr>
          <w:sz w:val="20"/>
          <w:szCs w:val="20"/>
          <w:color w:val="auto"/>
        </w:rPr>
      </w:pPr>
    </w:p>
    <w:p>
      <w:pPr>
        <w:ind w:left="660" w:right="200" w:hanging="328"/>
        <w:spacing w:after="0" w:line="23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Support and Professional Services</w:t>
      </w:r>
      <w:r>
        <w:rPr>
          <w:rFonts w:ascii="Arial" w:cs="Arial" w:eastAsia="Arial" w:hAnsi="Arial"/>
          <w:sz w:val="18"/>
          <w:szCs w:val="18"/>
          <w:color w:val="auto"/>
        </w:rPr>
        <w:t>—Fortinet offers technical support, FortiOS updates, and extended product warranty through our FortiCare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services. In addition to our technical support services, we offer a range of advanced services, including premium support, professional services and expedited warranty replacement. Our professional service offerings include resident engineers and professional service consultants for implementations or trainings.</w:t>
      </w:r>
    </w:p>
    <w:p>
      <w:pPr>
        <w:spacing w:after="0" w:line="216"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During our year ended December 31, 2021, we generated total revenue of $3.34 billion and net income of $606.8 million. See Part II, Item 8 of this Annual Report on Form 10-K for more information on our consolidated balance sheets as of December 31, 2021 and 2020 and our consolidated statements of income, comprehensive income, equity, and cash flows for each of the three years ended December 31, 2021, 2020 and 2019.</w:t>
      </w:r>
    </w:p>
    <w:p>
      <w:pPr>
        <w:spacing w:after="0" w:line="17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Technology and Architecture</w:t>
      </w:r>
    </w:p>
    <w:p>
      <w:pPr>
        <w:spacing w:after="0" w:line="23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Cybersecurity has traditionally been deployed one solution at a time and not designed to work well with other deployed solutions while also increasing management complexity. A Fortinet Security Fabric cybersecurity mesh platform approach consolidates point products into a platform, allowing for much tighter integration, increased automation and a more rapid, coordinated, and effective response to threats across the network. The Fortinet Security Fabric has an open architecture designed to integrate Fortinet solutions and third-party solutions.</w:t>
      </w:r>
    </w:p>
    <w:p>
      <w:pPr>
        <w:spacing w:after="0" w:line="201" w:lineRule="exact"/>
        <w:rPr>
          <w:sz w:val="20"/>
          <w:szCs w:val="20"/>
          <w:color w:val="auto"/>
        </w:rPr>
      </w:pPr>
    </w:p>
    <w:p>
      <w:pPr>
        <w:ind w:right="80" w:firstLine="648"/>
        <w:spacing w:after="0" w:line="237" w:lineRule="auto"/>
        <w:rPr>
          <w:sz w:val="20"/>
          <w:szCs w:val="20"/>
          <w:color w:val="auto"/>
        </w:rPr>
      </w:pPr>
      <w:r>
        <w:rPr>
          <w:rFonts w:ascii="Arial" w:cs="Arial" w:eastAsia="Arial" w:hAnsi="Arial"/>
          <w:sz w:val="17"/>
          <w:szCs w:val="17"/>
          <w:color w:val="auto"/>
        </w:rPr>
        <w:t>Our product offerings consist of our FortiGate network security products and our non-FortiGate products, which are offered in a broad range of form factors spanning physical appliances, virtual appliances, software and cloud-hosted services. This enables Fortinet to protect customers across all edges and deployment scenarios including users, devices, networks, cloud, and virtual data center. Our cloud- and hosted- products and services include sandboxing, endpoint detection and response (“EDR”), email security, web application and API security, and cloud networking security as well as Fortinet Security Fabric management and analytics. Additionally, we offer cloud-delivered and hosted-security services. Our FortiGuard security services are enabled by FortiGuard Labs, which provides threat research and artificial intelligence capabilities from a cloud network to deliver protection through FortiGate appliance and virtual machine as well as Fortinet Security Fabric products that are registered by the end-customer. All these are combined to form the Fortinet Security Fabric cybersecurity mesh platform, which is an approach to security that consolidates discrete security solutions together into an integrated offering. This integrated approach to security extends across both Fortinet developed solutions and a broad ecosystem of technology partner solutions and technologies.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SPU</w:t>
      </w:r>
    </w:p>
    <w:p>
      <w:pPr>
        <w:spacing w:after="0" w:line="239" w:lineRule="exact"/>
        <w:rPr>
          <w:sz w:val="20"/>
          <w:szCs w:val="20"/>
          <w:color w:val="auto"/>
        </w:rPr>
      </w:pPr>
    </w:p>
    <w:p>
      <w:pPr>
        <w:ind w:right="140" w:firstLine="648"/>
        <w:spacing w:after="0" w:line="242" w:lineRule="auto"/>
        <w:rPr>
          <w:sz w:val="20"/>
          <w:szCs w:val="20"/>
          <w:color w:val="auto"/>
        </w:rPr>
      </w:pPr>
      <w:r>
        <w:rPr>
          <w:rFonts w:ascii="Arial" w:cs="Arial" w:eastAsia="Arial" w:hAnsi="Arial"/>
          <w:sz w:val="17"/>
          <w:szCs w:val="17"/>
          <w:color w:val="auto"/>
        </w:rPr>
        <w:t>Our proprietary SPUs are application-specific integrated circuits (“ASICs”) that include (i) the content processor (“SPU CP”), (ii) the network processor (“SPU NP”) and (iii) the system-on-a-chip (“SPU SoC”). Our SPUs are embedded in our physical FortiGate appliances and are designed to enhance the security processing capabilities of our operating system by accelerating computationally intensive tasks such as firewall policy enforcement, SD-WAN, network address translation, IPS, threat detection and encryption while also converging security capabilities with networking functionality. We also provide virtualized security processing units (“vSPUs”) across our FortiGate virtual appliances.</w:t>
      </w:r>
    </w:p>
    <w:p>
      <w:pPr>
        <w:spacing w:after="0" w:line="20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The use of SPUs allows our appliances to consolidate security functionality and converge security with a minimal impact to network throughput performance, which we believe delivers a lower total cost of ownership (“TCO”) to our customers. As the security needs and technologies of our end-customers increase, we believe our TCO-driven SPU approach give our products a competitive advantage against other architectural approaches.</w:t>
      </w:r>
    </w:p>
    <w:p>
      <w:pPr>
        <w:spacing w:after="0" w:line="18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Entry-level FortiGate products often use the SPU SoC to provide the necessary acceleration at this level. Mid-range FortiGate products use a central processing unit (“CPU”) and include the SPU NP and SPU CP hardware acceleration. The high-end FortiGate products use multiple CPUs, SPU CPs and SPU NPs.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5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FortiOS, its associated security and networking functions and products that run or are integrated with FortiOS are combined to form the Fortinet Security Fabric cybersecurity mesh platform. This approach to security ties discrete security solutions together into an integrated offering.</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firstLine="648"/>
        <w:spacing w:after="0" w:line="307" w:lineRule="auto"/>
        <w:rPr>
          <w:sz w:val="20"/>
          <w:szCs w:val="20"/>
          <w:color w:val="auto"/>
        </w:rPr>
      </w:pPr>
      <w:r>
        <w:rPr>
          <w:rFonts w:ascii="Arial" w:cs="Arial" w:eastAsia="Arial" w:hAnsi="Arial"/>
          <w:sz w:val="16"/>
          <w:szCs w:val="16"/>
          <w:color w:val="auto"/>
        </w:rPr>
        <w:t>Our proprietary FortiOS operating system provides the foundation for the operation of FortiGate network security appliances, whether physical, virtual, private- or public-cloud based. We make regular enhancements and other updates to FortiOS available through our FortiCare support services.</w:t>
      </w:r>
    </w:p>
    <w:p>
      <w:pPr>
        <w:spacing w:after="0" w:line="150" w:lineRule="exact"/>
        <w:rPr>
          <w:sz w:val="20"/>
          <w:szCs w:val="20"/>
          <w:color w:val="auto"/>
        </w:rPr>
      </w:pPr>
    </w:p>
    <w:p>
      <w:pPr>
        <w:ind w:right="220" w:firstLine="648"/>
        <w:spacing w:after="0" w:line="242" w:lineRule="auto"/>
        <w:rPr>
          <w:sz w:val="20"/>
          <w:szCs w:val="20"/>
          <w:color w:val="auto"/>
        </w:rPr>
      </w:pPr>
      <w:r>
        <w:rPr>
          <w:rFonts w:ascii="Arial" w:cs="Arial" w:eastAsia="Arial" w:hAnsi="Arial"/>
          <w:sz w:val="17"/>
          <w:szCs w:val="17"/>
          <w:color w:val="auto"/>
        </w:rPr>
        <w:t>The convergence of security and networking capabilities provided by the Fortinet Security Fabric cybersecurity mesh platform are powered and controlled through FortiOS.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SPUs and provides system management functions such as command line, graphical user interfaces, multiple network and security topology views.</w:t>
      </w:r>
    </w:p>
    <w:p>
      <w:pPr>
        <w:spacing w:after="0" w:line="202" w:lineRule="exact"/>
        <w:rPr>
          <w:sz w:val="20"/>
          <w:szCs w:val="20"/>
          <w:color w:val="auto"/>
        </w:rPr>
      </w:pPr>
    </w:p>
    <w:p>
      <w:pPr>
        <w:ind w:right="40" w:firstLine="648"/>
        <w:spacing w:after="0" w:line="256" w:lineRule="auto"/>
        <w:rPr>
          <w:sz w:val="20"/>
          <w:szCs w:val="20"/>
          <w:color w:val="auto"/>
        </w:rPr>
      </w:pPr>
      <w:r>
        <w:rPr>
          <w:rFonts w:ascii="Arial" w:cs="Arial" w:eastAsia="Arial" w:hAnsi="Arial"/>
          <w:sz w:val="16"/>
          <w:szCs w:val="16"/>
          <w:color w:val="auto"/>
        </w:rPr>
        <w:t>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FortiGate appliance to integrate and operate in a wide variety of network environments. Additional features include virtual domain capabilities, which can provide support for multiple customers on a single device or FortiOS instance in support of service provider and managed security service provider (“MSSP”) deployments. FortiOS also provides capabilities for the logging of traffic for forensic analysis purposes. FortiOS is designed to help control network traffic in order to optimize performance by including functionality such as packet classification, queue disciplines, policy enforcement, congestion management, WAN optimization and caching.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core product offerings consist of our FortiGate firewall product family and our non-FortiGate products which may be purchased to integrate and expand security architectures. Our non-FortiGate products include the Fortinet Security Fabric cybersecurity mesh platform, email security, cloud security, endpoint protection and other products. Our FortiGate hardware and software licenses are sold with a set of FortiGate broad security services. These security services are enabled by FortiGuard Labs, which provides threat research and artificial intelligence capabilities from a global cloud network to deliver protection services.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39" w:lineRule="exact"/>
        <w:rPr>
          <w:sz w:val="20"/>
          <w:szCs w:val="20"/>
          <w:color w:val="auto"/>
        </w:rPr>
      </w:pPr>
    </w:p>
    <w:p>
      <w:pPr>
        <w:ind w:right="180" w:firstLine="648"/>
        <w:spacing w:after="0" w:line="266" w:lineRule="auto"/>
        <w:rPr>
          <w:sz w:val="20"/>
          <w:szCs w:val="20"/>
          <w:color w:val="auto"/>
        </w:rPr>
      </w:pPr>
      <w:r>
        <w:rPr>
          <w:rFonts w:ascii="Arial" w:cs="Arial" w:eastAsia="Arial" w:hAnsi="Arial"/>
          <w:sz w:val="16"/>
          <w:szCs w:val="16"/>
          <w:color w:val="auto"/>
        </w:rPr>
        <w:t>FortiGate converges a broad set of security and networking functions, including firewall, intrusion prevention, anti-malware, VPN, application control, web filtering, anti-spam and WAN acceleration. FortiGate is available as a hardware appliance or as a virtual appliance. All FortiGate appliances run on FortiOS. FortiGate platforms can be centrally managed through both embedded web-based and command line interfaces, as well as through FortiManager, which provides a central management architecture for FortiGate appliances and the Fortinet Security Fabric cybersecurity mesh platform.</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 over 35 models in the FortiGate product line, FortiGate is designed to address security requirements for small- to medium-sized businesses, large enterprises and government organizations worldwide.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Most FortiGate hardware appliances include one of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-90 series models are designed for perimeter protection for small-to medium-sized businesses and enterprises with distributed offices. The FortiGate-100 through -900 series models are designed for perimeter deployment in medium-sized to large enterprise networks. The FortiGate-1000 through -7000 series models deliver high performance and scalable network security functionality for perimeter, data center and hyper scale data centers, and core deployment in large enterprises. In addition to networking security features,</w:t>
      </w:r>
    </w:p>
    <w:p>
      <w:pPr>
        <w:spacing w:after="0" w:line="2"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all FortiGate models and form factors also deliver secure SD-WAN capabilities. Fortinet also offers FortiGate Rugged models for OT applications where ruggedized appliances are needed.</w:t>
      </w:r>
    </w:p>
    <w:p>
      <w:pPr>
        <w:spacing w:after="0" w:line="211"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We also incorporate additional technologies within FortiGate appliances that differentiate our solutions, including data leak protection, traffic optimization, SSL inspection, threat vulnerability management and wireless controller technology. In addition to these in-built features, we offer a full range of wireless access points and controllers, complementing FortiGate appliances with the flexibility of wireless local area network access.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Security Fabric Cybersecurity Mesh Platform and Non-FortiGate Products</w:t>
      </w:r>
    </w:p>
    <w:p>
      <w:pPr>
        <w:spacing w:after="0" w:line="239" w:lineRule="exact"/>
        <w:rPr>
          <w:sz w:val="20"/>
          <w:szCs w:val="20"/>
          <w:color w:val="auto"/>
        </w:rPr>
      </w:pPr>
    </w:p>
    <w:p>
      <w:pPr>
        <w:jc w:val="both"/>
        <w:ind w:right="400" w:firstLine="648"/>
        <w:spacing w:after="0" w:line="277" w:lineRule="auto"/>
        <w:rPr>
          <w:sz w:val="20"/>
          <w:szCs w:val="20"/>
          <w:color w:val="auto"/>
        </w:rPr>
      </w:pPr>
      <w:r>
        <w:rPr>
          <w:rFonts w:ascii="Arial" w:cs="Arial" w:eastAsia="Arial" w:hAnsi="Arial"/>
          <w:sz w:val="18"/>
          <w:szCs w:val="18"/>
          <w:color w:val="auto"/>
        </w:rPr>
        <w:t>As part of the Fortinet Security Fabric cybersecurity mesh platform, we offer products that provide network security, endpoint security, cloud security, web-based application security, identity and access management, sandbox protection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email security. The integration of devices using open standards, common operating systems, and unified management platforms enables the sharing and correlation of real-time threat intelligence. The following Fortinet products can operate as part of the Fortinet Security Fabric cybersecurity mesh platform:</w:t>
      </w:r>
    </w:p>
    <w:p>
      <w:pPr>
        <w:spacing w:after="0" w:line="151" w:lineRule="exact"/>
        <w:rPr>
          <w:sz w:val="20"/>
          <w:szCs w:val="20"/>
          <w:color w:val="auto"/>
        </w:rPr>
      </w:pPr>
    </w:p>
    <w:p>
      <w:pPr>
        <w:ind w:left="1300" w:right="320" w:hanging="320"/>
        <w:spacing w:after="0" w:line="263"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FortiAnalyzer</w:t>
      </w:r>
      <w:r>
        <w:rPr>
          <w:rFonts w:ascii="Arial" w:cs="Arial" w:eastAsia="Arial" w:hAnsi="Arial"/>
          <w:sz w:val="18"/>
          <w:szCs w:val="18"/>
          <w:color w:val="auto"/>
        </w:rPr>
        <w:t>—Our FortiAnalyzer family of products provides centralized network logging, analyzing and reporting solutions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securely aggregate content and log data from our FortiGate devices, other Fortinet products and third-party devices to enable network logging, analysis and reporting.</w:t>
      </w:r>
    </w:p>
    <w:p>
      <w:pPr>
        <w:spacing w:after="0" w:line="210" w:lineRule="exact"/>
        <w:rPr>
          <w:rFonts w:ascii="Arial" w:cs="Arial" w:eastAsia="Arial" w:hAnsi="Arial"/>
          <w:sz w:val="18"/>
          <w:szCs w:val="18"/>
          <w:color w:val="auto"/>
        </w:rPr>
      </w:pPr>
    </w:p>
    <w:p>
      <w:pPr>
        <w:ind w:left="1300" w:right="180" w:hanging="320"/>
        <w:spacing w:after="0" w:line="286" w:lineRule="auto"/>
        <w:tabs>
          <w:tab w:leader="none" w:pos="1295" w:val="left"/>
        </w:tabs>
        <w:numPr>
          <w:ilvl w:val="0"/>
          <w:numId w:val="6"/>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FortiAP</w:t>
      </w:r>
      <w:r>
        <w:rPr>
          <w:rFonts w:ascii="Arial" w:cs="Arial" w:eastAsia="Arial" w:hAnsi="Arial"/>
          <w:sz w:val="17"/>
          <w:szCs w:val="17"/>
          <w:color w:val="auto"/>
        </w:rPr>
        <w:t>—Our FortiAP product family provides secure wireless networking solutions. FortiAPs allow a variety of management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from the cloud and directly from our FortiGate firewall product. FortiAPs create a scalable and secure access layer for connecting wireless devices such as computers, laptops, cell phones and tablets, as well as IoT devices.</w:t>
      </w:r>
    </w:p>
    <w:p>
      <w:pPr>
        <w:spacing w:after="0" w:line="192" w:lineRule="exact"/>
        <w:rPr>
          <w:rFonts w:ascii="Arial" w:cs="Arial" w:eastAsia="Arial" w:hAnsi="Arial"/>
          <w:sz w:val="17"/>
          <w:szCs w:val="17"/>
          <w:i w:val="1"/>
          <w:iCs w:val="1"/>
          <w:color w:val="auto"/>
        </w:rPr>
      </w:pPr>
    </w:p>
    <w:p>
      <w:pPr>
        <w:ind w:left="1300" w:right="60" w:hanging="320"/>
        <w:spacing w:after="0" w:line="311" w:lineRule="auto"/>
        <w:tabs>
          <w:tab w:leader="none" w:pos="129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FortiClient</w:t>
      </w:r>
      <w:r>
        <w:rPr>
          <w:rFonts w:ascii="Arial" w:cs="Arial" w:eastAsia="Arial" w:hAnsi="Arial"/>
          <w:sz w:val="16"/>
          <w:szCs w:val="16"/>
          <w:color w:val="auto"/>
        </w:rPr>
        <w:t>—Our FortiClient provides advanced endpoint protection with pattern-based anti-malware, behavior-based exploit protection,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web-filtering and an application firewall. FortiClient integrates with FortiSandbox to detect zero-day threats and custom malware. FortiClient also provides secure remote access with built-in VPN, single-sign-on and two-factor authentication for added security.</w:t>
      </w:r>
    </w:p>
    <w:p>
      <w:pPr>
        <w:spacing w:after="0" w:line="175" w:lineRule="exact"/>
        <w:rPr>
          <w:rFonts w:ascii="Arial" w:cs="Arial" w:eastAsia="Arial" w:hAnsi="Arial"/>
          <w:sz w:val="16"/>
          <w:szCs w:val="16"/>
          <w:b w:val="1"/>
          <w:bCs w:val="1"/>
          <w:i w:val="1"/>
          <w:iCs w:val="1"/>
          <w:color w:val="auto"/>
        </w:rPr>
      </w:pPr>
    </w:p>
    <w:p>
      <w:pPr>
        <w:jc w:val="both"/>
        <w:ind w:left="1300" w:right="260" w:hanging="320"/>
        <w:spacing w:after="0" w:line="263" w:lineRule="auto"/>
        <w:tabs>
          <w:tab w:leader="none" w:pos="129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FortiEDR/XDR</w:t>
      </w:r>
      <w:r>
        <w:rPr>
          <w:rFonts w:ascii="Arial" w:cs="Arial" w:eastAsia="Arial" w:hAnsi="Arial"/>
          <w:sz w:val="18"/>
          <w:szCs w:val="18"/>
          <w:color w:val="auto"/>
        </w:rPr>
        <w:t>—Our FortiEDR/XDR is an endpoint protection solution that provides both machine-learning anti-malware protection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remediation. FortiEDR/XDR supports broad OS coverage workstations, servers, and virtual machines, including legacy operating and embedded systems.</w:t>
      </w:r>
    </w:p>
    <w:p>
      <w:pPr>
        <w:spacing w:after="0" w:line="210" w:lineRule="exact"/>
        <w:rPr>
          <w:rFonts w:ascii="Arial" w:cs="Arial" w:eastAsia="Arial" w:hAnsi="Arial"/>
          <w:sz w:val="18"/>
          <w:szCs w:val="18"/>
          <w:b w:val="1"/>
          <w:bCs w:val="1"/>
          <w:i w:val="1"/>
          <w:iCs w:val="1"/>
          <w:color w:val="auto"/>
        </w:rPr>
      </w:pPr>
    </w:p>
    <w:p>
      <w:pPr>
        <w:ind w:left="1300" w:hanging="320"/>
        <w:spacing w:after="0" w:line="273" w:lineRule="auto"/>
        <w:tabs>
          <w:tab w:leader="none" w:pos="129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FortiGate-VM</w:t>
      </w:r>
      <w:r>
        <w:rPr>
          <w:rFonts w:ascii="Arial" w:cs="Arial" w:eastAsia="Arial" w:hAnsi="Arial"/>
          <w:sz w:val="17"/>
          <w:szCs w:val="17"/>
          <w:color w:val="auto"/>
        </w:rPr>
        <w:t>— FortiGate-VM extends the Fortinet Security Fabric through the cloud on-ramp into the cloud, enabling customers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 security-driven networking within the cloud and between clouds and hybrid clouds. FortiGate-VM is powered by Fortinet vSPUs to deliver accelerated security and performance with minimal impact to performance. Our cloud networking solution enables better, more secure application experiences for users and branch offices by providing for encrypted data transports, granular segmentation and application-layer protection against advanced threats, and seamless overlay network with uniform policies across multi-clouds. FortiGate-VM is available for all major cloud providers, hypervisors and software-defined network (“SDN”) platforms.</w:t>
      </w:r>
    </w:p>
    <w:p>
      <w:pPr>
        <w:spacing w:after="0" w:line="204" w:lineRule="exact"/>
        <w:rPr>
          <w:rFonts w:ascii="Arial" w:cs="Arial" w:eastAsia="Arial" w:hAnsi="Arial"/>
          <w:sz w:val="17"/>
          <w:szCs w:val="17"/>
          <w:color w:val="auto"/>
        </w:rPr>
      </w:pPr>
    </w:p>
    <w:p>
      <w:pPr>
        <w:jc w:val="both"/>
        <w:ind w:left="1300" w:right="480" w:hanging="320"/>
        <w:spacing w:after="0" w:line="263"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FortiMail</w:t>
      </w:r>
      <w:r>
        <w:rPr>
          <w:rFonts w:ascii="Arial" w:cs="Arial" w:eastAsia="Arial" w:hAnsi="Arial"/>
          <w:sz w:val="18"/>
          <w:szCs w:val="18"/>
          <w:color w:val="auto"/>
        </w:rPr>
        <w:t>—Our FortiMail product family provides secure email gateway solutions. FortiMail utilizes the technologies and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from FortiGuard Labs to deliver protection against threats that use email as an attack vector. FortiMail also integrates data protection capabilities to avoid data loss.</w:t>
      </w:r>
    </w:p>
    <w:p>
      <w:pPr>
        <w:spacing w:after="0" w:line="210" w:lineRule="exact"/>
        <w:rPr>
          <w:rFonts w:ascii="Arial" w:cs="Arial" w:eastAsia="Arial" w:hAnsi="Arial"/>
          <w:sz w:val="18"/>
          <w:szCs w:val="18"/>
          <w:color w:val="auto"/>
        </w:rPr>
      </w:pPr>
    </w:p>
    <w:p>
      <w:pPr>
        <w:ind w:left="1300" w:right="80" w:hanging="320"/>
        <w:spacing w:after="0" w:line="259"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FortiManager</w:t>
      </w:r>
      <w:r>
        <w:rPr>
          <w:rFonts w:ascii="Arial" w:cs="Arial" w:eastAsia="Arial" w:hAnsi="Arial"/>
          <w:sz w:val="18"/>
          <w:szCs w:val="18"/>
          <w:color w:val="auto"/>
        </w:rPr>
        <w:t>—Our FortiManager family of products provides a central and scalable management solution for our FortiGate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software updates, configuration, policy settings and security updates. FortiManager facilitates the coordination of policy-based provisioning, device configuration and operating system revision management, as well as network security monitoring and device control.</w:t>
      </w:r>
    </w:p>
    <w:p>
      <w:pPr>
        <w:spacing w:after="0" w:line="213" w:lineRule="exact"/>
        <w:rPr>
          <w:rFonts w:ascii="Arial" w:cs="Arial" w:eastAsia="Arial" w:hAnsi="Arial"/>
          <w:sz w:val="18"/>
          <w:szCs w:val="18"/>
          <w:color w:val="auto"/>
        </w:rPr>
      </w:pPr>
    </w:p>
    <w:p>
      <w:pPr>
        <w:ind w:left="1300" w:right="140" w:hanging="320"/>
        <w:spacing w:after="0" w:line="25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FortiSandbox</w:t>
      </w:r>
      <w:r>
        <w:rPr>
          <w:rFonts w:ascii="Arial" w:cs="Arial" w:eastAsia="Arial" w:hAnsi="Arial"/>
          <w:sz w:val="18"/>
          <w:szCs w:val="18"/>
          <w:color w:val="auto"/>
        </w:rPr>
        <w:t>—Our FortiSandbox technology delivers proactive detection and mitigation with the ability to generate a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protection capability. Available in both hardware and cloud-based form, the FortiSandbox subjects suspicious code to a set of multi-layer protection techniques, culminating in execution within an operating system, allowing real-time behavioral analysis to be performed in a secure environment. When malicious code is identified, a signature can be generated locally for distribution across the Fortinet Security Fabric cybersecurity mesh platform.</w:t>
      </w:r>
    </w:p>
    <w:p>
      <w:pPr>
        <w:spacing w:after="0" w:line="214" w:lineRule="exact"/>
        <w:rPr>
          <w:rFonts w:ascii="Arial" w:cs="Arial" w:eastAsia="Arial" w:hAnsi="Arial"/>
          <w:sz w:val="18"/>
          <w:szCs w:val="18"/>
          <w:color w:val="auto"/>
        </w:rPr>
      </w:pPr>
    </w:p>
    <w:p>
      <w:pPr>
        <w:ind w:left="1300" w:right="120" w:hanging="320"/>
        <w:spacing w:after="0" w:line="286" w:lineRule="auto"/>
        <w:tabs>
          <w:tab w:leader="none" w:pos="1295" w:val="left"/>
        </w:tabs>
        <w:numPr>
          <w:ilvl w:val="0"/>
          <w:numId w:val="6"/>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FortiSwitch</w:t>
      </w:r>
      <w:r>
        <w:rPr>
          <w:rFonts w:ascii="Arial" w:cs="Arial" w:eastAsia="Arial" w:hAnsi="Arial"/>
          <w:sz w:val="17"/>
          <w:szCs w:val="17"/>
          <w:color w:val="auto"/>
        </w:rPr>
        <w:t>—Our FortiSwitch product family provides secure switching solutions that can be deployed in traditional network switching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with Layer 2 or Layer 3 access control features. FortiSwitch creates a scalable and secure access layer for customers to connect their end devices, such as computers and laptops, as well as to expand the field of IoT devices.</w:t>
      </w:r>
    </w:p>
    <w:p>
      <w:pPr>
        <w:spacing w:after="0" w:line="192" w:lineRule="exact"/>
        <w:rPr>
          <w:rFonts w:ascii="Arial" w:cs="Arial" w:eastAsia="Arial" w:hAnsi="Arial"/>
          <w:sz w:val="17"/>
          <w:szCs w:val="17"/>
          <w:i w:val="1"/>
          <w:iCs w:val="1"/>
          <w:color w:val="auto"/>
        </w:rPr>
      </w:pPr>
    </w:p>
    <w:p>
      <w:pPr>
        <w:jc w:val="both"/>
        <w:ind w:left="1300" w:right="200" w:hanging="320"/>
        <w:spacing w:after="0" w:line="259"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FortiToken</w:t>
      </w:r>
      <w:r>
        <w:rPr>
          <w:rFonts w:ascii="Arial" w:cs="Arial" w:eastAsia="Arial" w:hAnsi="Arial"/>
          <w:sz w:val="18"/>
          <w:szCs w:val="18"/>
          <w:color w:val="auto"/>
        </w:rPr>
        <w:t>—Our FortiToken allows organizations to implement two-factor authentication to better safeguard systems, assets and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two-factor authentication, a password is used along with a security token and authentication server to provide seamless yet highly secured access between users and applications. Authorized employees can access company resources safely using a variety of devices, ranging from laptops to mobile phones.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200" w:hanging="320"/>
        <w:spacing w:after="0" w:line="263" w:lineRule="auto"/>
        <w:tabs>
          <w:tab w:leader="none" w:pos="129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FortiWeb</w:t>
      </w:r>
      <w:r>
        <w:rPr>
          <w:rFonts w:ascii="Arial" w:cs="Arial" w:eastAsia="Arial" w:hAnsi="Arial"/>
          <w:sz w:val="18"/>
          <w:szCs w:val="18"/>
          <w:color w:val="auto"/>
        </w:rPr>
        <w:t>—Our FortiWeb product family provides web application firewall solutions, including internet protocol (“IP”) reputation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anti-botnet security, distributed denial-of-service protection, protocol validation, application attack signatures and deep learning AI to protect applications against a wide range of threats.</w:t>
      </w:r>
    </w:p>
    <w:p>
      <w:pPr>
        <w:spacing w:after="0" w:line="211" w:lineRule="exact"/>
        <w:rPr>
          <w:sz w:val="20"/>
          <w:szCs w:val="20"/>
          <w:color w:val="auto"/>
        </w:rPr>
      </w:pPr>
    </w:p>
    <w:p>
      <w:pPr>
        <w:jc w:val="both"/>
        <w:ind w:right="380" w:firstLine="648"/>
        <w:spacing w:after="0" w:line="248" w:lineRule="auto"/>
        <w:rPr>
          <w:sz w:val="20"/>
          <w:szCs w:val="20"/>
          <w:color w:val="auto"/>
        </w:rPr>
      </w:pPr>
      <w:r>
        <w:rPr>
          <w:rFonts w:ascii="Arial" w:cs="Arial" w:eastAsia="Arial" w:hAnsi="Arial"/>
          <w:sz w:val="18"/>
          <w:szCs w:val="18"/>
          <w:color w:val="auto"/>
        </w:rPr>
        <w:t>The products listed above are available in multiple form factors, such as hardware, virtual machine, cloud or software-as-a-service (“SaaS”), except for FortiSwitch, FortiAP and FortiExtender, which are available as hardware appliances only and FortiGate-VM and FortiEDR/XDR which are available as virtual solutions only.</w:t>
      </w:r>
    </w:p>
    <w:p>
      <w:pPr>
        <w:spacing w:after="0" w:line="20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the third quarter of 2021, we closed an acquisition of 75% of equity interests in Alaxala Networks Corporation (“Alaxala”), a privately held network hardware equipment company in Japan, to help address the increasing need for secure switches integrated with FortiGate firewalls and Security Fabric functionality, and, over time, to innovate and rebrand certain of Alaxala’s switches to offer a broader suite of secure switches globally. In the first quarter of 2021, we acquired ShieldX Networks Inc. (“ShieldX”), a provider of a security platform focusing on protecting multi-cloud data centers from the risk of lateral movement that can lead to attacks such as ransomware, data loss and service disruption.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Security requirements are dynamic due to the constantly changing nature of threats. Our FortiGuard security subscription services are designed to deliver threat detection and prevention capabilities to end-customers worldwide as threats evolve. Our FortiGuard Labs global threat research team identifies emerging threats, collects threat samples, and replicates, reviews, characterizes and collates attack data through the use of AI, automation and original research. Based on this research, we develop updates for virus signatures, attack definitions, scanning engines and other security solution components to distribute to end-customers. FortiGuard functionality varies depending on the FortiGate and non-FortiGate products, and will typically include one or more of the following functions: application control, antivirus, intrusion prevention, web filtering, anti-spam, VPN functions, email image analysis, vulnerability management, database functions, web functions, advanced threat protection, sandboxing and domain and IP reputation services.</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End-customers purchase FortiGuard security subscription services in advance, typically with terms of one to five years. We provide FortiGuard security subscription services 24 hours a day, seven days a week.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39" w:lineRule="exact"/>
        <w:rPr>
          <w:sz w:val="20"/>
          <w:szCs w:val="20"/>
          <w:color w:val="auto"/>
        </w:rPr>
      </w:pPr>
    </w:p>
    <w:p>
      <w:pPr>
        <w:ind w:right="160" w:firstLine="648"/>
        <w:spacing w:after="0"/>
        <w:rPr>
          <w:sz w:val="20"/>
          <w:szCs w:val="20"/>
          <w:color w:val="auto"/>
        </w:rPr>
      </w:pPr>
      <w:r>
        <w:rPr>
          <w:rFonts w:ascii="Arial" w:cs="Arial" w:eastAsia="Arial" w:hAnsi="Arial"/>
          <w:sz w:val="17"/>
          <w:szCs w:val="17"/>
          <w:color w:val="auto"/>
        </w:rPr>
        <w:t>Our FortiCare support services portfolio includes technical support, FortiOS updates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In addition to our technical support services, we offer a range of advanced services, including premium support, professional services and expedited warranty replacement.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Bundles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sell FortiGuard and FortiCare services as bundles, consolidating security services into packages that are appropriate for different use cases or end-customers.</w:t>
      </w:r>
    </w:p>
    <w:p>
      <w:pPr>
        <w:spacing w:after="0" w:line="197" w:lineRule="exact"/>
        <w:rPr>
          <w:sz w:val="20"/>
          <w:szCs w:val="20"/>
          <w:color w:val="auto"/>
        </w:rPr>
      </w:pPr>
    </w:p>
    <w:p>
      <w:pPr>
        <w:ind w:left="1300" w:right="80" w:hanging="320"/>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Advanced Threat Protection</w:t>
      </w:r>
      <w:r>
        <w:rPr>
          <w:rFonts w:ascii="Arial" w:cs="Arial" w:eastAsia="Arial" w:hAnsi="Arial"/>
          <w:sz w:val="18"/>
          <w:szCs w:val="18"/>
          <w:color w:val="auto"/>
        </w:rPr>
        <w:t>—Our Advanced Threat Protection bundle includes antivirus, data sanitation sandbox, intrusion prevention,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virus outbreak protection, mobile security, application control, IP reputation and anti-botnet security, along with FortiCare support services.</w:t>
      </w:r>
    </w:p>
    <w:p>
      <w:pPr>
        <w:spacing w:after="0" w:line="197" w:lineRule="exact"/>
        <w:rPr>
          <w:rFonts w:ascii="Arial" w:cs="Arial" w:eastAsia="Arial" w:hAnsi="Arial"/>
          <w:sz w:val="18"/>
          <w:szCs w:val="18"/>
          <w:color w:val="auto"/>
        </w:rPr>
      </w:pPr>
    </w:p>
    <w:p>
      <w:pPr>
        <w:ind w:left="1300" w:right="440" w:hanging="320"/>
        <w:spacing w:after="0" w:line="274" w:lineRule="auto"/>
        <w:tabs>
          <w:tab w:leader="none" w:pos="129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Unified Threat Protection</w:t>
      </w:r>
      <w:r>
        <w:rPr>
          <w:rFonts w:ascii="Arial" w:cs="Arial" w:eastAsia="Arial" w:hAnsi="Arial"/>
          <w:sz w:val="17"/>
          <w:szCs w:val="17"/>
          <w:color w:val="auto"/>
        </w:rPr>
        <w:t>—Our Unified Threat Protection bundle includes the Advanced Threat Protection security services noted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as well as intrusion prevention, virus outbreak protection, web filtering and FortiCare support services.</w:t>
      </w:r>
    </w:p>
    <w:p>
      <w:pPr>
        <w:spacing w:after="0" w:line="174" w:lineRule="exact"/>
        <w:rPr>
          <w:rFonts w:ascii="Arial" w:cs="Arial" w:eastAsia="Arial" w:hAnsi="Arial"/>
          <w:sz w:val="17"/>
          <w:szCs w:val="17"/>
          <w:color w:val="auto"/>
        </w:rPr>
      </w:pPr>
    </w:p>
    <w:p>
      <w:pPr>
        <w:ind w:left="1300" w:right="620" w:hanging="320"/>
        <w:spacing w:after="0" w:line="246"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Protection</w:t>
      </w:r>
      <w:r>
        <w:rPr>
          <w:rFonts w:ascii="Arial" w:cs="Arial" w:eastAsia="Arial" w:hAnsi="Arial"/>
          <w:sz w:val="18"/>
          <w:szCs w:val="18"/>
          <w:color w:val="auto"/>
        </w:rPr>
        <w:t>—Our Enterprise Protection bundle includes the Unified Threat Protection services noted above,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control systems, security rating, along with enhanced FortiCare support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300" w:right="40" w:hanging="320"/>
        <w:spacing w:after="0" w:line="235"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Small Medium Business – </w:t>
      </w:r>
      <w:r>
        <w:rPr>
          <w:rFonts w:ascii="Arial" w:cs="Arial" w:eastAsia="Arial" w:hAnsi="Arial"/>
          <w:sz w:val="18"/>
          <w:szCs w:val="18"/>
          <w:color w:val="auto"/>
        </w:rPr>
        <w:t>Our Small Medium Business bundle includes the Unified Threat Protection services noted above,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FortiGate Cloud which provides cloud-based management, reporting, and analytics for FortiGates along with enhanced FortiCare support services.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security architects for implementations and remote, cloud-based incident response (“IR”).</w:t>
      </w:r>
    </w:p>
    <w:p>
      <w:pPr>
        <w:spacing w:after="0" w:line="19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TAMs and REs are dedicated support engineers available to help identify and eliminate issues before problems arise. Each TAM and RE acts as a single point of contact and customer advocate within Fortinet, offering a deep understanding of our customers’ businesses and security requirements.</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professional services consultants and security architects help to formulate customer-specific security strategies, develop roadmaps for securing digital initiatives and design product deployments. They work closely with end-customers to implement our products according to design, utilizing network analysis tools, traffic simulation software and scripts.</w:t>
      </w:r>
    </w:p>
    <w:p>
      <w:pPr>
        <w:spacing w:after="0" w:line="197"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Fortinet also offers remote, cloud-based IR and monitoring services to help customers identify, remediate and understand compromises. This service leverages our FortiEDR capabilities either as part of a premium FortiEDR subscription for continuous monitoring or alternatively, can be deployed to help deliver IR services on a per incident basis.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3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We offer training services to our end-customers and channel partners through our training team and authorized training partners. We have also implemented a training certification program, Network Security Expert, to help ensure an understanding of our products and services. Since 2020, Fortinet also offers a number of free online training courses to help address prevalent industry-wide cybersecurity skills gaps and shortages.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service providers and managed security service providers (“MSSPs”), who, in turn, sell products and/or services to end-customers. At times, we also sell directly to large service providers and major systems integrators who may sell to our end-customers or use our products and services to provide hosted solutions to other enterprises. Our end-customers are located in over 100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as well as other Fortinet Security Fabric cybersecurity mesh platform products. Customers may also access our products via the cloud through certain cloud providers such as Alibaba Cloud, Amazon Web Services, Google Cloud, IBM Cloud, Microsoft Azure and Oracle Cloud. Often, our customers also purchase our FortiGuard security subscription services and FortiCare technical support services.</w:t>
      </w:r>
    </w:p>
    <w:p>
      <w:pPr>
        <w:spacing w:after="0" w:line="21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2021, Exclusive Networks Group (“Exclusive”) and Ingram Micro Inc. (“Ingram Micro”) accounted for 31% and 12% of total revenue, respectively. During 2020, Exclusive and Ingram Micro accounted for 30% and 10% of total revenue, respectively. During 2019, Exclusive and Ingram Micro accounted for 31% and 11% of total revenue,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9" w:lineRule="exact"/>
        <w:rPr>
          <w:sz w:val="20"/>
          <w:szCs w:val="20"/>
          <w:color w:val="auto"/>
        </w:rPr>
      </w:pPr>
    </w:p>
    <w:p>
      <w:pPr>
        <w:ind w:right="280" w:firstLine="648"/>
        <w:spacing w:after="0" w:line="231" w:lineRule="auto"/>
        <w:rPr>
          <w:sz w:val="20"/>
          <w:szCs w:val="20"/>
          <w:color w:val="auto"/>
        </w:rPr>
      </w:pPr>
      <w:r>
        <w:rPr>
          <w:rFonts w:ascii="Arial" w:cs="Arial" w:eastAsia="Arial" w:hAnsi="Arial"/>
          <w:sz w:val="18"/>
          <w:szCs w:val="18"/>
          <w:color w:val="auto"/>
        </w:rPr>
        <w:t>We primarily sell our products and services through a two-tier distribution model. We sell to distributors that sell to resellers and to service providers and MSSPs, who, in turn, sell products and/or services to end-customers. In certain cases, we sell directly to large service providers and major systems integrators. We work with many technology distributors, including Arrow Electronics, Inc., Exclusive, Ingram Micro and TD Synnex (formerly Tech Data Corporation and Synnex Corporation, separately).</w:t>
      </w:r>
    </w:p>
    <w:p>
      <w:pPr>
        <w:spacing w:after="0" w:line="21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100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6"/>
          <w:szCs w:val="16"/>
          <w:color w:val="auto"/>
        </w:rPr>
        <w:t>Our marketing strategy is focused on building our brand, driving thought leadership with emphasis on the criticality of cybersecurity platform adoption and the convergence of security and networking as well as driving end-customer demand for our security solutions. We use a combination of internal marketing professionals and a network of regional and global channel partners. Our internal marketing organization is responsible for messaging, branding, demand generation, product marketing,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206"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In 2021, we continued to invest in sales and marketing resources, particularly in the enterprise market where we believe there is an opportunity to expand our business. We intend to continue to make investments in sales and marketing resources, which are critical to support our growth.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outsource the manufacturing of our security appliance products to a variety of contract manufacturers and original design manufacturers. Our current manufacturing partners include ADLINK Technology, Inc. (“ADLINK”), IBASE Technology, Inc. (“IBASE”), Micro-Star International Co. (“Micro-Star”), Senao Networks, Inc. (“Senao”), Wistron Corporation (“Wistron”) and a number of other manufacturers. Approximately 83%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key to the performance of our appliances, are built by contract manufacturers including Toshiba America Electronic Components, Inc. (“Toshiba”) and Renesas Electronics America, Inc. (“Renesas”). These contract manufacturers use foundries in Taiwan and Japan operated by either Taiwan Semiconductor Manufacturing Company Limited (“TSMC”) or by the contract manufacturer itself.</w:t>
      </w:r>
    </w:p>
    <w:p>
      <w:pPr>
        <w:spacing w:after="0" w:line="21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components included in our products are sourced from various suppliers by us or, more frequently, by our contract manufacturers. Some of the components important to our business, including certain CPUs from Intel Corporation (“Intel”), network chips from Broadcom Inc. (“Broadcom”), Marvell Technology Group Ltd. (“Marvell”) and Intel, and memory devices from Intel, ADATA Technology Co., Ltd. (“ADATA”), OCZ Technology Group, Inc., Samsung Electronics Co., Ltd. (“Samsung”), and Western Digital Technologies, Inc. (“Western Digital”), are available from limited or sole sources of supply.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 long-term contracts related to the manufacturing of our ASICs or other components that guarantee any capacity or pricing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9"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We focus our research and development efforts on developing new hardware and software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or new features, components selection, timely implementation of product design and development, product performance, quality, ease of use, costs of development, bill of materials, effective manufacturing and assembly processes and sales and marketing.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We periodically have discussions with third parties regarding licensing Fortinet’s intellectual property (“IP”) and have sometimes taken legal action against competitors to protect our IP, and as a result third parties have paid us fees in return for licenses or covenants-not-to-sue related to Fortinet IP. As of December 31, 2021, we had 1,255 U.S. and foreign-issued patents and 254 pending U.S. and foreign patent applications. We also license software from third parties for inclusion in our products, including open source software and other software.</w:t>
      </w:r>
    </w:p>
    <w:p>
      <w:pPr>
        <w:spacing w:after="0" w:line="20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Many of the laws and regulations that are or may be applicable to our business are changing or being tested in courts and could be interpreted in ways that could adversely impact our business. In addition, the application and interpretation of these laws and regulations often are uncertain, particularly in the industry in which we operate. We believe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For information regarding seasonality in our sales, see the section entitled “Management’s Discussion and Analysis of Financial Condition and Results of Operations—Seasonality, Cyclicality and Quarterly Revenue Trends” in Part II, Item 7 of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security performance, throughput, features, effectiveness, interoperability and reliability;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 and integration of new networking and security features and technological expertise;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and support across varied and complex customer segments and use cases;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financial stability;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factor of the solution;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competitive differentiators.</w:t>
      </w:r>
    </w:p>
    <w:p>
      <w:pPr>
        <w:spacing w:after="0" w:line="224"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Among others, our competitors include Barracuda Networks, Inc. (“Barracuda”), Check Point Software Technologies Ltd. (“Check Point”), Cisco Systems, Inc. (“Cisco”), CrowdStrike Holdings, Inc. (“CrowdStrike”), F5 Networks, Inc. (“F5 Networks”), Forcepoint LLC (“Forcepoint”), Imperva, Inc. (“Imperva”), Juniper Networks, Inc. (“Juniper”), Mandiant, Inc. (“Mandiant”), McAfee, LLC (“McAfee”), Palo Alto Networks, Inc. (“Palo Alto Networks”), Proofpoint, Inc. (“Proofpoint”), SonicWALL, Inc. (“SonicWALL”), Sophos Group Plc (“Sophos”), Trend Micro Incorporated (“Trend Micro”) and Zscaler, Inc. (“Zscaler”).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believe we compete favorably based on our products’ security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functionalities to our products.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Conditions in our markets could change rapidly and significantly as a result of technological advancements, market consolidation, supply chain</w:t>
      </w:r>
    </w:p>
    <w:p>
      <w:pPr>
        <w:spacing w:after="0" w:line="46"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constraints, price list or discount changes or inflation.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2021, our total headcount was 10,195 employees, approximately 30% of whom were employed in the United States and approximately 70% of whom were employed outside of the United States.</w:t>
      </w:r>
    </w:p>
    <w:p>
      <w:pPr>
        <w:spacing w:after="0" w:line="19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20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As a global company, much of our success is rooted in the diversity of our teams and our commitment to diversity, equity and inclusion. Such commitment starts at the top, with a highly skilled and diverse board of directors. As of December 31, 2021, women represented one-third of the members of our board of directors, and approximately 56% of our board of directors was from underrepresented communities as defined by California’s Assembly Bill 979. We value diversity at all levels and continue to focus on enhancing our diversity, equity and inclusion initiatives across our workforce.</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also committed to community engagement and social responsibility with regards to our employees and beyond, and our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21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Fortinet’s core values of openness, teamwork and innovation.</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are committed to providing our employees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Early in the COVID-19 pandemic, our Chief Executive Officer committed to having no COVID-related layoffs, and, throughout the pandemic, not only have we kept that promise, we have continued hiring at a fast pace and have continued to help support our employees and their families through this challenging time. During the pandemic, we have taken a flexible approach to help our employees manage their work and personal responsibilities, with a focus on employee wellbeing, health and safety.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225" w:lineRule="exact"/>
        <w:rPr>
          <w:sz w:val="20"/>
          <w:szCs w:val="20"/>
          <w:color w:val="auto"/>
        </w:rPr>
      </w:pPr>
    </w:p>
    <w:p>
      <w:pPr>
        <w:ind w:right="60" w:firstLine="648"/>
        <w:spacing w:after="0" w:line="228" w:lineRule="auto"/>
        <w:rPr>
          <w:sz w:val="20"/>
          <w:szCs w:val="20"/>
          <w:color w:val="auto"/>
        </w:rPr>
      </w:pPr>
      <w:r>
        <w:rPr>
          <w:rFonts w:ascii="Arial" w:cs="Arial" w:eastAsia="Arial" w:hAnsi="Arial"/>
          <w:sz w:val="18"/>
          <w:szCs w:val="18"/>
          <w:color w:val="auto"/>
        </w:rPr>
        <w:t>We are committed to responsible environmental, social and governance (“ESG”) practices. This commitment starts with the Social Responsibility Committee of our board of directors providing oversight of our Corporate Social Responsibility (“CSR”) strategy, initiatives and execution related to ESG matters. Our senior leadership sponsors the integration of CSR priorities throughout our business operations. In addition, our Global Head of Sustainability and CSR, along with our internal cross-functional employee CSR Committee, engage with internal and external stakeholders to lead CSR execution, communications and disclosure.</w:t>
      </w:r>
    </w:p>
    <w:p>
      <w:pPr>
        <w:spacing w:after="0" w:line="218"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We recognize climate change is a global crisis and are committed to doing our part to reduce negative environmental impact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setting clear goals, engaging in coalitions and collaborating across our value chain. We have engaged with a consultancy to measure our Scope 1 and Scope 2 emissions and developed reduction plans based on science-based targets pathways. We also have begun to conduct an inventory of our Scope 3 emissions to look at the decarbonization of our broader value chain. Those actions align with our roadmap on helping do our part to mitigate climate change, with the aim of implementing a framework that aligns with the Task Force on Climate Related Financial Disclosures (“TCFD”).</w:t>
      </w:r>
    </w:p>
    <w:p>
      <w:pPr>
        <w:spacing w:after="0" w:line="186" w:lineRule="exact"/>
        <w:rPr>
          <w:sz w:val="20"/>
          <w:szCs w:val="20"/>
          <w:color w:val="auto"/>
        </w:rPr>
      </w:pPr>
    </w:p>
    <w:p>
      <w:pPr>
        <w:ind w:right="360" w:firstLine="648"/>
        <w:spacing w:after="0" w:line="324" w:lineRule="auto"/>
        <w:rPr>
          <w:sz w:val="20"/>
          <w:szCs w:val="20"/>
          <w:color w:val="auto"/>
        </w:rPr>
      </w:pPr>
      <w:r>
        <w:rPr>
          <w:rFonts w:ascii="Arial" w:cs="Arial" w:eastAsia="Arial" w:hAnsi="Arial"/>
          <w:sz w:val="16"/>
          <w:szCs w:val="16"/>
          <w:color w:val="auto"/>
        </w:rPr>
        <w:t>In November 2021, we publicly committed to a target of carbon neutrality on our Scope 1 and Scope 2 emissions by 2030 and announcing the completion of our new, net-zero building on our Sunnyvale headquarters campus, which was designed to be LEED-Gold certified.</w:t>
      </w:r>
    </w:p>
    <w:p>
      <w:pPr>
        <w:spacing w:after="0" w:line="138" w:lineRule="exact"/>
        <w:rPr>
          <w:sz w:val="20"/>
          <w:szCs w:val="20"/>
          <w:color w:val="auto"/>
        </w:rPr>
      </w:pPr>
    </w:p>
    <w:p>
      <w:pPr>
        <w:ind w:right="20" w:firstLine="648"/>
        <w:spacing w:after="0" w:line="223" w:lineRule="auto"/>
        <w:rPr>
          <w:sz w:val="20"/>
          <w:szCs w:val="20"/>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As discussed above, we prioritized the health and safety of our employees during the COVID-19 pandemic. Through our Global Supplier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of Conduct and Contract Manufacturer agreement, we continued to reach across our supply chain to communicate our expectations regarding human rights, labor standards, business practices and workplace health and safety conditions. We are also committed to building an inclusive, equitable and diverse workforce within our organization and across the security industry, to help empower individuals to reach their full potential. In line with that commitment, we are focused on diversity, equity and inclusion as part of our mission to close the cybersecurity skills gap. Last year, we formalized our Education Outreach Program, which focuses on partnerships across the industry, academia, government and nonprofits to ensure we are helping train women, veterans and other under-represented groups. To support the creation of a cybersecurity-aware society, we published a children’s book designed to further increase cyber awareness among children and extended our free cybersecurity training courses empowering over 100,000 people from over 200 countries and territories to learn from our cyber-security training courses in 2021. We also made a public pledge to train one million people in cybersecurity by 2026.</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Our culture is defined by our commitment to ethics and integrity. We stress the importance of ethical business practices in multiple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ways, such as through our Code of Business Conduct and Ethics, regular compliance training programs and ongoing communications. Reinforcing the importance of our ESG contributions, our board of directors established its Social Responsibility Committee to oversee our objectives, strategy and execution relating to sustainability and CSR, including ESG matters. As part of our regular engagement with our stockholders and our commitment to ESG, including our regular review of our corporate governance structure and evaluation of recent trends in corporate governance, we have evolved our corporate governance practices over time and have, since becoming a public company, implemented the following measures, among others: majority voting standard for uncontested elections of directors, allowing stockholders to call special meetings of our stockholders, declassification of our board of directors, proxy access, and stock ownership guidelines with respect to our non-employee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https://www.sec.gov.</w:t>
      </w:r>
    </w:p>
    <w:p>
      <w:pPr>
        <w:spacing w:after="0" w:line="20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and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right="80" w:hanging="644"/>
        <w:spacing w:after="0" w:line="23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such as the conflict between Russia and Ukraine, terrorism, wars and critical infrastructure attacks;</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20" w:hanging="644"/>
        <w:spacing w:after="0" w:line="24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and may be impacted by the COVID-19 pandemic and supply chain constraints in ways that we are not able to foresee;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pacing w:after="0" w:line="207" w:lineRule="exact"/>
        <w:rPr>
          <w:rFonts w:ascii="Arial" w:cs="Arial" w:eastAsia="Arial" w:hAnsi="Arial"/>
          <w:sz w:val="16"/>
          <w:szCs w:val="16"/>
          <w:color w:val="auto"/>
        </w:rPr>
      </w:pPr>
    </w:p>
    <w:p>
      <w:pPr>
        <w:ind w:left="1300" w:right="160" w:hanging="644"/>
        <w:spacing w:after="0" w:line="24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 market acceptance of our price increases, and our reliance on a concentration of shipments at the end of each quarter;</w:t>
      </w:r>
    </w:p>
    <w:p>
      <w:pPr>
        <w:spacing w:after="0" w:line="210" w:lineRule="exact"/>
        <w:rPr>
          <w:rFonts w:ascii="Arial" w:cs="Arial" w:eastAsia="Arial" w:hAnsi="Arial"/>
          <w:sz w:val="18"/>
          <w:szCs w:val="18"/>
          <w:color w:val="auto"/>
        </w:rPr>
      </w:pPr>
    </w:p>
    <w:p>
      <w:pPr>
        <w:ind w:left="1300" w:right="80" w:hanging="644"/>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143" w:lineRule="exact"/>
        <w:rPr>
          <w:rFonts w:ascii="Arial" w:cs="Arial" w:eastAsia="Arial" w:hAnsi="Arial"/>
          <w:sz w:val="18"/>
          <w:szCs w:val="18"/>
          <w:color w:val="auto"/>
        </w:rPr>
      </w:pPr>
    </w:p>
    <w:p>
      <w:pPr>
        <w:ind w:left="1300" w:hanging="644"/>
        <w:spacing w:after="0" w:line="235"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15" w:lineRule="exact"/>
        <w:rPr>
          <w:rFonts w:ascii="Arial" w:cs="Arial" w:eastAsia="Arial" w:hAnsi="Arial"/>
          <w:sz w:val="18"/>
          <w:szCs w:val="18"/>
          <w:color w:val="auto"/>
        </w:rPr>
      </w:pPr>
    </w:p>
    <w:p>
      <w:pPr>
        <w:jc w:val="both"/>
        <w:ind w:left="1300" w:right="20" w:hanging="644"/>
        <w:spacing w:after="0" w:line="24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195" w:lineRule="exact"/>
        <w:rPr>
          <w:rFonts w:ascii="Arial" w:cs="Arial" w:eastAsia="Arial" w:hAnsi="Arial"/>
          <w:sz w:val="18"/>
          <w:szCs w:val="18"/>
          <w:color w:val="auto"/>
        </w:rPr>
      </w:pPr>
    </w:p>
    <w:p>
      <w:pPr>
        <w:ind w:left="1300" w:right="140" w:hanging="644"/>
        <w:spacing w:after="0" w:line="274" w:lineRule="auto"/>
        <w:tabs>
          <w:tab w:leader="none" w:pos="12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mix of products sold, such as the mix between FortiGate and non-FortiGate solutions, and the mix of revenue between products and services, as well as the degree to which products and services are bundled and sold together for a package price;</w:t>
      </w:r>
    </w:p>
    <w:p>
      <w:pPr>
        <w:spacing w:after="0" w:line="188" w:lineRule="exact"/>
        <w:rPr>
          <w:rFonts w:ascii="Arial" w:cs="Arial" w:eastAsia="Arial" w:hAnsi="Arial"/>
          <w:sz w:val="17"/>
          <w:szCs w:val="17"/>
          <w:color w:val="auto"/>
        </w:rPr>
      </w:pPr>
    </w:p>
    <w:p>
      <w:pPr>
        <w:ind w:left="1300" w:right="460" w:hanging="644"/>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84" w:lineRule="exact"/>
        <w:rPr>
          <w:rFonts w:ascii="Arial" w:cs="Arial" w:eastAsia="Arial" w:hAnsi="Arial"/>
          <w:sz w:val="18"/>
          <w:szCs w:val="18"/>
          <w:color w:val="auto"/>
        </w:rPr>
      </w:pPr>
    </w:p>
    <w:p>
      <w:pPr>
        <w:ind w:left="1300" w:right="280" w:hanging="644"/>
        <w:spacing w:after="0" w:line="24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300" w:right="60"/>
        <w:spacing w:after="0" w:line="307" w:lineRule="auto"/>
        <w:rPr>
          <w:sz w:val="20"/>
          <w:szCs w:val="20"/>
          <w:color w:val="auto"/>
        </w:rPr>
      </w:pPr>
      <w:r>
        <w:rPr>
          <w:rFonts w:ascii="Arial" w:cs="Arial" w:eastAsia="Arial" w:hAnsi="Arial"/>
          <w:sz w:val="16"/>
          <w:szCs w:val="16"/>
          <w:color w:val="auto"/>
        </w:rPr>
        <w:t>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64" w:lineRule="exact"/>
        <w:rPr>
          <w:sz w:val="20"/>
          <w:szCs w:val="20"/>
          <w:color w:val="auto"/>
        </w:rPr>
      </w:pPr>
    </w:p>
    <w:p>
      <w:pPr>
        <w:ind w:left="1300" w:right="10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84" w:lineRule="exact"/>
        <w:rPr>
          <w:rFonts w:ascii="Arial" w:cs="Arial" w:eastAsia="Arial" w:hAnsi="Arial"/>
          <w:sz w:val="18"/>
          <w:szCs w:val="18"/>
          <w:color w:val="auto"/>
        </w:rPr>
      </w:pPr>
    </w:p>
    <w:p>
      <w:pPr>
        <w:ind w:left="1300" w:hanging="644"/>
        <w:spacing w:after="0" w:line="23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and increased competition and unpredictability of timing to close larger enterprise and large organization deals;</w:t>
      </w:r>
    </w:p>
    <w:p>
      <w:pPr>
        <w:spacing w:after="0" w:line="202" w:lineRule="exact"/>
        <w:rPr>
          <w:rFonts w:ascii="Arial" w:cs="Arial" w:eastAsia="Arial" w:hAnsi="Arial"/>
          <w:sz w:val="18"/>
          <w:szCs w:val="18"/>
          <w:color w:val="auto"/>
        </w:rPr>
      </w:pPr>
    </w:p>
    <w:p>
      <w:pPr>
        <w:ind w:left="1300" w:right="20" w:hanging="644"/>
        <w:spacing w:after="0" w:line="253"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spacing w:after="0" w:line="205"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120" w:hanging="644"/>
        <w:spacing w:after="0" w:line="274"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34" w:lineRule="exact"/>
        <w:rPr>
          <w:rFonts w:ascii="Arial" w:cs="Arial" w:eastAsia="Arial" w:hAnsi="Arial"/>
          <w:sz w:val="17"/>
          <w:szCs w:val="17"/>
          <w:color w:val="auto"/>
        </w:rPr>
      </w:pPr>
    </w:p>
    <w:p>
      <w:pPr>
        <w:ind w:left="1300" w:right="440" w:hanging="644"/>
        <w:spacing w:after="0" w:line="246"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backlog levels;</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84" w:lineRule="exact"/>
        <w:rPr>
          <w:rFonts w:ascii="Arial" w:cs="Arial" w:eastAsia="Arial" w:hAnsi="Arial"/>
          <w:sz w:val="18"/>
          <w:szCs w:val="18"/>
          <w:color w:val="auto"/>
        </w:rPr>
      </w:pPr>
    </w:p>
    <w:p>
      <w:pPr>
        <w:ind w:left="1300" w:right="260" w:hanging="644"/>
        <w:spacing w:after="0" w:line="274"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growth rates of the network security market in particular and other security and networking markets, such as SD-WAN, OT, switches, access points and cloud solutions for which we and our competitors sell products and services;</w:t>
      </w:r>
    </w:p>
    <w:p>
      <w:pPr>
        <w:spacing w:after="0" w:line="147" w:lineRule="exact"/>
        <w:rPr>
          <w:rFonts w:ascii="Arial" w:cs="Arial" w:eastAsia="Arial" w:hAnsi="Arial"/>
          <w:sz w:val="17"/>
          <w:szCs w:val="17"/>
          <w:color w:val="auto"/>
        </w:rPr>
      </w:pPr>
    </w:p>
    <w:p>
      <w:pPr>
        <w:ind w:left="1300" w:right="280" w:hanging="644"/>
        <w:spacing w:after="0" w:line="291"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33" w:lineRule="exact"/>
        <w:rPr>
          <w:rFonts w:ascii="Arial" w:cs="Arial" w:eastAsia="Arial" w:hAnsi="Arial"/>
          <w:sz w:val="17"/>
          <w:szCs w:val="17"/>
          <w:color w:val="auto"/>
        </w:rPr>
      </w:pPr>
    </w:p>
    <w:p>
      <w:pPr>
        <w:ind w:left="1300" w:right="200" w:hanging="644"/>
        <w:spacing w:after="0" w:line="291"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deferral of orders from distributors, resellers or end-customers in anticipation of new products or product enhancements announced by us or our competitors; or the acceleration of orders in response to our announced or expected price list increases;</w:t>
      </w:r>
    </w:p>
    <w:p>
      <w:pPr>
        <w:spacing w:after="0" w:line="133" w:lineRule="exact"/>
        <w:rPr>
          <w:rFonts w:ascii="Arial" w:cs="Arial" w:eastAsia="Arial" w:hAnsi="Arial"/>
          <w:sz w:val="17"/>
          <w:szCs w:val="17"/>
          <w:color w:val="auto"/>
        </w:rPr>
      </w:pPr>
    </w:p>
    <w:p>
      <w:pPr>
        <w:ind w:left="1300" w:right="80" w:hanging="644"/>
        <w:spacing w:after="0" w:line="294" w:lineRule="auto"/>
        <w:tabs>
          <w:tab w:leader="none" w:pos="12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right="34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public sector, including the U.S. federal government,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revenues,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66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both increase revenues and manage and control operating expenses in order to maintain or improve our operating margins;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right="40" w:hanging="644"/>
        <w:spacing w:after="0" w:line="248"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that caused by the conflict in Ukraine and any disruption and negative impact on our ability to sell to, ship product to, and support customers in certain regions based on trade restrictions, embargoes and export control law restrictions;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4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6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61"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fixed in nature over the near term. Accordingly, in the event of revenue shortfalls, we are generally unable to mitigate the negative impact on margins in the short term.</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COVID-19 pandemic, including its ongoing variants, could adversely affect our business in a material way, based on, for example, component shortages or negative impact on demand.</w:t>
      </w:r>
    </w:p>
    <w:p>
      <w:pPr>
        <w:spacing w:after="0" w:line="184"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The COVID-19 pandemic, including its ongoing variants, has negatively impacted the global economy, disrupted global supply chains and demand for certain solutions and created significant volatility in, and disruption of, global markets. The extent of the future impact of the COVID-19 pandemic on our operational and financial performance, including on demand for our products and services, our ability to source components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There is a worldwide shortage of various components, impacting many industries, caused in-part by the COVID-19 pandemic. We are experiencing ongoing component shortages, which have resulted in extended lead times of certain products and significant disruption to our production schedule. We also have experienced and expect to continue to experience increased component costs, which may have a negative impact on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COVID-19 pandemic continues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17"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2021 Accelerate sales conferences, and has resulted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 and our operating margins may decline.</w:t>
      </w:r>
    </w:p>
    <w:p>
      <w:pPr>
        <w:spacing w:after="0" w:line="21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We may experience slowing growth, or a decrease, in billings, revenue, operating margin and free cash flow for a number of reasons, including as a result of the COVID-19 pandemic, a slowdown in demand for our products or services, a shift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33% of our total net accounts receivable as of December 31, 2021.</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84" w:lineRule="exact"/>
        <w:rPr>
          <w:sz w:val="20"/>
          <w:szCs w:val="20"/>
          <w:color w:val="auto"/>
        </w:rPr>
      </w:pPr>
    </w:p>
    <w:p>
      <w:pPr>
        <w:ind w:right="160" w:firstLine="648"/>
        <w:spacing w:after="0" w:line="261" w:lineRule="auto"/>
        <w:rPr>
          <w:sz w:val="20"/>
          <w:szCs w:val="20"/>
          <w:color w:val="auto"/>
        </w:rPr>
      </w:pPr>
      <w:r>
        <w:rPr>
          <w:rFonts w:ascii="Arial" w:cs="Arial" w:eastAsia="Arial" w:hAnsi="Arial"/>
          <w:sz w:val="16"/>
          <w:szCs w:val="16"/>
          <w:color w:val="auto"/>
        </w:rPr>
        <w:t>Exclusive accounted for 33%, and 34% of our total net accounts receivable as of December 31, 2021 and 2020, respectively, and six distributors accounted for 68% and 70% of our total net accounts receivable in the aggregate as of December 31, 2021 and 2020, respectively. During 2021, 2020 and 2019, Exclusive accounted for 31%, 30% and 31% of our total revenue, respectively. In addition to other risks associated with the concentration of accounts receivable and revenue from these distributors, Exclusive is a private equity-backed company and we may not have sufficient information to assess its financial condition and, accordingly, if Exclusive were to experience financial difficulties, we might not have advance notice.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Additionally, Exclusive may face liquidity risk or other financial challenges, which may harm our ability to collect on our accounts receivable.</w:t>
      </w:r>
    </w:p>
    <w:p>
      <w:pPr>
        <w:spacing w:after="0" w:line="23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92"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83" w:lineRule="exact"/>
        <w:rPr>
          <w:rFonts w:ascii="Arial" w:cs="Arial" w:eastAsia="Arial" w:hAnsi="Arial"/>
          <w:sz w:val="18"/>
          <w:szCs w:val="18"/>
          <w:color w:val="auto"/>
        </w:rPr>
      </w:pPr>
    </w:p>
    <w:p>
      <w:pPr>
        <w:ind w:left="1300" w:right="20" w:hanging="644"/>
        <w:spacing w:after="0" w:line="274"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188"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FortiGate appliances or our Fortinet Security Fabric cybersecurity mesh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December 31, 2021, we had an aggregate of $988.4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75" w:lineRule="exact"/>
        <w:rPr>
          <w:rFonts w:ascii="Arial" w:cs="Arial" w:eastAsia="Arial" w:hAnsi="Arial"/>
          <w:sz w:val="16"/>
          <w:szCs w:val="16"/>
          <w:color w:val="auto"/>
        </w:rPr>
      </w:pPr>
    </w:p>
    <w:p>
      <w:pPr>
        <w:ind w:left="660" w:right="260" w:firstLine="320"/>
        <w:spacing w:after="0" w:line="308" w:lineRule="auto"/>
        <w:tabs>
          <w:tab w:leader="none" w:pos="13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 under our unsecured revolving credit facility may increase. In addition, any downgrades in our credit ratings may affect our ability to obtain additional financing in the future and may negatively impact the terms of any such financing.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83" w:lineRule="exact"/>
        <w:rPr>
          <w:rFonts w:ascii="Arial" w:cs="Arial" w:eastAsia="Arial" w:hAnsi="Arial"/>
          <w:sz w:val="18"/>
          <w:szCs w:val="18"/>
          <w:color w:val="auto"/>
        </w:rPr>
      </w:pPr>
    </w:p>
    <w:p>
      <w:pPr>
        <w:ind w:left="1300" w:right="40" w:hanging="644"/>
        <w:spacing w:after="0" w:line="228"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8" w:lineRule="exact"/>
        <w:rPr>
          <w:rFonts w:ascii="Arial" w:cs="Arial" w:eastAsia="Arial" w:hAnsi="Arial"/>
          <w:sz w:val="18"/>
          <w:szCs w:val="18"/>
          <w:color w:val="auto"/>
        </w:rPr>
      </w:pPr>
    </w:p>
    <w:p>
      <w:pPr>
        <w:ind w:left="1300" w:right="94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w:t>
      </w:r>
    </w:p>
    <w:p>
      <w:pPr>
        <w:spacing w:after="0" w:line="170" w:lineRule="exact"/>
        <w:rPr>
          <w:rFonts w:ascii="Arial" w:cs="Arial" w:eastAsia="Arial" w:hAnsi="Arial"/>
          <w:sz w:val="18"/>
          <w:szCs w:val="18"/>
          <w:color w:val="auto"/>
        </w:rPr>
      </w:pPr>
    </w:p>
    <w:p>
      <w:pPr>
        <w:ind w:left="1300" w:right="8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0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1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18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2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government has and in the future may require them to make operational changes in order to obtain the necessary approvals to sell into the government;</w:t>
      </w:r>
    </w:p>
    <w:p>
      <w:pPr>
        <w:spacing w:after="0" w:line="197"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jc w:val="both"/>
        <w:ind w:left="1300" w:right="20" w:hanging="644"/>
        <w:spacing w:after="0" w:line="248"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195" w:lineRule="exact"/>
        <w:rPr>
          <w:rFonts w:ascii="Arial" w:cs="Arial" w:eastAsia="Arial" w:hAnsi="Arial"/>
          <w:sz w:val="18"/>
          <w:szCs w:val="18"/>
          <w:color w:val="auto"/>
        </w:rPr>
      </w:pPr>
    </w:p>
    <w:p>
      <w:pPr>
        <w:jc w:val="both"/>
        <w:ind w:left="1300" w:right="20" w:hanging="644"/>
        <w:spacing w:after="0" w:line="235"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U.S. General Service Administration regulations and certain third-party security certifications, and changes to such rules and regulations that may require us to make operational changes in order to obtain the necessary approvals to sell to government agencies.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market for network security products is intensely competitive and dynamic, and we expect competition to continue to intensify. We face many competitors across the different cybersecurity markets. Our competitors include companies such as Barracuda, Check Point, Cisco, CrowdStrike, F5 Networks, Forcepoint, Imperva, Juniper, Mandiant, McAfee, Palo Alto Networks, Proofpoint, SonicWALL, Sophos, Trend Micro and Zscaler.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03"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w:t>
      </w:r>
    </w:p>
    <w:p>
      <w:pPr>
        <w:spacing w:after="0" w:line="213"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global chip shortage caused by the COVID-19 pandemic and other factors affecting manufacturing capacity is having, and we expect to continue to have, an adverse impact on our ability to manage our inventory and to meet product demand in a timely fashion. We expect this shortage will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or malfeasance, inaccurate information or otherwise, may adversely affect our results of operations. The COVID-19 pandemic has resulted in challenges for us to obtain components and inventory, as well as increases to freight and shipping costs, and may result in a material adverse effect on our results of operations.</w:t>
      </w:r>
    </w:p>
    <w:p>
      <w:pPr>
        <w:spacing w:after="0" w:line="20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COVID-19 pandemic impacts on global supply chains are impacting our ability to procure parts required for our hardware appliances. Extended lead times have been introduced in delivering products for customer orders in a timely fashion.</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COVID-19 pandemic has continued to impact global supply chains for many organizations, including us, resulting in shortages of and delays in both raw materials and electronic components such as computer chips. Events in upstream supplies and component shortages are negatively impacting our ability to plan and deliver upon orders received in a timely fashion, and supply chain disruption, component shortages and shipping challenges are increasing our costs. These increased costs have resulted in us increasing the prices of our products in turn; such price increases may result in our products being less price-competitive in the market. If our price increases do not offset our increased costs based on COVID-19, our margins will be negatively impacted.</w:t>
      </w:r>
    </w:p>
    <w:p>
      <w:pPr>
        <w:spacing w:after="0" w:line="2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83% of our hardware is manufactured in Taiwan. Any increase in tensions between China and Taiwan, including threats of military actions or escalation of military activities, could adversely affect our manufacturing operations in Taiwan.</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SPU or ASICs, our business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23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62"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Advanced Micro Devices, Inc. (“AMD”),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capacity in Asia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3"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8"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future price protection adjustments are higher than expected, our future results of operations could be materially and adversely affected.</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84"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0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Moreover, business models based on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7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01"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networks, systems or websites could impair our ability to operate our business, including our ability to provide FortiGuard, FortiCloud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92" w:lineRule="exact"/>
        <w:rPr>
          <w:sz w:val="20"/>
          <w:szCs w:val="20"/>
          <w:color w:val="auto"/>
        </w:rPr>
      </w:pPr>
    </w:p>
    <w:p>
      <w:pPr>
        <w:ind w:right="46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re-engineering could not be accomplished on a timely basis, any of which requirements could adversely affect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December 2021, we entered into an agreement that provided for settlement and dismissal of an existing patent infringement lawsuit and a mutual covenant-not-to-sue for a defined duration of time. Please refer to Note 13. Commitments and Contingencies in Part II, Item 8 of this Annual Report on Form 10-K for additional information.</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84"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example, in 2021, we acquired ShieldX and Alaxala and we made an equity investment in Linksys Holdings, Inc. (“Linksys”).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are, or may in the future, be reflected in our operating results, and we depend on these companies to provide us financial information in a timely manner in order to meet our</w:t>
      </w:r>
    </w:p>
    <w:p>
      <w:pPr>
        <w:spacing w:after="0" w:line="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01" w:lineRule="exact"/>
        <w:rPr>
          <w:sz w:val="20"/>
          <w:szCs w:val="20"/>
          <w:color w:val="auto"/>
        </w:rPr>
      </w:pPr>
    </w:p>
    <w:p>
      <w:pPr>
        <w:ind w:right="340" w:firstLine="648"/>
        <w:spacing w:after="0" w:line="307" w:lineRule="auto"/>
        <w:rPr>
          <w:sz w:val="20"/>
          <w:szCs w:val="20"/>
          <w:color w:val="auto"/>
        </w:rPr>
      </w:pPr>
      <w:r>
        <w:rPr>
          <w:rFonts w:ascii="Arial" w:cs="Arial" w:eastAsia="Arial" w:hAnsi="Arial"/>
          <w:sz w:val="16"/>
          <w:szCs w:val="16"/>
          <w:color w:val="auto"/>
        </w:rPr>
        <w:t>In addition, because we are accounting for our Linksys investment using the equity method of accounting, we are reliant on the accuracy and timeliness of their financial reporting to us. If their financial reporting to us is not accurate and timely, it may result in delays in our financial reporting.</w:t>
      </w:r>
    </w:p>
    <w:p>
      <w:pPr>
        <w:spacing w:after="0" w:line="16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02" w:lineRule="exact"/>
        <w:rPr>
          <w:sz w:val="20"/>
          <w:szCs w:val="20"/>
          <w:color w:val="auto"/>
        </w:rPr>
      </w:pPr>
    </w:p>
    <w:p>
      <w:pPr>
        <w:ind w:right="80" w:firstLine="648"/>
        <w:spacing w:after="0" w:line="239"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44"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have an adverse impact on the costs of components in our products.</w:t>
      </w:r>
    </w:p>
    <w:p>
      <w:pPr>
        <w:spacing w:after="0" w:line="21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9"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expect to incur costs in order to comply with this new requirement.</w:t>
      </w:r>
    </w:p>
    <w:p>
      <w:pPr>
        <w:spacing w:after="0" w:line="192" w:lineRule="exact"/>
        <w:rPr>
          <w:sz w:val="20"/>
          <w:szCs w:val="20"/>
          <w:color w:val="auto"/>
        </w:rPr>
      </w:pPr>
    </w:p>
    <w:p>
      <w:pPr>
        <w:ind w:right="140" w:firstLine="648"/>
        <w:spacing w:after="0" w:line="246" w:lineRule="auto"/>
        <w:rPr>
          <w:sz w:val="20"/>
          <w:szCs w:val="20"/>
          <w:color w:val="auto"/>
        </w:rPr>
      </w:pPr>
      <w:r>
        <w:rPr>
          <w:rFonts w:ascii="Arial" w:cs="Arial" w:eastAsia="Arial" w:hAnsi="Arial"/>
          <w:sz w:val="17"/>
          <w:szCs w:val="17"/>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98"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208"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Furthermore, in the event that we communicate certain initiatives and goals regarding ESG matters, such as our commitment to target carbon neutrality,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84" w:lineRule="exact"/>
        <w:rPr>
          <w:sz w:val="20"/>
          <w:szCs w:val="20"/>
          <w:color w:val="auto"/>
        </w:rPr>
      </w:pPr>
    </w:p>
    <w:p>
      <w:pPr>
        <w:ind w:right="120" w:firstLine="648"/>
        <w:spacing w:after="0" w:line="242"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1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2021, our internal controls over financial reporting were effective, we cannot predict the outcome of our testing in 2022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48"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2021, the closing price of our common stock ranged from $138.11 to $367.67 per share.</w:t>
      </w:r>
    </w:p>
    <w:p>
      <w:pPr>
        <w:spacing w:after="0" w:line="215"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October 2021, our board of directors approved a $1.25 billion increase in the authorized stock repurchase amount under the Repurchase Program and extended the term of the Repurchase Program to February 28, 2023, bringing the aggregate amount authorized to be repurchased to $4.25 billion. As of December 31, 2021, $1.52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changes in trade agreements and conflicts, such as the conflict between Russia and Ukraine, could adversely affect our business and financial performance.</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191"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labor disruption, critical infrastructure attack and terrorism.</w:t>
      </w:r>
    </w:p>
    <w:p>
      <w:pPr>
        <w:spacing w:after="0" w:line="19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A significant natural disaster, such as an earthquake, drought, fire, power outage, flood, viral outbreak or other catastrophic event, could have a material adverse impact on our business, operating results and financial condition.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01"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corporate headquarters is located in Sunnyvale, California and comprises approximately 390,000 square feet of building space on twenty acres of land. Along with our corporate headquarters, as of December 31, 2021, we own approximately 290,000 square feet in Union City, California, used for manufacturing assembly and operations; approximately 460,000 square feet of office space in Burnaby and Ottawa, Canada, used for operations, support and research and development work; approximately 100,000 square feet of office space in Florida; approximately 90,000 square feet of office space in Texas; and approximately 70,000 square feet of office space in Valbonne, France, predominantly used for sales and support. We also own additional building space in Sunnyvale and Union City, California, for future development of approximately 140,000 square feet.</w:t>
      </w:r>
    </w:p>
    <w:p>
      <w:pPr>
        <w:spacing w:after="0" w:line="2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maintain additional leased offices throughout the world, predominantly used as sales and support offices. We believe that our existing properties are sufficient and suitable to meet our current needs. We intend to expand our facilities or add new facilities to support our future growth and enter new geographic markets, and we believe that suitable additional or alternative space will be available or can be developed as needed to accommodate ongoing operations and any such growth.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However, we expect to incur additional operating expenses and capital expenditures in connection with such new or expanded facilities.</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refer to Note 17 to our consolidated financial statements in Part II, Item 8 of this Annual Report on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December 2021, we entered into an agreement that provided for settlement and dismissal of an existing patent infringement lawsuit and a mutual covenant-not-to-sue for a defined duration of time. Please refer to Note 13. Commitments and Contingencies in Part II, Item 8 of this Annual Report on Form 10-K for additional information.</w:t>
      </w: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680"/>
        <w:spacing w:after="0" w:line="534"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Select Market under the symbol “FTNT.”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February 18, 2022, there were 43 holders of record of our common stock. A substantially greater number of holders of our common stock are “street name” or beneficial holders, whose shares are held by banks, brokers and other financial institutions.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Securities and Exchange Commission (the “SEC”) within 120 days after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This performance graph shall not be deemed “filed” for purposes of Section 18 of the Securities and Exchange Act of 1934 </w:t>
      </w:r>
      <w:r>
        <w:rPr>
          <w:rFonts w:ascii="Arial" w:cs="Arial" w:eastAsia="Arial" w:hAnsi="Arial"/>
          <w:sz w:val="18"/>
          <w:szCs w:val="18"/>
          <w:color w:val="auto"/>
        </w:rPr>
        <w:t>(</w:t>
      </w:r>
      <w:r>
        <w:rPr>
          <w:rFonts w:ascii="Arial" w:cs="Arial" w:eastAsia="Arial" w:hAnsi="Arial"/>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intended to suggest future performance. Data for the S&amp;P 500 Index and the NASDAQ Computer Index assume reinvestment of dividends.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Among Fortinet, Inc., the S&amp;P 500 Index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820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December</w:t>
            </w:r>
          </w:p>
        </w:tc>
      </w:tr>
      <w:tr>
        <w:trPr>
          <w:trHeight w:val="213"/>
        </w:trPr>
        <w:tc>
          <w:tcPr>
            <w:tcW w:w="4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2016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30"/>
        </w:trPr>
        <w:tc>
          <w:tcPr>
            <w:tcW w:w="468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bl>
    <w:p>
      <w:pPr>
        <w:spacing w:after="0" w:line="130" w:lineRule="exact"/>
        <w:rPr>
          <w:sz w:val="20"/>
          <w:szCs w:val="20"/>
          <w:color w:val="auto"/>
        </w:rPr>
      </w:pPr>
    </w:p>
    <w:p>
      <w:pPr>
        <w:ind w:left="80" w:right="520" w:hanging="7"/>
        <w:spacing w:after="0" w:line="236" w:lineRule="auto"/>
        <w:tabs>
          <w:tab w:leader="none" w:pos="18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Assumes that $100 was invested on December 31, 2016 in stock or index, including reinvestment of dividends. Stockholder returns over the indicated period should not be considered indicative of future stockholder returns.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January 2016, our board of directors approved our Share Repurchase Program (the “Repurchase Program”), which authorized the repurchase of up to $200.0 million of our outstanding common stock through December 31, 2017. From 2016 through 2020, our board of directors approved increases to our Repurchase Program by various amounts, bringing the aggregated amount authorized to $3.0 billion. In October 2021, our board of directors approved a $1.25 billion increase and extended the term to February 28, 2023, bringing the aggregate amount authorized to be repurchased to $4.25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Since its inception, we have repurchased 35.1 million shares of our common stock under the Repurchase Program for an aggregate purchase price of $2.73 billion.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millions, except per share amounts):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w:t>
            </w:r>
          </w:p>
        </w:tc>
        <w:tc>
          <w:tcPr>
            <w:tcW w:w="10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Announced Plans or Programs</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9"/>
                <w:szCs w:val="9"/>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Paid per Share</w:t>
            </w:r>
          </w:p>
        </w:tc>
        <w:tc>
          <w:tcPr>
            <w:tcW w:w="1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October 31, 2021</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291.82</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November 1 - November 30, 2021</w:t>
            </w:r>
          </w:p>
        </w:tc>
        <w:tc>
          <w:tcPr>
            <w:tcW w:w="1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308.77</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23"/>
        </w:trPr>
        <w:tc>
          <w:tcPr>
            <w:tcW w:w="402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51" w:lineRule="exact"/>
        <w:rPr>
          <w:sz w:val="20"/>
          <w:szCs w:val="20"/>
          <w:color w:val="auto"/>
        </w:rPr>
      </w:pPr>
    </w:p>
    <w:p>
      <w:pPr>
        <w:ind w:left="1300" w:right="540" w:hanging="644"/>
        <w:spacing w:after="0" w:line="277"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supply chain constraints and the global chip and component shortages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right="60" w:hanging="644"/>
        <w:spacing w:after="0" w:line="277"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including various COVID-19 variants, and the implementation of “return to office” plans;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80" w:hanging="644"/>
        <w:spacing w:after="0" w:line="277"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right="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and capacity, functionality and value in our subscription service offerings;</w:t>
      </w:r>
    </w:p>
    <w:p>
      <w:pPr>
        <w:spacing w:after="0" w:line="197"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product plans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2022;</w:t>
      </w:r>
    </w:p>
    <w:p>
      <w:pPr>
        <w:spacing w:after="0" w:line="252" w:lineRule="exact"/>
        <w:rPr>
          <w:rFonts w:ascii="Arial" w:cs="Arial" w:eastAsia="Arial" w:hAnsi="Arial"/>
          <w:sz w:val="18"/>
          <w:szCs w:val="18"/>
          <w:i w:val="1"/>
          <w:iCs w:val="1"/>
          <w:color w:val="auto"/>
        </w:rPr>
      </w:pPr>
    </w:p>
    <w:p>
      <w:pPr>
        <w:ind w:left="1300" w:right="100" w:hanging="644"/>
        <w:spacing w:after="0" w:line="277"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right="28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and the Coronavirus Aid, Relief, and Economic Security Act (the “CARES Act”);</w:t>
      </w:r>
    </w:p>
    <w:p>
      <w:pPr>
        <w:spacing w:after="0" w:line="197" w:lineRule="exact"/>
        <w:rPr>
          <w:rFonts w:ascii="Arial" w:cs="Arial" w:eastAsia="Arial" w:hAnsi="Arial"/>
          <w:sz w:val="18"/>
          <w:szCs w:val="18"/>
          <w:color w:val="auto"/>
        </w:rPr>
      </w:pPr>
    </w:p>
    <w:p>
      <w:pPr>
        <w:ind w:left="1300" w:right="320" w:hanging="644"/>
        <w:spacing w:after="0" w:line="277" w:lineRule="auto"/>
        <w:tabs>
          <w:tab w:leader="none" w:pos="129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acquisitions and development, data center investments, as well as other capital expenditures and to the impact on free cash flow;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estimates of a range of 2022 spending on capital expenditures;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39" w:lineRule="exact"/>
        <w:rPr>
          <w:sz w:val="20"/>
          <w:szCs w:val="20"/>
          <w:color w:val="auto"/>
        </w:rPr>
      </w:pPr>
    </w:p>
    <w:p>
      <w:pPr>
        <w:ind w:right="80" w:firstLine="648"/>
        <w:spacing w:after="0" w:line="255" w:lineRule="auto"/>
        <w:rPr>
          <w:sz w:val="20"/>
          <w:szCs w:val="20"/>
          <w:color w:val="auto"/>
        </w:rPr>
      </w:pPr>
      <w:r>
        <w:rPr>
          <w:rFonts w:ascii="Arial" w:cs="Arial" w:eastAsia="Arial" w:hAnsi="Arial"/>
          <w:sz w:val="16"/>
          <w:szCs w:val="16"/>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Fortinet Security Fabric cybersecurity mesh platform, which features automated protection, detection and response along with consolidated visibility across both Fortinet developed solutions and a broad ecosystem of third-party solutions and technologies. The Fortinet Security Fabric cybersecurity mesh platform leverages a common operating system or integration to this operating system across our product offerings and helps organizations better secure their environments and reduce their security and network complexities. The Fortinet Security Fabric has an open architecture designed to connect Fortinet solutions and third-party solutions in a single ecosystem, enabling holistic detection and coordinated response across the attack cycle and surface through integration and automation.</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product offerings consist of our FortiGate network security physical and virtual products and our non-FortiGate physical and virtual, software, and cloud-hosted products. In addition to high performing security and networking features, we offer a rich set of cloud-delivered security services that can be added to different products across the Fortinet Security Fabric and customized to the organization’s use cases.</w:t>
      </w:r>
    </w:p>
    <w:p>
      <w:pPr>
        <w:spacing w:after="0" w:line="192"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Our cloud- and hosted- products and services include sandboxing, endpoint detection and response (“EDR”), email security, web application and API security and cloud networking security as well as Fortinet Security Fabric management and analytics.</w:t>
      </w:r>
    </w:p>
    <w:p>
      <w:pPr>
        <w:spacing w:after="0" w:line="197"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Our FortiGuard security services are enabled by FortiGuard Labs, which provides threat research and artificial intelligence capabilities from a cloud network to deliver coordinated protection for the ever-expanding attack surface through FortiGate appliance and virtual machine as well as all Fortinet Security Fabric products that are registered by the end-customer.</w:t>
      </w:r>
    </w:p>
    <w:p>
      <w:pPr>
        <w:spacing w:after="0" w:line="202"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color w:val="auto"/>
        </w:rPr>
        <w:t>Our proprietary Security Processing Units (“SPUs”) are Application-Specific Integrated Circuits that are implemented in our physical FortiGate appliances and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 We also provide virtualized Security Processing Units (“vSPUs”) across our FortiGate virtual appliances to deliver similar accelerated capabilities when run in virtualized environments.</w:t>
      </w:r>
    </w:p>
    <w:p>
      <w:pPr>
        <w:spacing w:after="0" w:line="21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FortiOS operating system provides the foundation for the operation of all FortiGate network security appliances, whether physical, virtual, private- or public-cloud based. FortiOS directs the operations of processors and SPUs and provides system management functions. We make regular updates to FortiOS available through our FortiCare support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FortiOS, its associated security and networking functions and products that run or are integrated with FortiOS are combined to form the Fortinet Security Fabric cybersecurity mesh platform. This approach to security ties discrete security solutions together into an integrated whole that provides centralized management and visibility, automation and intelligence sharing to simplify network and security operations and rapid response to threats.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right="80" w:hanging="328"/>
        <w:spacing w:after="0" w:line="257"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Security-Driven Networking</w:t>
      </w:r>
      <w:r>
        <w:rPr>
          <w:rFonts w:ascii="Arial" w:cs="Arial" w:eastAsia="Arial" w:hAnsi="Arial"/>
          <w:sz w:val="17"/>
          <w:szCs w:val="17"/>
          <w:color w:val="auto"/>
        </w:rPr>
        <w:t>—Our Security-Driven Networking solutions enables the convergence of networking and security across all edges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next-generation firewall (“NGFW”), software-defined wide area network (“SD-WAN”), LAN Edge (Wi-Fi and switch) and secure access service edge (“SASE”). We derive a majority of product sales from our FortiGate network security appliances. FortiGate network 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work-from-home deployments.</w:t>
      </w:r>
    </w:p>
    <w:p>
      <w:pPr>
        <w:spacing w:after="0" w:line="194"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Zero Trust Access</w:t>
      </w:r>
      <w:r>
        <w:rPr>
          <w:rFonts w:ascii="Arial" w:cs="Arial" w:eastAsia="Arial" w:hAnsi="Arial"/>
          <w:sz w:val="16"/>
          <w:szCs w:val="16"/>
          <w:color w:val="auto"/>
        </w:rPr>
        <w:t>—The Fortinet Security Fabric cybersecurity mesh platform extends beyond the network to cover other attack vectors. Our Zero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 Access solutions enable customers to know and control who and what is on their network, in addition to providing security for work from anywhere (“WFA”). Zero Trust Access solutions include FortiNAC, FortiAuthenticator, FortiClient and FortiToken. Additionally, the proliferation of internet of things (“IoT”) and operational technology (“OT”) devices has generated new opportunities for us to grow our business. Our network access control solutions provide visibility, control and automated event responses in order to secure IoT and OT devices.</w:t>
      </w:r>
    </w:p>
    <w:p>
      <w:pPr>
        <w:spacing w:after="0" w:line="187" w:lineRule="exact"/>
        <w:rPr>
          <w:rFonts w:ascii="Arial" w:cs="Arial" w:eastAsia="Arial" w:hAnsi="Arial"/>
          <w:sz w:val="16"/>
          <w:szCs w:val="16"/>
          <w:color w:val="auto"/>
        </w:rPr>
      </w:pPr>
    </w:p>
    <w:p>
      <w:pPr>
        <w:ind w:left="660" w:right="20" w:hanging="328"/>
        <w:spacing w:after="0" w:line="237"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Adaptive Cloud Security</w:t>
      </w:r>
      <w:r>
        <w:rPr>
          <w:rFonts w:ascii="Arial" w:cs="Arial" w:eastAsia="Arial" w:hAnsi="Arial"/>
          <w:sz w:val="17"/>
          <w:szCs w:val="17"/>
          <w:color w:val="auto"/>
        </w:rPr>
        <w:t>—We help customers connect securely to and across their individual, hybrid cloud, multi-cloud, and virtualized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environments by offering 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cybersecurity mesh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Alibaba Cloud, Amazon Web Services, Google Cloud, IBM Cloud, Microsoft Azure, Oracle Cloud and VMWare Cloud. We also offer managed IPS and web application firewall (“WAF”) rules delivered by FortiGuard Labs as an overlay service to native security offerings offered by Amazon Web Services.</w:t>
      </w:r>
    </w:p>
    <w:p>
      <w:pPr>
        <w:spacing w:after="0" w:line="202" w:lineRule="exact"/>
        <w:rPr>
          <w:rFonts w:ascii="Arial" w:cs="Arial" w:eastAsia="Arial" w:hAnsi="Arial"/>
          <w:sz w:val="17"/>
          <w:szCs w:val="17"/>
          <w:color w:val="auto"/>
        </w:rPr>
      </w:pPr>
    </w:p>
    <w:p>
      <w:pPr>
        <w:ind w:left="660" w:hanging="328"/>
        <w:spacing w:after="0" w:line="25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AI-Driven Security Operations</w:t>
      </w:r>
      <w:r>
        <w:rPr>
          <w:rFonts w:ascii="Arial" w:cs="Arial" w:eastAsia="Arial" w:hAnsi="Arial"/>
          <w:sz w:val="16"/>
          <w:szCs w:val="16"/>
          <w:color w:val="auto"/>
        </w:rPr>
        <w:t>—We develop and provide a range of products and services that enable the security operations center (“SOC”)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teams to identify, investigate and remediate potential incidents in which cybercriminals bypass prevention-oriented controls. Given the breadth of the attack surface to monitor, as well as the volume and sophistication of cyber threats, artificial intelligence (“AI”) is a key part of these offerings, which include: FortiGuard and other security subscription services, modern endpoint security with EDR, a range of breach-protection technologies plus our security information and event management (“SIEM”) and security orchestration, automation and response (“SOAR”), all of which can be applied across the entire Fortinet Security Fabric cybersecurity mesh platform. These solutions automatically deliver security intelligence and insights that enable organizations to protect against and respond to threats faster through integration with Fortinet and third-party controls.</w:t>
      </w:r>
    </w:p>
    <w:p>
      <w:pPr>
        <w:spacing w:after="0" w:line="192" w:lineRule="exact"/>
        <w:rPr>
          <w:rFonts w:ascii="Arial" w:cs="Arial" w:eastAsia="Arial" w:hAnsi="Arial"/>
          <w:sz w:val="16"/>
          <w:szCs w:val="16"/>
          <w:color w:val="auto"/>
        </w:rPr>
      </w:pPr>
    </w:p>
    <w:p>
      <w:pPr>
        <w:ind w:left="660" w:hanging="328"/>
        <w:spacing w:after="0" w:line="22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natively integrated FortiGuard security subscription services as an add-on to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the Fortinet Security Fabric with the goal of receiving real-time threat intelligence and protection updates. The rich set of FortiGuard services is built from the ground up to provide comprehensive protection for users and applications, including market leading offerings for IPS, Web, video and DNS filtering, AV and cloud sandbox as well as IoT and OT Security. The FortiGuard security services are provided from our FortiGuard Labs and cloud-delivered to provide real-time unified protection across network endpoint and cloud. FortiCare technical support services and the support of technical account managers, resident engineers and professional service consultants for implementations or training services.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220" w:hanging="328"/>
        <w:spacing w:after="0" w:line="24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Support and Professional Services </w:t>
      </w:r>
      <w:r>
        <w:rPr>
          <w:rFonts w:ascii="Arial" w:cs="Arial" w:eastAsia="Arial" w:hAnsi="Arial"/>
          <w:sz w:val="18"/>
          <w:szCs w:val="18"/>
          <w:color w:val="auto"/>
        </w:rPr>
        <w:t>– Fortinet offers technical support, FortiOS updates and extended product warranty through our FortiCare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services. In addition to our technical support services, we offer a range of advanced services, including premium support, professional services and expedited warranty replacement. Our professional service offerings include resident engineers and professional service consultants for implementations or trainings.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10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revenue was $3.34 billion in 2021, an increase of 29% compared to $2.59 billion in 2020. Product revenue was $1.26 billion in 2021, an increase of 37% compared to $916.4 million in 2020. Service revenue was $2.09 billion in 2021, an increase of 24% compared to $1.68 billion in 2020.</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gross profit was $2.56 billion in 2021, an increase of 26% compared to $2.02 billion in 2020.</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generated operating income of $650.4 million in 2021, an increase of 22% compared to $531.8 million in 2020. Operating income for 2021 included gains on an IP matter of $4.6 million.</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cash equivalents, investments and marketable equity securities were $2.99 billion as of December 31, 2021, an increase of $1.04 billion, or 53%, from December 31, 2020.</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March 2021, we issued $1.0 billion of Senior Notes. Long-term debt, net of unamortized discount and debt issuance costs, was $988.4 million as of December 31, 2021. There was no such debt outstanding at December 31, 2020.</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2021, we repurchased 2.6 million shares of common stock under the Repurchase Program for an aggregate purchase price of $741.8 million. In 2020, we repurchased 11.7 million shares of common stock for a total purchase price of $1.08 billion.</w:t>
      </w:r>
    </w:p>
    <w:p>
      <w:pPr>
        <w:spacing w:after="0" w:line="197" w:lineRule="exact"/>
        <w:rPr>
          <w:rFonts w:ascii="Arial" w:cs="Arial" w:eastAsia="Arial" w:hAnsi="Arial"/>
          <w:sz w:val="18"/>
          <w:szCs w:val="18"/>
          <w:color w:val="auto"/>
        </w:rPr>
      </w:pPr>
    </w:p>
    <w:p>
      <w:pPr>
        <w:ind w:left="660" w:right="60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Deferred revenue was $3.45 billion as of December 31, 2021, an increase of $847.6 million, or 33%, from December 31, 2020. Short-term deferred revenue was $1.78 billion as of December 31, 2021, an increase of $384.6 million, or 28%, from December 31, 2020.</w:t>
      </w:r>
    </w:p>
    <w:p>
      <w:pPr>
        <w:spacing w:after="0" w:line="150"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$1.50 billion in 2021, an increase of $416.0 million, or 38%, compared to 2020. We received $50.0 million of proceeds from an IP matter in the first quarter of 2020.</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bookings were $4.33 billion for 2021, an increase of 40.2% compared to $3.09 billion in 2020. We define bookings as the total value of all orders received during the fiscal period.</w:t>
      </w:r>
    </w:p>
    <w:p>
      <w:pPr>
        <w:spacing w:after="0" w:line="183"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Backlog was $161.9 million as of December 31, 2021, an increase of $149.7 million compared to $12.2 million as of December 31, 2020. Backlog represents orders received but not fulfilled and excludes backlog related to Alaxala Networks Corporation's (“Alaxala”) products and services of $26.0 million.</w:t>
      </w:r>
    </w:p>
    <w:p>
      <w:pPr>
        <w:spacing w:after="0" w:line="201" w:lineRule="exact"/>
        <w:rPr>
          <w:rFonts w:ascii="Arial" w:cs="Arial" w:eastAsia="Arial" w:hAnsi="Arial"/>
          <w:sz w:val="18"/>
          <w:szCs w:val="18"/>
          <w:color w:val="auto"/>
        </w:rPr>
      </w:pPr>
    </w:p>
    <w:p>
      <w:pPr>
        <w:ind w:left="660" w:right="40" w:hanging="328"/>
        <w:spacing w:after="0" w:line="22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August 31, 2021, we closed an acquisition of 75% of the equity interests in Alaxala, a privately-held network hardware equipment company in Japan, to help broaden our offering of secure switches integrated with FortiGate Firewalls and Security Fabric functionality, and, over time, to innovate and rebrand certain of Alaxala’s switches to offer a broader suite of secure switches globally. From September 1, 2021 to December 31, 2021, Alaxala’s revenue was $44.4 million, or 1.3% of total revenue during the year ended December 31, 2021. During the first quarter of 2021 and subsequently in the third quarter, we made an equity method investment in Linksys which provides router connectivity solutions to the consumer and small business markets.</w:t>
      </w:r>
    </w:p>
    <w:p>
      <w:pPr>
        <w:spacing w:after="0" w:line="21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revenue growth was driven by both product and service revenue. On a geographic basis, revenue continues to be diversified globally, which remains a key strength of our business. In 2021, the Americas region, the Europe, Middle East and Africa (“EMEA”) region and the Asia Pacific (“APAC”) region contributed 41%, 38% and 21% of our total revenue, respectively, and increased by 26%, 29% and 35% compared to 2020, respectively.</w:t>
      </w:r>
    </w:p>
    <w:p>
      <w:pPr>
        <w:spacing w:after="0" w:line="17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revenue grew 37% in 2021. Product revenue growth was consistent with an elevated cyber threat landscape. FortiGate products accounted for more than half of the product revenue growth in 2021. While Secure SD-WAN contributed to product revenue growth, the main driver was the strong demand for the wide range of other operating system capabilities embedded in the FortiGate products. We experienced strong product revenue growth across many of our security fabric platform products, including our OT solutions, secure access products and software licenses. The impact of the increase in backlog was largely seen in certain fabric platform products. Service revenue growth of 24% in 2021 was driven by the strength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of our FortiGuard and other security subscription revenue and FortiGate technical support and other service revenue, which grew 22% and 27%, respectively, in 2021.</w:t>
      </w:r>
    </w:p>
    <w:p>
      <w:pPr>
        <w:spacing w:after="0" w:line="19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Our billings were diversified on a geographic basis. In 2021, six countries represented approximately 50% of our billings and the remaining 50% in the aggregate were from over 100 countries that individually contributed less than 3% of our billings.</w:t>
      </w:r>
    </w:p>
    <w:p>
      <w:pPr>
        <w:spacing w:after="0" w:line="19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2021 and 2020, we recognized gains of $4.6 million and $40.2 million, respectively, on an IP matter in connection with a mutual covenant-no-to-sue and release agreement with a competitor in the network security industry. Excluding the gains on the IP matter, operating expenses as a percentage of revenue decreased by approximately 1.9 percentage points compared to 2020. Headcount increased by 24% to 10,195 employees and contractors as of December 31, 2021, up from 8,238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9"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The United States and the global community we serve are facing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transition back to an in-person working mode, allowing increasing numbers of employees to work from our offices with reasonable precautions and, in all cases, subject to abiding by local legal restrictions. We intend to continue to monitor and abide by local employee health and safety protocols and other regulations as applicable to each local office.</w:t>
      </w:r>
    </w:p>
    <w:p>
      <w:pPr>
        <w:spacing w:after="0" w:line="188" w:lineRule="exact"/>
        <w:rPr>
          <w:sz w:val="20"/>
          <w:szCs w:val="20"/>
          <w:color w:val="auto"/>
        </w:rPr>
      </w:pPr>
    </w:p>
    <w:p>
      <w:pPr>
        <w:ind w:right="80" w:firstLine="405"/>
        <w:spacing w:after="0" w:line="231" w:lineRule="auto"/>
        <w:rPr>
          <w:sz w:val="20"/>
          <w:szCs w:val="20"/>
          <w:color w:val="auto"/>
        </w:rPr>
      </w:pPr>
      <w:r>
        <w:rPr>
          <w:rFonts w:ascii="Arial" w:cs="Arial" w:eastAsia="Arial" w:hAnsi="Arial"/>
          <w:sz w:val="18"/>
          <w:szCs w:val="18"/>
          <w:color w:val="auto"/>
        </w:rPr>
        <w:t>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as of and during the year ended December 31, 2021. Conversely, some aspects of our business do not appear to have been significantly affected. During the year ended December 31, 2021, we have observed the following:</w:t>
      </w:r>
    </w:p>
    <w:p>
      <w:pPr>
        <w:spacing w:after="0" w:line="202" w:lineRule="exact"/>
        <w:rPr>
          <w:sz w:val="20"/>
          <w:szCs w:val="20"/>
          <w:color w:val="auto"/>
        </w:rPr>
      </w:pPr>
    </w:p>
    <w:p>
      <w:pPr>
        <w:ind w:left="660" w:right="400" w:hanging="328"/>
        <w:spacing w:after="0" w:line="24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seen supply chain challenges increase, including chip and other component shortages and increased costs for certain chips and other components and shipping, and we do not have enough inventory to promptly meet all demand for all products.</w:t>
      </w:r>
    </w:p>
    <w:p>
      <w:pPr>
        <w:spacing w:after="0" w:line="196" w:lineRule="exact"/>
        <w:rPr>
          <w:rFonts w:ascii="Arial" w:cs="Arial" w:eastAsia="Arial" w:hAnsi="Arial"/>
          <w:sz w:val="18"/>
          <w:szCs w:val="18"/>
          <w:color w:val="auto"/>
        </w:rPr>
      </w:pPr>
    </w:p>
    <w:p>
      <w:pPr>
        <w:ind w:left="660" w:right="40" w:hanging="328"/>
        <w:spacing w:after="0" w:line="266"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most countries, our employees’ ability to travel has been reduced. In-person sales and marketing events or meetings that would normally have been held were canceled, postponed or converted into virtual events. However, as certain country’s restrictions start to ease, we have started to see an increase in expenses related to travel and marketing events. Although we cannot predict if or when such expenses will return to pre-pandemic levels, as of December 31, 2021, we have started to see an increase in such expenses as compared to the same period last year.</w:t>
      </w:r>
    </w:p>
    <w:p>
      <w:pPr>
        <w:spacing w:after="0" w:line="183" w:lineRule="exact"/>
        <w:rPr>
          <w:rFonts w:ascii="Arial" w:cs="Arial" w:eastAsia="Arial" w:hAnsi="Arial"/>
          <w:sz w:val="16"/>
          <w:szCs w:val="16"/>
          <w:color w:val="auto"/>
        </w:rPr>
      </w:pPr>
    </w:p>
    <w:p>
      <w:pPr>
        <w:ind w:left="660" w:right="40" w:hanging="328"/>
        <w:spacing w:after="0" w:line="246"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order to mitigate supply chain disruption and other supply chain risks and in anticipation of future demand, we worked to increase our on-hand stock of certain products. We increased our commitments with certain suppliers to secure capacity, and are meeting regularly with our contract manufacturers and component suppliers to manage future commitments, address component shortages and monitor delivery of finished goods. We have also transitioned primarily to air shipping to avoid port congestion and extended ocean freight time.</w:t>
      </w:r>
    </w:p>
    <w:p>
      <w:pPr>
        <w:spacing w:after="0" w:line="211"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accordance with the CARES Act, we have deferred the deposit and payment of our employer’s share of Social Security taxes. This did not materially affect net cash provided by operating activities during the period.</w:t>
      </w:r>
    </w:p>
    <w:p>
      <w:pPr>
        <w:spacing w:after="0" w:line="19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Going forward, the situation remains uncertain, rapidly changing and hard to predict, and the COVID-19 pandemic may have a material negative impact on our future periods. If we experience greater component, shipping or inventory challenges than we expect or significant changes in our billings growth rates, it will negatively impact billings and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 Item 1A “Risk Factors” in this Form 10-K.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right="40" w:firstLine="648"/>
        <w:spacing w:after="0" w:line="258" w:lineRule="auto"/>
        <w:rPr>
          <w:sz w:val="20"/>
          <w:szCs w:val="20"/>
          <w:color w:val="auto"/>
        </w:rPr>
      </w:pPr>
      <w:r>
        <w:rPr>
          <w:rFonts w:ascii="Arial" w:cs="Arial" w:eastAsia="Arial" w:hAnsi="Arial"/>
          <w:sz w:val="16"/>
          <w:szCs w:val="16"/>
          <w:color w:val="auto"/>
        </w:rPr>
        <w:t>We typically sell our security solutions to distributors that sell to networking security focused resellers and to service providers and managed security service providers (“MSSPs”), who, in turn, sell to end-customers or use our products and services to provided hosted solutions to other enterprises. At times, we also sell directly to large service providers and major systems integrators. Our end-customers are located in over 100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cybersecurity mesh platform products, depending on the end-customer’s size and security requirements.</w:t>
      </w:r>
    </w:p>
    <w:p>
      <w:pPr>
        <w:spacing w:after="0" w:line="231" w:lineRule="exact"/>
        <w:rPr>
          <w:sz w:val="20"/>
          <w:szCs w:val="20"/>
          <w:color w:val="auto"/>
        </w:rPr>
      </w:pPr>
    </w:p>
    <w:p>
      <w:pPr>
        <w:ind w:right="100" w:firstLine="648"/>
        <w:spacing w:after="0" w:line="242" w:lineRule="auto"/>
        <w:rPr>
          <w:sz w:val="20"/>
          <w:szCs w:val="20"/>
          <w:color w:val="auto"/>
        </w:rPr>
      </w:pPr>
      <w:r>
        <w:rPr>
          <w:rFonts w:ascii="Arial" w:cs="Arial" w:eastAsia="Arial" w:hAnsi="Arial"/>
          <w:sz w:val="17"/>
          <w:szCs w:val="17"/>
          <w:color w:val="auto"/>
        </w:rPr>
        <w:t>We also offer our products hosted in our own data centers and through major cloud providers, and have recognized revenue on a usage basis from Alibaba Cloud, Amazon Web Services, Google Cloud, IBM Cloud, Microsoft Azure and Oracle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third-party clouds or in their private cloud.</w:t>
      </w:r>
    </w:p>
    <w:p>
      <w:pPr>
        <w:spacing w:after="0" w:line="216" w:lineRule="exact"/>
        <w:rPr>
          <w:sz w:val="20"/>
          <w:szCs w:val="20"/>
          <w:color w:val="auto"/>
        </w:rPr>
      </w:pPr>
    </w:p>
    <w:p>
      <w:pPr>
        <w:ind w:right="380" w:firstLine="648"/>
        <w:spacing w:after="0" w:line="294"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continue to offer extended payment terms to certain distributors.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200" w:firstLine="648"/>
        <w:spacing w:after="0" w:line="292" w:lineRule="auto"/>
        <w:rPr>
          <w:sz w:val="20"/>
          <w:szCs w:val="20"/>
          <w:color w:val="auto"/>
        </w:rPr>
      </w:pPr>
      <w:r>
        <w:rPr>
          <w:rFonts w:ascii="Arial" w:cs="Arial" w:eastAsia="Arial" w:hAnsi="Arial"/>
          <w:sz w:val="16"/>
          <w:szCs w:val="16"/>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6"/>
                <w:szCs w:val="16"/>
                <w:b w:val="1"/>
                <w:bCs w:val="1"/>
                <w:color w:val="auto"/>
                <w:w w:val="91"/>
              </w:rPr>
              <w:t>Year Ended or As of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50"/>
        </w:trPr>
        <w:tc>
          <w:tcPr>
            <w:tcW w:w="6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2"/>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3,342.2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2,163.0</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3,452.9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2,605.3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2,109.1</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(non-GAAP)</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2,602.9</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1,499.7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808.0</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r>
    </w:tbl>
    <w:p>
      <w:pPr>
        <w:spacing w:after="0" w:line="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$3.45 billion as of December 31, 2021, an increase of $847.6 million, or 33%, from December 31, 2020</w:t>
      </w:r>
      <w:r>
        <w:rPr>
          <w:rFonts w:ascii="Arial" w:cs="Arial" w:eastAsia="Arial" w:hAnsi="Arial"/>
          <w:sz w:val="18"/>
          <w:szCs w:val="18"/>
          <w:color w:val="0000FF"/>
        </w:rPr>
        <w:t>.</w:t>
      </w:r>
    </w:p>
    <w:p>
      <w:pPr>
        <w:spacing w:after="0" w:line="21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less any deferred revenue balances acquired from business combination(s) and an adjustment due to adoption of Accounting Standards Update (“ASU”) 2021-08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FortiGuard security and FortiCare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$4.18 billion for 2021, an increase of 35% compared to $3.09 billion in 2020.</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50"/>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3,342.2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2,163.0</w:t>
            </w:r>
          </w:p>
        </w:tc>
      </w:tr>
      <w:tr>
        <w:trPr>
          <w:trHeight w:val="229"/>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Change in deferred revenue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29"/>
        </w:trPr>
        <w:tc>
          <w:tcPr>
            <w:tcW w:w="6020" w:type="dxa"/>
            <w:vAlign w:val="bottom"/>
          </w:tcPr>
          <w:p>
            <w:pPr>
              <w:ind w:left="200"/>
              <w:spacing w:after="0"/>
              <w:rPr>
                <w:sz w:val="20"/>
                <w:szCs w:val="20"/>
                <w:color w:val="auto"/>
              </w:rPr>
            </w:pPr>
            <w:r>
              <w:rPr>
                <w:rFonts w:ascii="Arial" w:cs="Arial" w:eastAsia="Arial" w:hAnsi="Arial"/>
                <w:sz w:val="18"/>
                <w:szCs w:val="18"/>
                <w:color w:val="auto"/>
              </w:rPr>
              <w:t>Less: Deferred revenue balance acquired in business combinations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due to adoption of ASU 2021-08</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4,181.4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2,602.9</w:t>
            </w:r>
          </w:p>
        </w:tc>
      </w:tr>
      <w:tr>
        <w:trPr>
          <w:trHeight w:val="21"/>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r>
      <w:tr>
        <w:trPr>
          <w:trHeight w:val="250"/>
        </w:trPr>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808.0</w:t>
            </w:r>
          </w:p>
        </w:tc>
      </w:tr>
      <w:tr>
        <w:trPr>
          <w:trHeight w:val="230"/>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6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Proceeds from intellectual property matter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(1,325.1)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(502.3)</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the majority of our revenue from sales of our hardware and software products and amortization of amounts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revenue related to previous sales of FortiGuard security subscription and FortiCare technical support services. We also recognize revenue from cloud security solutions, professional services and training.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239" w:lineRule="exact"/>
        <w:rPr>
          <w:sz w:val="20"/>
          <w:szCs w:val="20"/>
          <w:color w:val="auto"/>
        </w:rPr>
      </w:pPr>
    </w:p>
    <w:p>
      <w:pPr>
        <w:ind w:left="1300" w:right="160" w:hanging="644"/>
        <w:spacing w:after="0" w:line="276" w:lineRule="auto"/>
        <w:tabs>
          <w:tab w:leader="none" w:pos="129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primarily generated from sales of our physical and virtual machine appliances.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revenue continues to be generated by our FortiGate product line. Product revenue also includes revenue derived from sales of Fabric appliance and software products. As a percentage of total revenue, our product revenue has varied from quarter to quarter.</w:t>
      </w:r>
    </w:p>
    <w:p>
      <w:pPr>
        <w:spacing w:after="0" w:line="188" w:lineRule="exact"/>
        <w:rPr>
          <w:rFonts w:ascii="Arial" w:cs="Arial" w:eastAsia="Arial" w:hAnsi="Arial"/>
          <w:sz w:val="16"/>
          <w:szCs w:val="16"/>
          <w:color w:val="auto"/>
        </w:rPr>
      </w:pPr>
    </w:p>
    <w:p>
      <w:pPr>
        <w:ind w:left="1300" w:right="200" w:hanging="644"/>
        <w:spacing w:after="0" w:line="277"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is generated primarily from FortiGuard security subscription services and FortiCare technical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FortiGuard security subscription and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60"/>
        <w:spacing w:after="0" w:line="254" w:lineRule="auto"/>
        <w:rPr>
          <w:sz w:val="20"/>
          <w:szCs w:val="20"/>
          <w:color w:val="auto"/>
        </w:rPr>
      </w:pPr>
      <w:r>
        <w:rPr>
          <w:rFonts w:ascii="Arial" w:cs="Arial" w:eastAsia="Arial" w:hAnsi="Arial"/>
          <w:sz w:val="18"/>
          <w:szCs w:val="18"/>
          <w:color w:val="auto"/>
        </w:rPr>
        <w:t>FortiCare technical support services over the contractual service period. Our typical contractual support and subscription term is one to five years. We also generate a small portion of our revenue from other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expansion and introduction of new service offerings, the attach rate of service contracts to new product sales, and the renewal of service contracts by our existing customers.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52" w:lineRule="exact"/>
        <w:rPr>
          <w:sz w:val="20"/>
          <w:szCs w:val="20"/>
          <w:color w:val="auto"/>
        </w:rPr>
      </w:pPr>
    </w:p>
    <w:p>
      <w:pPr>
        <w:jc w:val="both"/>
        <w:ind w:left="1300" w:right="40" w:hanging="644"/>
        <w:spacing w:after="0" w:line="287" w:lineRule="auto"/>
        <w:tabs>
          <w:tab w:leader="none" w:pos="129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The majority of the cost of product revenue consists of third-party contract manufacturers’ costs and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Personnel costs include direct compensation benefits and stock based compensation.</w:t>
      </w:r>
    </w:p>
    <w:p>
      <w:pPr>
        <w:spacing w:after="0" w:line="237" w:lineRule="exact"/>
        <w:rPr>
          <w:rFonts w:ascii="Arial" w:cs="Arial" w:eastAsia="Arial" w:hAnsi="Arial"/>
          <w:sz w:val="16"/>
          <w:szCs w:val="16"/>
          <w:color w:val="auto"/>
        </w:rPr>
      </w:pPr>
    </w:p>
    <w:p>
      <w:pPr>
        <w:ind w:left="130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personnel costs, third-party repair and contract fulfillment,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 costs, colocation expenses and cloud hosting, supplies and facility-related costs.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profit as a percentage of revenue, or gross margin, has been and will continue to be affected by a variety of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average sales price of our products, product costs, the mix of products sold and the mix of revenue between hardware products, software licenses and services and any excess inventory write-offs. Service revenue and software licenses have had a positive effect on our total gross margin given the higher gross margins compared to hardware product gross margins. During 2021, product gross margin benefited from gains in average selling price, as well as lower direct and indirect product costs as a percentage of product revenue. It also benefited from product mix, software revenue growth and a stable product transition environment. Service gross margin benefited from renewals and continued sales of services and subscriptions, growing faster than related expenses. Overall gross margin in 2022 will be impacted by service and product revenue mix.</w:t>
      </w:r>
    </w:p>
    <w:p>
      <w:pPr>
        <w:spacing w:after="0" w:line="20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primarily of salaries, benefits, bonuses, sales commission and stock-based compensation. We expect personnel costs to continue to increase in absolute dollars as we expand our workforce.</w:t>
      </w:r>
    </w:p>
    <w:p>
      <w:pPr>
        <w:spacing w:after="0" w:line="192" w:lineRule="exact"/>
        <w:rPr>
          <w:sz w:val="20"/>
          <w:szCs w:val="20"/>
          <w:color w:val="auto"/>
        </w:rPr>
      </w:pPr>
    </w:p>
    <w:p>
      <w:pPr>
        <w:ind w:left="1300" w:right="220" w:hanging="644"/>
        <w:spacing w:after="0" w:line="296" w:lineRule="auto"/>
        <w:tabs>
          <w:tab w:leader="none" w:pos="129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consists primarily of personnel costs. Additional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include ASIC and system prototypes and certification-related expenses, depreciation of property and equipment and facility-related expenses. The majority of our research and development is focused on software development and the ongoing development of our hardware products. We record research and development expenses as incurred. As of December 31, 2021, approximately 88% of our research and development teams were located in Canada, the United States and India.</w:t>
      </w:r>
    </w:p>
    <w:p>
      <w:pPr>
        <w:spacing w:after="0" w:line="188" w:lineRule="exact"/>
        <w:rPr>
          <w:rFonts w:ascii="Arial" w:cs="Arial" w:eastAsia="Arial" w:hAnsi="Arial"/>
          <w:sz w:val="16"/>
          <w:szCs w:val="16"/>
          <w:color w:val="auto"/>
        </w:rPr>
      </w:pPr>
    </w:p>
    <w:p>
      <w:pPr>
        <w:ind w:left="1300" w:hanging="644"/>
        <w:spacing w:after="0" w:line="25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product marketing, public relations, field marketing and channel marketing programs (e.g. partner cooperative marketing arrangements), as well as travel, depreciation of property and equipment and facility-related expenses. We intend to hire additional personnel focused on sales and marketing and expand our sales and marketing efforts worldwide in order to capture market share.</w:t>
      </w:r>
    </w:p>
    <w:p>
      <w:pPr>
        <w:spacing w:after="0" w:line="214" w:lineRule="exact"/>
        <w:rPr>
          <w:rFonts w:ascii="Arial" w:cs="Arial" w:eastAsia="Arial" w:hAnsi="Arial"/>
          <w:sz w:val="18"/>
          <w:szCs w:val="18"/>
          <w:color w:val="auto"/>
        </w:rPr>
      </w:pPr>
    </w:p>
    <w:p>
      <w:pPr>
        <w:ind w:left="1300" w:right="40" w:hanging="644"/>
        <w:spacing w:after="0" w:line="259"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Gain on intellectual property matter. </w:t>
      </w:r>
      <w:r>
        <w:rPr>
          <w:rFonts w:ascii="Arial" w:cs="Arial" w:eastAsia="Arial" w:hAnsi="Arial"/>
          <w:sz w:val="18"/>
          <w:szCs w:val="18"/>
          <w:color w:val="auto"/>
        </w:rPr>
        <w:t>Gain on intellectual property matter consists of the amortization of the deferred component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competitor in the network security industry, whereby,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competitor party paid us a lump sum of $50.0 million for a seven-year mutual covenant-not-to-sue for patent claims.</w:t>
      </w:r>
    </w:p>
    <w:p>
      <w:pPr>
        <w:spacing w:after="0" w:line="23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i w:val="1"/>
          <w:iCs w:val="1"/>
          <w:color w:val="auto"/>
        </w:rPr>
        <w:t xml:space="preserve">Interest income—net. </w:t>
      </w:r>
      <w:r>
        <w:rPr>
          <w:rFonts w:ascii="Arial" w:cs="Arial" w:eastAsia="Arial" w:hAnsi="Arial"/>
          <w:sz w:val="18"/>
          <w:szCs w:val="18"/>
          <w:color w:val="auto"/>
        </w:rPr>
        <w:t>Interest income—net consists primarily of interest earned on our cash equivalents and investments. Historically,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include corporate debt securities, certificates of deposit and term deposits, commercial paper, money market funds, and U.S. government and agency securities.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w:t>
      </w:r>
      <w:r>
        <w:rPr>
          <w:rFonts w:ascii="Arial" w:cs="Arial" w:eastAsia="Arial" w:hAnsi="Arial"/>
          <w:sz w:val="18"/>
          <w:szCs w:val="18"/>
          <w:i w:val="1"/>
          <w:iCs w:val="1"/>
          <w:color w:val="auto"/>
        </w:rPr>
        <w:t>net</w:t>
      </w:r>
      <w:r>
        <w:rPr>
          <w:rFonts w:ascii="Arial" w:cs="Arial" w:eastAsia="Arial" w:hAnsi="Arial"/>
          <w:sz w:val="18"/>
          <w:szCs w:val="18"/>
          <w:color w:val="auto"/>
        </w:rPr>
        <w:t>. Other expense—net consists primarily of foreign exchange gains and losses related to foreign currency remeasurement, gains</w:t>
      </w:r>
      <w:r>
        <w:rPr>
          <w:rFonts w:ascii="Arial" w:cs="Arial" w:eastAsia="Arial" w:hAnsi="Arial"/>
          <w:sz w:val="18"/>
          <w:szCs w:val="18"/>
          <w:i w:val="1"/>
          <w:iCs w:val="1"/>
          <w:color w:val="auto"/>
        </w:rPr>
        <w:t xml:space="preserve"> </w:t>
      </w:r>
      <w:r>
        <w:rPr>
          <w:rFonts w:ascii="Arial" w:cs="Arial" w:eastAsia="Arial" w:hAnsi="Arial"/>
          <w:sz w:val="18"/>
          <w:szCs w:val="18"/>
          <w:color w:val="auto"/>
        </w:rPr>
        <w:t>or losses due to the changes in fair value of our marketable equity securities, as well as the gain on the sale or the impairment charges of our investments in privately held companies.</w:t>
      </w:r>
    </w:p>
    <w:p>
      <w:pPr>
        <w:spacing w:after="0" w:line="197"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We are subject to income taxes in the United States, as well as other tax jurisdictions or countries in which we conduct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Earnings from our non-U.S. activities are subject to income taxes in local countries and may be subject to U.S. income taxes. Our effective tax rate differs from the U.S. statutory rate primarily due to foreign income subject to different tax rates than in the U.S., nondeductible stock-based compensation expense, federal research and development tax credit, state taxes, withholding taxes, excess tax benefits related to stock-based compensation expense and the tax impacts of the 2017 Tax Cuts and Jobs Act (the “2017 Tax Act”), including the foreign-derived intangible income (“FDII”) deduction.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Revenues are recognized when control of goods or services is transferred to our customers, in an amount that reflects the consideration we expect to be entitled to in exchange for those goods or services.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140" w:hanging="320"/>
        <w:spacing w:after="0" w:line="250"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as to being distinct goods or services in a contract;</w:t>
      </w: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Costs and Commission Expense</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commissions on renewal contracts are amortized on a straight-line basis over the period of benefit of five years. Estimates, assumptions, and judgments in accounting for deferred contract costs include, but are not limited to, identification of contract costs, anticipated billings and the expected period of benefit.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Liabilities</w:t>
      </w:r>
    </w:p>
    <w:p>
      <w:pPr>
        <w:spacing w:after="0" w:line="239" w:lineRule="exact"/>
        <w:rPr>
          <w:sz w:val="20"/>
          <w:szCs w:val="20"/>
          <w:color w:val="auto"/>
        </w:rPr>
      </w:pPr>
    </w:p>
    <w:p>
      <w:pPr>
        <w:ind w:right="80" w:firstLine="648"/>
        <w:spacing w:after="0" w:line="258" w:lineRule="auto"/>
        <w:rPr>
          <w:sz w:val="20"/>
          <w:szCs w:val="20"/>
          <w:color w:val="auto"/>
        </w:rPr>
      </w:pPr>
      <w:r>
        <w:rPr>
          <w:rFonts w:ascii="Arial" w:cs="Arial" w:eastAsia="Arial" w:hAnsi="Arial"/>
          <w:sz w:val="16"/>
          <w:szCs w:val="16"/>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periodically review significant claims and litigation matters for the probability of an adverse outcome. We accrue for a loss contingency if a loss is probable and the amount of the loss can be reasonably estimated. These accruals are generally based on a range of possible outcomes that require significant judgement. Estimates can change as individual claims develop. The actual liability in any such matters may be materially different from our estimates, which could result in the need to adjust our liability and record additional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18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elected to account for Global Intangible Low-Taxed Income (“GILTI”), which was introduced in the 2017 Tax Act, as a current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privately held companies</w:t>
      </w:r>
    </w:p>
    <w:p>
      <w:pPr>
        <w:spacing w:after="0" w:line="23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investments in privately held companies primarily consist of investments in common stock or in-substance common stock of entities that provide us with the ability to exercise significant influence over the operating and financial policies of the investee, but not an absolute controlling financial interest, and are accounted for under the equity method of accounting. Determining that we do not control but exercise significant influence over the operating and financial policies of the investee requires significant judgement when considering many factors, including but not limited to, the ownership interest in the investee, board representation, participation in policy-making processes, and participation rights in certain significant financial and operating decisions of the investee in the ordinary course of business. Our investment in Linksys is our only equity method investment. We record our proportionate share of the net earnings or losses of Linksys based on the most recently available financial statements of Linksys, which are provided to us on a three-month lag, and our share of the amortization of any basis differences, in gain or loss from equity method investment in our consolidated statements of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5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Income Data:</w:t>
            </w: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1760" w:type="dxa"/>
            <w:vAlign w:val="bottom"/>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1,255.0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2,087.2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cost of revenue</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1,791.9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gross profit</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Gain on intellectual property matter</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4"/>
              </w:rPr>
              <w:t>Income before income taxes and loss from equity method investment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Loss from equity method investment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7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 net of tax</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59</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2019</w:t>
            </w:r>
          </w:p>
        </w:tc>
      </w:tr>
      <w:tr>
        <w:trPr>
          <w:trHeight w:val="250"/>
        </w:trPr>
        <w:tc>
          <w:tcPr>
            <w:tcW w:w="5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(as percentage of revenue)</w:t>
            </w:r>
          </w:p>
        </w:tc>
        <w:tc>
          <w:tcPr>
            <w:tcW w:w="1740" w:type="dxa"/>
            <w:vAlign w:val="bottom"/>
          </w:tcPr>
          <w:p>
            <w:pPr>
              <w:spacing w:after="0"/>
              <w:rPr>
                <w:sz w:val="21"/>
                <w:szCs w:val="21"/>
                <w:color w:val="auto"/>
              </w:rPr>
            </w:pPr>
          </w:p>
        </w:tc>
      </w:tr>
      <w:tr>
        <w:trPr>
          <w:trHeight w:val="23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spacing w:after="0"/>
              <w:rPr>
                <w:sz w:val="20"/>
                <w:szCs w:val="20"/>
                <w:color w:val="auto"/>
              </w:rPr>
            </w:pPr>
            <w:r>
              <w:rPr>
                <w:rFonts w:ascii="Arial" w:cs="Arial" w:eastAsia="Arial" w:hAnsi="Arial"/>
                <w:sz w:val="18"/>
                <w:szCs w:val="18"/>
                <w:color w:val="auto"/>
              </w:rPr>
              <w:t>38 %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23"/>
        </w:trPr>
        <w:tc>
          <w:tcPr>
            <w:tcW w:w="5740" w:type="dxa"/>
            <w:vAlign w:val="bottom"/>
          </w:tcPr>
          <w:p>
            <w:pPr>
              <w:ind w:left="78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r>
      <w:tr>
        <w:trPr>
          <w:trHeight w:val="223"/>
        </w:trPr>
        <w:tc>
          <w:tcPr>
            <w:tcW w:w="5740" w:type="dxa"/>
            <w:vAlign w:val="bottom"/>
          </w:tcPr>
          <w:p>
            <w:pPr>
              <w:ind w:left="78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30"/>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gross margin</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77</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30"/>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Gain on intellectual property matter</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Other expense—net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loss from equity method investment</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 net of tax</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3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Discussion regarding our financial condition and results of operations for 2020 as compared to 2019 can be found in Item 7 of our Annual Report on Form 10-K for the fiscal year ended December 31, 2020, filed with the SEC on February 19,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(in millions, except percentages)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1,255.0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338.6</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37 %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1,358.8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281.6</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707.5</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525.3</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420" w:type="dxa"/>
            <w:vAlign w:val="bottom"/>
            <w:tcBorders>
              <w:top w:val="single" w:sz="8" w:color="CCEEFF"/>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Total revenue increased by $747.8 million, or 29%, in 2021 compared to 2020. We continued to experience diversification of revenue globally, and across both customer and industry segments. Revenue from all regions grew, with EMEA contributing the largest portion of the increase on an absolute dollar basis and APAC, which included Alaxala, contributing the fastest growth on a percentage basis.</w:t>
      </w:r>
    </w:p>
    <w:p>
      <w:pPr>
        <w:spacing w:after="0" w:line="202" w:lineRule="exact"/>
        <w:rPr>
          <w:sz w:val="20"/>
          <w:szCs w:val="20"/>
          <w:color w:val="auto"/>
        </w:rPr>
      </w:pPr>
    </w:p>
    <w:p>
      <w:pPr>
        <w:jc w:val="both"/>
        <w:ind w:right="240" w:firstLine="648"/>
        <w:spacing w:after="0" w:line="235" w:lineRule="auto"/>
        <w:rPr>
          <w:sz w:val="20"/>
          <w:szCs w:val="20"/>
          <w:color w:val="auto"/>
        </w:rPr>
      </w:pPr>
      <w:r>
        <w:rPr>
          <w:rFonts w:ascii="Arial" w:cs="Arial" w:eastAsia="Arial" w:hAnsi="Arial"/>
          <w:sz w:val="18"/>
          <w:szCs w:val="18"/>
          <w:color w:val="auto"/>
        </w:rPr>
        <w:t>Product revenue increased by $338.6 million, or 37%, in 2021 compared to 2020. We experienced revenue growth across many of our products due to an increase in product revenue from our FortiGate products and security fabric platform products, including our SD-WAN solutions, and software licenses.</w:t>
      </w:r>
    </w:p>
    <w:p>
      <w:pPr>
        <w:spacing w:after="0" w:line="202"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Service revenue increased by $409.2 million, or 24%, in 2021 compared to 2020. FortiGuard security subscription, FortiCare technical support and other revenues increased by $206.3 million, or 22%, and $202.9 million, or 27%, respectively, in 2021 compared to 2020. The increases were primarily due to the recognition of revenue from our growing deferred revenue balance related to FortiGuard and other security subscriptions and FortiCare technical support, including our customers moving to higher-tier support offerings as well as growth from our service bundles and professional services.</w:t>
      </w:r>
    </w:p>
    <w:p>
      <w:pPr>
        <w:spacing w:after="0" w:line="197"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Of the service revenue recognized in 2021, 65% was included in the deferred revenue balance as of December 31, 2020. Of the service revenue recognized in 2020, 68% was included in the deferred revenue balance as of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4040" w:type="dxa"/>
            <w:vAlign w:val="bottom"/>
            <w:gridSpan w:val="6"/>
          </w:tcPr>
          <w:p>
            <w:pPr>
              <w:ind w:left="10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 Change</w:t>
            </w:r>
          </w:p>
        </w:tc>
      </w:tr>
      <w:tr>
        <w:trPr>
          <w:trHeight w:val="290"/>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4"/>
          </w:tcPr>
          <w:p>
            <w:pPr>
              <w:ind w:left="340"/>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135.3</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92"/>
              </w:rPr>
              <w:t>38 %</w:t>
            </w: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36</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92"/>
              </w:rPr>
              <w:t>37 %</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92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61.5 %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920" w:type="dxa"/>
            <w:vAlign w:val="bottom"/>
          </w:tcPr>
          <w:p>
            <w:pPr>
              <w:jc w:val="right"/>
              <w:spacing w:after="0"/>
              <w:rPr>
                <w:sz w:val="20"/>
                <w:szCs w:val="20"/>
                <w:color w:val="auto"/>
              </w:rPr>
            </w:pPr>
            <w:r>
              <w:rPr>
                <w:rFonts w:ascii="Arial" w:cs="Arial" w:eastAsia="Arial" w:hAnsi="Arial"/>
                <w:sz w:val="18"/>
                <w:szCs w:val="18"/>
                <w:color w:val="auto"/>
              </w:rPr>
              <w:t>76.6 %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78.0 %</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95"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Total gross margin decreased by 1.4 percentage points in 2021 compared to 2020, driven by shift in the revenue mix to lower margin product revenue from higher margin service revenue. As a percentage of total revenue, the revenue mix shifted by 2.3 percentage points to product revenue from service revenue.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Product gross margin decreased by 0.4 percentage points in 2021 compared to 2020, driven by higher component costs related to supply constraints, higher freight costs, and the impact of Alaxala’s product gross margin. Cost of product revenue was comprised primarily of third-party contract manufacturers’ costs and the costs of materials used in production.</w:t>
      </w:r>
    </w:p>
    <w:p>
      <w:pPr>
        <w:spacing w:after="0" w:line="20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Service gross margin decreased by 1.1 percentage points in 2021 compared to 2020. Cost of service revenue was comprised primarily of personnel costs, third-party repair and contract fulfillment, data center costs, colocation expenses, and cloud hosting, supplies and facility-related costs. The decrease in service gross margin was primarily due to foreign currency fluctuation, increased costs associated with an expansion in our data centers and the impact of Alaxala’s service gross margin.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6"/>
                <w:szCs w:val="16"/>
                <w:b w:val="1"/>
                <w:bCs w:val="1"/>
                <w:color w:val="auto"/>
                <w:w w:val="99"/>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2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20" w:type="dxa"/>
            <w:vAlign w:val="bottom"/>
          </w:tcPr>
          <w:p>
            <w:pPr>
              <w:jc w:val="right"/>
              <w:ind w:right="393"/>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20" w:type="dxa"/>
            <w:vAlign w:val="bottom"/>
            <w:vMerge w:val="restart"/>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8"/>
              </w:rPr>
              <w:t>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8"/>
              </w:rPr>
              <w:t>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Gain on intellectual property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2"/>
              </w:rPr>
              <w:t>28 %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Research and development expense increased by $82.8 million, or 24%, in 2021 compared to 2020, primarily due to an increase in personnel-related costs of $69.5 million as a result of increased headcount to support the development of new products and continued enhancements to our existing products and foreign currency fluctuations. In addition, we incurred increases in depreciation and other occupancy costs of $8.4 million and third party product development costs of $8.3 million, such as third-party testing and prototypes, partially offset by a decrease in other costs of $3.6 million. We currently intend to continue to invest in our research and development organization, and expect research and development expense to increase in absolute dollars in 2022.</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Sales and marketing expense increased by $273.8 million, or 26%, in 2021 compared to 2020, primarily due to an increase in personnel-related costs of $213.7 million as a result of increases to sales and marketing headcount in order to drive global market revenue increases and foreign currency fluctuations. Marketing related expenses increased $32.9 million and included expenses related to our sponsorship of the Fortinet Championship, a Professional Golfers’ Association tour event that we sponsored in September 2021. In addition, we incurred increases in depreciation and other occupancy expense of $9.4 million, marketing supplies expense of $5.8 million and travel expense of $5.2 million. We currently intend to continue to make investments in sales and marketing resources, which are critical to support our future growth, and expect sales and marketing expense to increase in absolute dollars in 2022.</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General and administrative expense increased by $24.0 million, or 20%, in 2021 compared to 2020, primarily due to an increase in personnel-related costs of $12.8 million. Legal-related costs increased by $6.3 million and included $5.6 million related to the settlement and dismissal of an existing patent infringement lawsuit and a mutual covenant-not-to-sue for a defined duration of time. Refer to Note 13. Commitments and contingencies in Part II, Item 8 of this Annual Report on Form 10-K for additional information. In addition, professional services fee increased by $5.2 million, partially offset by a decrease in provision for expected credit losses of $2.0 million. We currently expect general and administrative expense to increase in absolute dollars in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January 2020, we entered into an agreement with a competitor in the network security industry, whereby, in February 2020, the competitor party paid us a lump sum of $50.0 million for a mutual covenant-not-to-sue for patent claims. Of this amount, we recorded a $4.6 million gain on intellectual property matter in our consolidated statements of income in 2021, compared to $40.2 million in 2020. Refer to Note 12 of the notes to consolidated financial statements included in Part II, Item 8 of this Annual Report on Form 10-K for additional information regarding the gain on IP matter.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39"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We generated operating income of $650.4 million in 2021, an increase of $118.6 million, or 22%, compared to $531.8 million in 2020. Operating income as a percentage of revenue decreased to 19% in 2021 compared to 20% in 2020. We recorded a $4.6 million gain on intellectual property matter in our consolidated statements of income in 2021, compared to a $40.2 million gain in 2020, which increased our operating margin by 1.5 percentage points in 2020. Excluding the impact of these gains, our operating margin increased 0.4 percentage points primarily due to 1.0 percentage point, 0.5 percentage point and 0.3 percentage point decreases in sales and marketing expense, research and development expense and general and administrative expense as percentage of revenue, respectively, partially offset by a decrease in gross margin largely driven by the mix shift from service revenue to product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4"/>
          </w:tcPr>
          <w:p>
            <w:pPr>
              <w:jc w:val="right"/>
              <w:ind w:right="35"/>
              <w:spacing w:after="0"/>
              <w:rPr>
                <w:sz w:val="20"/>
                <w:szCs w:val="20"/>
                <w:color w:val="auto"/>
              </w:rPr>
            </w:pPr>
            <w:r>
              <w:rPr>
                <w:rFonts w:ascii="Arial" w:cs="Arial" w:eastAsia="Arial" w:hAnsi="Arial"/>
                <w:sz w:val="16"/>
                <w:szCs w:val="16"/>
                <w:b w:val="1"/>
                <w:bCs w:val="1"/>
                <w:color w:val="auto"/>
              </w:rPr>
              <w:t>(in millions, except percentages)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Not meaningful</w:t>
      </w:r>
    </w:p>
    <w:p>
      <w:pPr>
        <w:spacing w:after="0" w:line="244"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Interest income decreased by $13.2 million in 2021 as compared to 2020, primarily as a result of lower interest rates. Interest income varies depending on our average investment balances during the period, types and mix of investments, and market interest rates. Interest expense increased by $14.9 million due to the senior notes issued in the first quarter of 2021. Other expense—net increase by $3.8 million in 2021 as compared to 2020 was primarily the result of an increase of $5.1 million in losses on marketable equity securities and an increase of $2.7 million in foreign exchange losses in 2021 compared to 2020. In 2020, we recognized a $4.3 million impairment charge on an investment in a privately held company and there were no such impairment charges in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500" w:type="dxa"/>
            <w:vAlign w:val="bottom"/>
          </w:tcPr>
          <w:p>
            <w:pPr>
              <w:spacing w:after="0"/>
              <w:rPr>
                <w:sz w:val="20"/>
                <w:szCs w:val="20"/>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 Change</w:t>
            </w:r>
          </w:p>
        </w:tc>
      </w:tr>
      <w:tr>
        <w:trPr>
          <w:trHeight w:val="290"/>
        </w:trPr>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4"/>
          </w:tcPr>
          <w:p>
            <w:pPr>
              <w:ind w:left="780"/>
              <w:spacing w:after="0"/>
              <w:rPr>
                <w:sz w:val="20"/>
                <w:szCs w:val="20"/>
                <w:color w:val="auto"/>
              </w:rPr>
            </w:pPr>
            <w:r>
              <w:rPr>
                <w:rFonts w:ascii="Arial" w:cs="Arial" w:eastAsia="Arial" w:hAnsi="Arial"/>
                <w:sz w:val="16"/>
                <w:szCs w:val="16"/>
                <w:b w:val="1"/>
                <w:bCs w:val="1"/>
                <w:color w:val="auto"/>
                <w:w w:val="96"/>
              </w:rPr>
              <w:t>(in millions, except percentages)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53.2</w:t>
            </w:r>
          </w:p>
        </w:tc>
        <w:tc>
          <w:tcPr>
            <w:tcW w:w="1320" w:type="dxa"/>
            <w:vAlign w:val="bottom"/>
            <w:gridSpan w:val="2"/>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09"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Our provision for income taxes for 2021 reflects an effective tax rate of 2%, compared to an effective tax rate of 10% for 2020. The provision for income taxes for 2021 was comprised primarily of a $140.8 million tax expense related to U.S. federal and state taxes, other foreign income taxes, foreign withholding taxes and unrecognized tax benefits. The provision was partially offset by excess tax benefits of $82.0 million from stock-based compensation expense, a tax benefit of $33.6 million from the FDII deduction, and tax benefits of $11.1 million from federal research and development tax credits.</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provision for income taxes for 2020 reflects an effective tax rate of 10%, compared to an effective tax rate of 14% for 2019. The provision for income taxes for 2020 was comprised primarily of a $146.8 million tax expense related to U.S. federal and state taxes, other foreign income taxes, foreign withholding taxes and unrecognized tax benefits. The provision was partially offset by a tax benefit of $44.3 million from the FDII deduction, excess tax benefits of $42.0 million from stock-based compensation expense and tax benefits of $7.5 million from federal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product buying, followed by an increase in buying in the second and third quarters. Although these seasonal factors may be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21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Consistent with the seasonality note above, our total quarterly revenue over the past two years has increased sequentially each year. Product revenue increased year-over-year as compared to 2020, as we have continued product innovation and launched new product models, expanded our solution sales, including SD-WAN and WFA solutions and increased our investments in our sales and marketing organizations.</w:t>
      </w:r>
    </w:p>
    <w:p>
      <w:pPr>
        <w:spacing w:after="0" w:line="179"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Total gross margin has fluctuated on a quarterly basis primarily due to the relative product and service mix as well as the timing of supplier cost increases and our own price increases. Product gross margin varies based on the types of products sold, their cost profile and their average selling prices. In 2021, product gross margin was impacted by new product introductions, the mix of high-end, mid-range and entry-level FortiGate products and the mix of other Fabric products, software sales and the timing and impact of supplier cost increases and our own price list increases. In 2021, we experienced an</w:t>
      </w:r>
    </w:p>
    <w:p>
      <w:pPr>
        <w:ind w:right="140"/>
        <w:spacing w:after="0" w:line="252" w:lineRule="auto"/>
        <w:rPr>
          <w:sz w:val="20"/>
          <w:szCs w:val="20"/>
          <w:color w:val="auto"/>
        </w:rPr>
      </w:pPr>
      <w:r>
        <w:rPr>
          <w:rFonts w:ascii="Arial" w:cs="Arial" w:eastAsia="Arial" w:hAnsi="Arial"/>
          <w:sz w:val="17"/>
          <w:szCs w:val="17"/>
          <w:color w:val="auto"/>
        </w:rPr>
        <w:t>unusual level of component suppliers charging new expedite fees and increases in freight costs. Historically, we have been able to improve our direct cost of appliances and our product gross margin. Service gross margin is impacted by revenue growth and our personnel-related costs, third-party repair and contract fulfillment, data center, colocation fees, cloud hosting, supplies, facility-related costs and foreign currency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50"/>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987.4</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2,209.9</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732"/>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24"/>
                <w:szCs w:val="24"/>
                <w:color w:val="auto"/>
              </w:rPr>
            </w:pP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50"/>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2"/>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(502.3)</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Liquidity and capital resources are impacted by our operating activities, proceeds from issuance of our investment grade debt and from exercise of stock options issued to employees, as well as cash used on stock repurchases, real estate purchases and other capital expenditures, investments in various companies and business acquisitions.</w:t>
      </w:r>
    </w:p>
    <w:p>
      <w:pPr>
        <w:spacing w:after="0" w:line="202"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our products and services, competition, market or industry changes, macroeconomic events such as the COVID-19 pandemic, supply chain capacity and disruptions, international conflicts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01"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color w:val="auto"/>
        </w:rPr>
        <w:t>In October 2021, our board of directors authorized a $1.25 billion increase in the authorized stock repurchase under the Repurchase Program and extended the term of the Repurchase Program to February 28, 2023, bringing the aggregate amount of authorized to be repurchased to $4.25 billion. In 2021, we repurchased 2.6 million shares of common stock under the Repurchase Program for an aggregate purchase price of $741.8 million. As of December 31, 2021, $1.52 billion remained available for future share repurchases under the Repurchase Program.</w:t>
      </w:r>
    </w:p>
    <w:p>
      <w:pPr>
        <w:spacing w:after="0" w:line="186"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 (the “Notes”). We do not currently intend to retire these Notes early. Refer to Note 11. Debt in Part II, Item 8 of this Annual Report on Form 10-K for information on the Notes.</w:t>
      </w:r>
    </w:p>
    <w:p>
      <w:pPr>
        <w:spacing w:after="0" w:line="21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184"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2021, we completed our new, net-zero building on our Sunnyvale headquarters campus. We expect to continue to increase our office and warehouse capacity to support growth. As we purchase new properties, we will work to incorporate these properties into the environmental goals we have established. We estimate 2022 capital expenditures to be between $270 million and $300 million.</w:t>
      </w:r>
    </w:p>
    <w:p>
      <w:pPr>
        <w:spacing w:after="0" w:line="215"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Our principal commitments consist of obligations under our Notes, inventory purchase and other contractual commitments. As of December 31, 2021, the long-term debt, net of unamortized discount and debt issuance costs, was $988.4 million. In addition, we enter into non-cancellable agreements with contract manufacturers to procure inventory based on our requirements in order to reduce manufacturing lead times, plan for adequate component supply or incentivize suppliers to deliver. In 2021, we significantly increased these commitments as contract manufacturers and component suppliers significantly increased their pricing and lead times. Inventory purchase commitments as of December 31, 2021, were $1.14 billion, an increase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$881.1 million compared to $259.4 million as of December 31, 2020. We estimate payments of $1.08 billion due on or before December 31, 2022 related to these commitments. We also have open purchase orders and contractual obligations in the ordinary course of business for which we have not received goods or services. As of December 31, 2021, we had $126.7 million in other contractual commitments having a remaining term in excess of one year that are non-cancelable.</w:t>
      </w:r>
    </w:p>
    <w:p>
      <w:pPr>
        <w:spacing w:after="0" w:line="220"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As of December 31, 2021, our cash, cash equivalents, investments and marketable equity securities of $2.99 billion were invested primarily in deposit accounts, commercial paper, corporate debt securities, U.S. government and agency securities, certificates of deposit and term deposits, money market funds,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$132.4 million and $119.8 million as of December 31, 2021 and 2020, respectively.</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6"/>
          <w:szCs w:val="16"/>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8"/>
          <w:szCs w:val="18"/>
          <w:color w:val="auto"/>
        </w:rPr>
        <w:t>During 2021, 2020 and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deferred tax assets, and accounts receivable.</w:t>
      </w:r>
    </w:p>
    <w:p>
      <w:pPr>
        <w:spacing w:after="0" w:line="215" w:lineRule="exact"/>
        <w:rPr>
          <w:sz w:val="20"/>
          <w:szCs w:val="20"/>
          <w:color w:val="auto"/>
        </w:rPr>
      </w:pPr>
    </w:p>
    <w:p>
      <w:pPr>
        <w:jc w:val="both"/>
        <w:ind w:right="360" w:firstLine="648"/>
        <w:spacing w:after="0" w:line="243" w:lineRule="auto"/>
        <w:rPr>
          <w:sz w:val="20"/>
          <w:szCs w:val="20"/>
          <w:color w:val="auto"/>
        </w:rPr>
      </w:pPr>
      <w:r>
        <w:rPr>
          <w:rFonts w:ascii="Arial" w:cs="Arial" w:eastAsia="Arial" w:hAnsi="Arial"/>
          <w:sz w:val="18"/>
          <w:szCs w:val="18"/>
          <w:color w:val="auto"/>
        </w:rPr>
        <w:t>Our operating activities during 2021 provided cash flows of $1.50 billion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in our deferred revenue. Our total deferred revenue balance grew $847.6 million, or 33%, during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investments in various companies and business acquisitions. Historically, in making a lease versus ownership decision related to</w:t>
      </w:r>
    </w:p>
    <w:p>
      <w:pPr>
        <w:spacing w:after="0" w:line="1" w:lineRule="exact"/>
        <w:rPr>
          <w:sz w:val="20"/>
          <w:szCs w:val="20"/>
          <w:color w:val="auto"/>
        </w:rPr>
      </w:pPr>
    </w:p>
    <w:p>
      <w:pPr>
        <w:jc w:val="both"/>
        <w:ind w:right="340"/>
        <w:spacing w:after="0" w:line="230" w:lineRule="auto"/>
        <w:rPr>
          <w:sz w:val="20"/>
          <w:szCs w:val="20"/>
          <w:color w:val="auto"/>
        </w:rPr>
      </w:pPr>
      <w:r>
        <w:rPr>
          <w:rFonts w:ascii="Arial" w:cs="Arial" w:eastAsia="Arial" w:hAnsi="Arial"/>
          <w:sz w:val="18"/>
          <w:szCs w:val="18"/>
          <w:color w:val="auto"/>
        </w:rPr>
        <w:t>our larger facilities, we have considered various factors including financial metrics and the impact on our engineers and other employees, and expected long-term growth rates. In certain cases, we have elected to own the facility if we believed that purchasing building or developing buildings rather than leasing is more in line with our long-term strategy. We may make similar decisions in the future. We may also make cash payments in connection with future business combinations.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2021, cash used in investing activities was primarily driven by $752.2 million spent for purchases of investments, net of maturities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of investments, $295.9 million of purchases of property and equipment, a large portion of which relates to our headquarters building construction,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$160.0 million used for purchases of investment in a privately held company, and $74.9 million used for the acquisitions of Alaxala, ShieldX and other, net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cash and $42.5 million used for purchases of marketable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9"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The changes in cash flows from financing activities primarily relate to the issuance of the Notes, repurchase and retirement of common stock, and taxes paid related to net share settlement of equity awards, net of proceeds from the issuance of common stock under the 2009 Plan.</w:t>
      </w:r>
    </w:p>
    <w:p>
      <w:pPr>
        <w:spacing w:after="0" w:line="18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2021, cash provided by financing activities was $82.8 million, primarily driven by $987.0 million in cash proceeds from long-term investment grade debt, net of discount and underwriting fees, partially offset by $741.8 million used to repurchase shares of our common stock and $141.9 million used to pay tax withholding, net of proceeds from the issuance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1 of the notes to our consolidated financial statements in Part II, Item 8 of this Annual Report on Form 10-K for a full description of recently adopted accounting pronouncements.</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Fluctuation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our investment portfolio and outstanding debt.</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investments and marketable equity securities in a variety of securities, including commercial paper, corporate debt securities, U.S. government and agency securities, certificates of deposit and term deposits, money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market funds, municipal bonds and marketable equity securities. The risk associated with fluctuating interest rates is limited to our investment portfolio. A 10% decrease in interest rates in 2021, 2020 and 2019 would have resulted in an insignificant decrease in our interest income in each of these periods.</w:t>
      </w:r>
    </w:p>
    <w:p>
      <w:pPr>
        <w:spacing w:after="0" w:line="15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March 5, 2021, we issued $1.0 billion aggregate principal amount of senior notes, consisting of $500.0 million aggregate principal amount of 1.0% notes due March 15, 2026 and $500.0 million aggregate principal amount of 2.2% notes due March 15, 2031. We carry the senior notes at face value less unamortized discount on our consolidated balance sheets. As the senior notes bear interest at a fixed rate, we have no financial statement risk associated with changes in interest rates. Refer to Note 11. Debt in Part II,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expense—net in the consolidated statements of income. We recognized an expense of $8.2 million in 2021 due to foreign currency transaction losses.</w:t>
      </w:r>
    </w:p>
    <w:p>
      <w:pPr>
        <w:spacing w:after="0" w:line="20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$8.3 million change in the value of our foreign currency cash balances as of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Page</w:t>
            </w:r>
          </w:p>
        </w:tc>
      </w:tr>
      <w:tr>
        <w:trPr>
          <w:trHeight w:val="442"/>
        </w:trPr>
        <w:tc>
          <w:tcPr>
            <w:tcW w:w="1054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No.34)</w:t>
            </w:r>
          </w:p>
        </w:tc>
        <w:tc>
          <w:tcPr>
            <w:tcW w:w="640" w:type="dxa"/>
            <w:vAlign w:val="bottom"/>
            <w:gridSpan w:val="2"/>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20" w:type="dxa"/>
            <w:vAlign w:val="bottom"/>
          </w:tcPr>
          <w:p>
            <w:pPr>
              <w:spacing w:after="0"/>
              <w:rPr>
                <w:sz w:val="24"/>
                <w:szCs w:val="24"/>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60" w:type="dxa"/>
            <w:vAlign w:val="bottom"/>
            <w:gridSpan w:val="3"/>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 xml:space="preserve">Consolidated Balance Sheets as of December 31, 2021 and </w:t>
              </w:r>
            </w:hyperlink>
            <w:r>
              <w:rPr>
                <w:rFonts w:ascii="Arial" w:cs="Arial" w:eastAsia="Arial" w:hAnsi="Arial"/>
                <w:sz w:val="18"/>
                <w:szCs w:val="18"/>
                <w:color w:val="0000FF"/>
                <w:w w:val="88"/>
              </w:rPr>
              <w:t>2020</w:t>
            </w:r>
          </w:p>
        </w:tc>
        <w:tc>
          <w:tcPr>
            <w:tcW w:w="5880" w:type="dxa"/>
            <w:vAlign w:val="bottom"/>
            <w:gridSpan w:val="5"/>
          </w:tcPr>
          <w:p>
            <w:pPr>
              <w:spacing w:after="0"/>
              <w:rPr>
                <w:sz w:val="18"/>
                <w:szCs w:val="18"/>
                <w:color w:val="auto"/>
              </w:rPr>
            </w:pPr>
          </w:p>
        </w:tc>
        <w:tc>
          <w:tcPr>
            <w:tcW w:w="640" w:type="dxa"/>
            <w:vAlign w:val="bottom"/>
            <w:gridSpan w:val="2"/>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540" w:type="dxa"/>
            <w:vAlign w:val="bottom"/>
            <w:gridSpan w:val="4"/>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 xml:space="preserve">Consolidated Statements of Income for the year ended December 31, </w:t>
              </w:r>
            </w:hyperlink>
            <w:r>
              <w:rPr>
                <w:rFonts w:ascii="Arial" w:cs="Arial" w:eastAsia="Arial" w:hAnsi="Arial"/>
                <w:sz w:val="18"/>
                <w:szCs w:val="18"/>
                <w:color w:val="0000FF"/>
                <w:w w:val="89"/>
              </w:rPr>
              <w:t xml:space="preserve">2021, 2020 </w:t>
            </w:r>
            <w:hyperlink w:anchor="page7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4000" w:type="dxa"/>
            <w:vAlign w:val="bottom"/>
            <w:gridSpan w:val="4"/>
          </w:tcPr>
          <w:p>
            <w:pPr>
              <w:spacing w:after="0"/>
              <w:rPr>
                <w:sz w:val="18"/>
                <w:szCs w:val="18"/>
                <w:color w:val="auto"/>
              </w:rPr>
            </w:pPr>
          </w:p>
        </w:tc>
        <w:tc>
          <w:tcPr>
            <w:tcW w:w="640" w:type="dxa"/>
            <w:vAlign w:val="bottom"/>
            <w:gridSpan w:val="2"/>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20" w:type="dxa"/>
            <w:vAlign w:val="bottom"/>
            <w:gridSpan w:val="6"/>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 xml:space="preserve">Consolidated Statements of Comprehensive Income for the year ended December 31, </w:t>
              </w:r>
            </w:hyperlink>
            <w:r>
              <w:rPr>
                <w:rFonts w:ascii="Arial" w:cs="Arial" w:eastAsia="Arial" w:hAnsi="Arial"/>
                <w:sz w:val="18"/>
                <w:szCs w:val="18"/>
                <w:color w:val="0000FF"/>
                <w:w w:val="89"/>
              </w:rPr>
              <w:t xml:space="preserve">2021, 2020 </w:t>
            </w:r>
            <w:hyperlink w:anchor="page75">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2820" w:type="dxa"/>
            <w:vAlign w:val="bottom"/>
            <w:gridSpan w:val="2"/>
          </w:tcPr>
          <w:p>
            <w:pPr>
              <w:spacing w:after="0"/>
              <w:rPr>
                <w:sz w:val="18"/>
                <w:szCs w:val="18"/>
                <w:color w:val="auto"/>
              </w:rPr>
            </w:pPr>
          </w:p>
        </w:tc>
        <w:tc>
          <w:tcPr>
            <w:tcW w:w="64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4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 xml:space="preserve">Consolidated Statements of Consolidated Statements of Equity for the year ended December 31, </w:t>
              </w:r>
            </w:hyperlink>
            <w:r>
              <w:rPr>
                <w:rFonts w:ascii="Arial" w:cs="Arial" w:eastAsia="Arial" w:hAnsi="Arial"/>
                <w:sz w:val="18"/>
                <w:szCs w:val="18"/>
                <w:color w:val="0000FF"/>
              </w:rPr>
              <w:t xml:space="preserve">2021, 2020 </w:t>
            </w:r>
            <w:hyperlink w:anchor="page76">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40" w:type="dxa"/>
            <w:vAlign w:val="bottom"/>
            <w:gridSpan w:val="2"/>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00" w:type="dxa"/>
            <w:vAlign w:val="bottom"/>
            <w:gridSpan w:val="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 xml:space="preserve">Consolidated Statements of Cash Flows for the year ended December 31, </w:t>
              </w:r>
            </w:hyperlink>
            <w:r>
              <w:rPr>
                <w:rFonts w:ascii="Arial" w:cs="Arial" w:eastAsia="Arial" w:hAnsi="Arial"/>
                <w:sz w:val="18"/>
                <w:szCs w:val="18"/>
                <w:color w:val="0000FF"/>
              </w:rPr>
              <w:t xml:space="preserve">2021, 2020 </w:t>
            </w:r>
            <w:hyperlink w:anchor="page77">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2040" w:type="dxa"/>
            <w:vAlign w:val="bottom"/>
          </w:tcPr>
          <w:p>
            <w:pPr>
              <w:spacing w:after="0"/>
              <w:rPr>
                <w:sz w:val="18"/>
                <w:szCs w:val="18"/>
                <w:color w:val="auto"/>
              </w:rPr>
            </w:pPr>
          </w:p>
        </w:tc>
        <w:tc>
          <w:tcPr>
            <w:tcW w:w="640" w:type="dxa"/>
            <w:vAlign w:val="bottom"/>
            <w:gridSpan w:val="2"/>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160" w:type="dxa"/>
            <w:vAlign w:val="bottom"/>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Notes to Consolidated Financial Statements</w:t>
              </w:r>
            </w:hyperlink>
          </w:p>
        </w:tc>
        <w:tc>
          <w:tcPr>
            <w:tcW w:w="3680" w:type="dxa"/>
            <w:vAlign w:val="bottom"/>
            <w:gridSpan w:val="4"/>
          </w:tcPr>
          <w:p>
            <w:pPr>
              <w:spacing w:after="0"/>
              <w:rPr>
                <w:sz w:val="18"/>
                <w:szCs w:val="18"/>
                <w:color w:val="auto"/>
              </w:rPr>
            </w:pPr>
          </w:p>
        </w:tc>
        <w:tc>
          <w:tcPr>
            <w:tcW w:w="3700" w:type="dxa"/>
            <w:vAlign w:val="bottom"/>
            <w:gridSpan w:val="3"/>
          </w:tcPr>
          <w:p>
            <w:pPr>
              <w:spacing w:after="0"/>
              <w:rPr>
                <w:sz w:val="18"/>
                <w:szCs w:val="18"/>
                <w:color w:val="auto"/>
              </w:rPr>
            </w:pPr>
          </w:p>
        </w:tc>
        <w:tc>
          <w:tcPr>
            <w:tcW w:w="640" w:type="dxa"/>
            <w:vAlign w:val="bottom"/>
            <w:gridSpan w:val="2"/>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consolidated balance sheets of Fortinet, Inc. and subsidiaries (the “Company”) as of December 31, 2021 and 2020, the related consolidated statements of income, comprehensive income,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 Refer to Note 13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5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is involved in disputes, litigation and other legal actions in the normal course of business. Claims from third parties may result in a requirement to pay substantial damages and could prevent the Company from selling certain of their products. The Company accrues for a loss contingency if a loss is probable and the amount of the loss can be reasonably estimated. These accruals are generally based on a range of possible outcomes that require significant management judgement.</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Given the inherent uncertainty of the outcome of identified current matters, auditing the valuation assertion of litigation contingencies required a high degree of auditor judgment and an increased extent of effort when performing audit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litigation contingencies included the following, among others:</w:t>
      </w:r>
    </w:p>
    <w:p>
      <w:pPr>
        <w:spacing w:after="0" w:line="171"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litigation contingency accrual analysis and assessment of matters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potential impact.</w:t>
      </w:r>
    </w:p>
    <w:p>
      <w:pPr>
        <w:spacing w:after="0" w:line="171" w:lineRule="exact"/>
        <w:rPr>
          <w:sz w:val="20"/>
          <w:szCs w:val="20"/>
          <w:color w:val="auto"/>
        </w:rPr>
      </w:pPr>
    </w:p>
    <w:p>
      <w:pPr>
        <w:ind w:left="260" w:right="380" w:hanging="252"/>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obtained and evaluated legal letters from internal and external legal counsel, and we discussed with internal legal counsel the pending litigation matters.</w:t>
      </w:r>
    </w:p>
    <w:p>
      <w:pPr>
        <w:spacing w:after="0" w:line="116"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made inquiries with management to obtain an understanding of litigation matters that the Company is currently undergoing.</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read available court filings for litigation matters to search for contradictory information.</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read Board of Directors meeting minutes to search for contradictory information.</w:t>
      </w:r>
    </w:p>
    <w:p>
      <w:pPr>
        <w:spacing w:after="0" w:line="171" w:lineRule="exact"/>
        <w:rPr>
          <w:rFonts w:ascii="Arial" w:cs="Arial" w:eastAsia="Arial" w:hAnsi="Arial"/>
          <w:sz w:val="18"/>
          <w:szCs w:val="18"/>
          <w:color w:val="auto"/>
        </w:rPr>
      </w:pPr>
    </w:p>
    <w:p>
      <w:pPr>
        <w:ind w:left="260" w:right="140" w:hanging="252"/>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evaluated the assumptions used by the Company to estimate the litigation contingency, including corroborating the assumptions with internal legal counsel.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Privately Held Companies – Refer to Notes 1 and 6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fiscal year 2021, the Company invested $160 million in cash for shares of the Series A Preferred Stock of Linksys Holdings, Inc. (“Linksys”), for a 50.8% ownership interest. The Company accounts for its investment in Linksys using the equity method of accounting based on its determination that it does not hold an absolute controlling financial interest but has the ability to exercise significant influence over the operating and financial policies of Linksys. Determining that the Company does not control but exercises significant influence over the operating and financial policies of Linksys required significant management judgement when considering many factors, including but not limited to, the ownership interest in Linksys, board representation, participation in policy-making processes, and participation rights in certain significant financial and operating decisions of Linksys in the ordinary course of business.</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identified the Company’s conclusion to account for its investment in Linksys using the equity method of accounting as a critical audit matter because of the complex judgments involved in determining that the Company does not hold a controlling financial interest but exercises significant influence. This required a high degree of auditor judgment and an increased extent of effort, including the need to involve professionals with expertise in the accounting for equity method investments and consolidation accounting, when performing audit procedures to evaluate the appropriateness of the accounting conclusion.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audit procedures related to the Company’s conclusion to account for its investment in Linksys using the equity method of accounting included the following, among others:</w:t>
      </w:r>
    </w:p>
    <w:p>
      <w:pPr>
        <w:spacing w:after="0" w:line="116" w:lineRule="exact"/>
        <w:rPr>
          <w:sz w:val="20"/>
          <w:szCs w:val="20"/>
          <w:color w:val="auto"/>
        </w:rPr>
      </w:pPr>
    </w:p>
    <w:p>
      <w:pPr>
        <w:ind w:left="260" w:hanging="252"/>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assessment of the appropriateness of the accounting conclusion for the investment in Linksys under the equity method of accounting.</w:t>
      </w:r>
    </w:p>
    <w:p>
      <w:pPr>
        <w:spacing w:after="0" w:line="116" w:lineRule="exact"/>
        <w:rPr>
          <w:rFonts w:ascii="Arial" w:cs="Arial" w:eastAsia="Arial" w:hAnsi="Arial"/>
          <w:sz w:val="18"/>
          <w:szCs w:val="18"/>
          <w:color w:val="auto"/>
        </w:rPr>
      </w:pPr>
    </w:p>
    <w:p>
      <w:pPr>
        <w:ind w:left="260" w:right="580" w:hanging="252"/>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obtained and read the executed Linksys investment agreement to evaluate the accuracy and completeness of the terms used in management’s assessment that the Company does not control but has significant influence over Linksys.</w:t>
      </w:r>
    </w:p>
    <w:p>
      <w:pPr>
        <w:spacing w:after="0" w:line="116" w:lineRule="exact"/>
        <w:rPr>
          <w:rFonts w:ascii="Arial" w:cs="Arial" w:eastAsia="Arial" w:hAnsi="Arial"/>
          <w:sz w:val="18"/>
          <w:szCs w:val="18"/>
          <w:color w:val="auto"/>
        </w:rPr>
      </w:pPr>
    </w:p>
    <w:p>
      <w:pPr>
        <w:ind w:left="260" w:right="400" w:hanging="252"/>
        <w:spacing w:after="0" w:line="259"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accounting for equity method investments and consolidation accounting, we evaluated management’s conclusion to account for the investment in Linksys as an equity method investment, including the appropriateness of the accounting policies applied and the determination that the Company does not control, but has significant influence over the operating and financial policies of Linksys.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line="176" w:lineRule="exact"/>
              <w:rPr>
                <w:sz w:val="20"/>
                <w:szCs w:val="20"/>
                <w:color w:val="auto"/>
              </w:rPr>
            </w:pPr>
            <w:r>
              <w:rPr>
                <w:rFonts w:ascii="Arial" w:cs="Arial" w:eastAsia="Arial" w:hAnsi="Arial"/>
                <w:sz w:val="18"/>
                <w:szCs w:val="18"/>
                <w:color w:val="auto"/>
                <w:w w:val="94"/>
              </w:rPr>
              <w:t>Accounts receivable—Net of allowance for credit losses of $2.4 million and $2.5 million at December</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807.7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31, 2021 and 2020, respectively</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Common stock, $0.001 par value—300.0 shares authorized; 162.0 shares and 162.5 shares issued and</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December 31, 2021 and 2020, respectively</w:t>
            </w: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Fortinet, Inc. 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1,255.0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2,087.2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3,342.2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2,163.0</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1,791.9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2,559.2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1,908.8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55"/>
        </w:trPr>
        <w:tc>
          <w:tcPr>
            <w:tcW w:w="5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 EQUITY</w:t>
            </w:r>
          </w:p>
        </w:tc>
        <w:tc>
          <w:tcPr>
            <w:tcW w:w="1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 INVESTMENT</w:t>
            </w:r>
          </w:p>
        </w:tc>
        <w:tc>
          <w:tcPr>
            <w:tcW w:w="1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LOSS ATTRIBUTABLE TO NON-CONTROLLING</w:t>
            </w:r>
          </w:p>
        </w:tc>
        <w:tc>
          <w:tcPr>
            <w:tcW w:w="1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NET OF TAX</w:t>
            </w:r>
          </w:p>
        </w:tc>
        <w:tc>
          <w:tcPr>
            <w:tcW w:w="1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89"/>
              </w:rPr>
              <w:t>Weighted-average shares used to compute net income per share attributable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to Fortinet, Inc.:</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167.7</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Less: tax provision (benefit) related to items of other comprehensive income or loss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6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0"/>
                <w:szCs w:val="10"/>
                <w:color w:val="auto"/>
              </w:rPr>
            </w:pPr>
          </w:p>
        </w:tc>
        <w:tc>
          <w:tcPr>
            <w:tcW w:w="1000" w:type="dxa"/>
            <w:vAlign w:val="bottom"/>
            <w:gridSpan w:val="2"/>
          </w:tcPr>
          <w:p>
            <w:pPr>
              <w:jc w:val="center"/>
              <w:ind w:right="160"/>
              <w:spacing w:after="0" w:line="122"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(Accumulated</w:t>
            </w: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1,025.5</w:t>
            </w:r>
          </w:p>
        </w:tc>
        <w:tc>
          <w:tcPr>
            <w:tcW w:w="0" w:type="dxa"/>
            <w:vAlign w:val="bottom"/>
          </w:tcPr>
          <w:p>
            <w:pPr>
              <w:spacing w:after="0"/>
              <w:rPr>
                <w:sz w:val="1"/>
                <w:szCs w:val="1"/>
                <w:color w:val="auto"/>
              </w:rPr>
            </w:pPr>
          </w:p>
        </w:tc>
      </w:tr>
      <w:tr>
        <w:trPr>
          <w:trHeight w:val="135"/>
        </w:trPr>
        <w:tc>
          <w:tcPr>
            <w:tcW w:w="5040" w:type="dxa"/>
            <w:vAlign w:val="bottom"/>
          </w:tcPr>
          <w:p>
            <w:pPr>
              <w:ind w:left="220"/>
              <w:spacing w:after="0" w:line="135"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Cumulative-effect adjustment from adoption of ASU 2018-02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Net unrealized gain on investments -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w:t>
            </w:r>
          </w:p>
        </w:tc>
        <w:tc>
          <w:tcPr>
            <w:tcW w:w="0" w:type="dxa"/>
            <w:vAlign w:val="bottom"/>
          </w:tcPr>
          <w:p>
            <w:pPr>
              <w:spacing w:after="0"/>
              <w:rPr>
                <w:sz w:val="1"/>
                <w:szCs w:val="1"/>
                <w:color w:val="auto"/>
              </w:rPr>
            </w:pPr>
          </w:p>
        </w:tc>
      </w:tr>
      <w:tr>
        <w:trPr>
          <w:trHeight w:val="179"/>
        </w:trPr>
        <w:tc>
          <w:tcPr>
            <w:tcW w:w="5040" w:type="dxa"/>
            <w:vAlign w:val="bottom"/>
          </w:tcPr>
          <w:p>
            <w:pPr>
              <w:ind w:left="20"/>
              <w:spacing w:after="0"/>
              <w:rPr>
                <w:sz w:val="20"/>
                <w:szCs w:val="20"/>
                <w:color w:val="auto"/>
              </w:rPr>
            </w:pPr>
            <w:r>
              <w:rPr>
                <w:rFonts w:ascii="Arial" w:cs="Arial" w:eastAsia="Arial" w:hAnsi="Arial"/>
                <w:sz w:val="14"/>
                <w:szCs w:val="14"/>
                <w:color w:val="auto"/>
              </w:rPr>
              <w:t>BALANCE—December 31,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171.7</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1,180.3</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1,342.4</w:t>
            </w:r>
          </w:p>
        </w:tc>
        <w:tc>
          <w:tcPr>
            <w:tcW w:w="0" w:type="dxa"/>
            <w:vAlign w:val="bottom"/>
          </w:tcPr>
          <w:p>
            <w:pPr>
              <w:spacing w:after="0"/>
              <w:rPr>
                <w:sz w:val="1"/>
                <w:szCs w:val="1"/>
                <w:color w:val="auto"/>
              </w:rPr>
            </w:pPr>
          </w:p>
        </w:tc>
      </w:tr>
      <w:tr>
        <w:trPr>
          <w:trHeight w:val="138"/>
        </w:trPr>
        <w:tc>
          <w:tcPr>
            <w:tcW w:w="50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(1,080.1)</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79"/>
        </w:trPr>
        <w:tc>
          <w:tcPr>
            <w:tcW w:w="504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1,207.2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856.0</w:t>
            </w:r>
          </w:p>
        </w:tc>
        <w:tc>
          <w:tcPr>
            <w:tcW w:w="0" w:type="dxa"/>
            <w:vAlign w:val="bottom"/>
          </w:tcPr>
          <w:p>
            <w:pPr>
              <w:spacing w:after="0"/>
              <w:rPr>
                <w:sz w:val="1"/>
                <w:szCs w:val="1"/>
                <w:color w:val="auto"/>
              </w:rPr>
            </w:pPr>
          </w:p>
        </w:tc>
      </w:tr>
      <w:tr>
        <w:trPr>
          <w:trHeight w:val="138"/>
        </w:trPr>
        <w:tc>
          <w:tcPr>
            <w:tcW w:w="50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(741.8)</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Recognition of non-controlling interests upon business combination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unrealized loss on investments - net of tax</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504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BALANCE—December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1,254.2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2"/>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020" w:type="dxa"/>
            <w:vAlign w:val="bottom"/>
          </w:tcPr>
          <w:p>
            <w:pPr>
              <w:jc w:val="center"/>
              <w:ind w:left="3128"/>
              <w:spacing w:after="0"/>
              <w:rPr>
                <w:sz w:val="20"/>
                <w:szCs w:val="20"/>
                <w:color w:val="auto"/>
              </w:rPr>
            </w:pPr>
            <w:r>
              <w:rPr>
                <w:rFonts w:ascii="Arial" w:cs="Arial" w:eastAsia="Arial" w:hAnsi="Arial"/>
                <w:sz w:val="14"/>
                <w:szCs w:val="14"/>
                <w:b w:val="1"/>
                <w:bCs w:val="1"/>
                <w:color w:val="auto"/>
              </w:rPr>
              <w:t>FORTINET, INC.</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20" w:type="dxa"/>
            <w:vAlign w:val="bottom"/>
            <w:gridSpan w:val="2"/>
          </w:tcPr>
          <w:p>
            <w:pPr>
              <w:jc w:val="center"/>
              <w:ind w:left="2728"/>
              <w:spacing w:after="0"/>
              <w:rPr>
                <w:sz w:val="20"/>
                <w:szCs w:val="20"/>
                <w:color w:val="auto"/>
              </w:rPr>
            </w:pPr>
            <w:r>
              <w:rPr>
                <w:rFonts w:ascii="Arial" w:cs="Arial" w:eastAsia="Arial" w:hAnsi="Arial"/>
                <w:sz w:val="14"/>
                <w:szCs w:val="14"/>
                <w:b w:val="1"/>
                <w:bCs w:val="1"/>
                <w:color w:val="auto"/>
              </w:rPr>
              <w:t>CONSOLIDATED STATEMENTS OF CASH FLOWS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jc w:val="center"/>
              <w:ind w:left="3128"/>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Net income including non-controlling interests</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606.7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488.5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331.7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Amortization of deferred contract costs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Amortization of investment premiums (discounts)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Loss from equity method investment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receivable—net</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Inventory</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Deferred contract costs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tax assets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Accrued liabilities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payroll and compensation</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Other liabilities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84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1,083.7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808.0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Purchases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(2,308.0)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(1,332.3)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Sales of investments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Maturities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925.5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Purchases of investment in privately held company</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Purchases of marketable equity securities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84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(502.3)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Payments for debt issuance costs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Payments of debt assumed in connection with business combination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Repurchase and retirement of common stock</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Taxes paid related to net share settlement of equity awards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Net cash provided by (used in) financing activities</w:t>
            </w: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AND CASH EQUIVALENTS—Beginning of year</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AND CASH EQUIVALENTS—End of year</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7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Cash paid for income taxes—net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Finance lease liabilities arising from obtaining right-of-use assets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70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NON-CASH INVESTING AND FINANCING ACTIVITIES:</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7"/>
                <w:szCs w:val="17"/>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Liability for purchase of property and equipment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Liability incurred in connection with business combination</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SUMMARY OF SIGNIFICANT ACCOUNTING POLICIES</w:t>
      </w:r>
    </w:p>
    <w:p>
      <w:pPr>
        <w:spacing w:after="0" w:line="252"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2000 and is a global leader in broad, integrated and automated</w:t>
      </w:r>
      <w:r>
        <w:rPr>
          <w:rFonts w:ascii="Arial" w:cs="Arial" w:eastAsia="Arial" w:hAnsi="Arial"/>
          <w:sz w:val="18"/>
          <w:szCs w:val="18"/>
          <w:b w:val="1"/>
          <w:bCs w:val="1"/>
          <w:color w:val="auto"/>
        </w:rPr>
        <w:t xml:space="preserve"> </w:t>
      </w:r>
      <w:r>
        <w:rPr>
          <w:rFonts w:ascii="Arial" w:cs="Arial" w:eastAsia="Arial" w:hAnsi="Arial"/>
          <w:sz w:val="18"/>
          <w:szCs w:val="18"/>
          <w:color w:val="auto"/>
        </w:rPr>
        <w:t>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Fortinet Security Fabric cybersecurity mesh platform with automated protection, detection and responses.</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consolidated financial statements of Fortinet and its subsidiaries (collectively,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“we,” “us” or “our”) have been prepared in accordance with generally accepted accounting principles in the United States (“GAAP”). We consolidate all legal entities in which we have an absolute controlling financial interest. All intercompany transactions and balances have been eliminated in consolidation.</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in accordance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amounts reported in the consolidated financial statements and accompanying notes. Such management estimates include, but are not limited to, the determination of contingent liabilities, the determination of our ability to exercise control or significant influence over our investee, the standalone selling price for our products and services, the period of benefit for deferred contract costs for commissions, stock-based compensation, inventory valuation, the fair value of tangible and intangible assets acquired and liabilities assumed in business combinations, the measurement of liabilities for uncertain tax positions and deferred tax assets and liabilities, the assessment of recoverability of our goodwill and other long-lived assets, measurement of non-marketable equity securities and the determination of sales returns reserves. We base our estimates on historical experience and also on assumptions that we believe are reasonable. Actual results could differ materially from those estimates.</w:t>
      </w:r>
    </w:p>
    <w:p>
      <w:pPr>
        <w:spacing w:after="0" w:line="199"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6"/>
          <w:szCs w:val="16"/>
          <w:b w:val="1"/>
          <w:bCs w:val="1"/>
          <w:color w:val="auto"/>
        </w:rPr>
        <w:t>Concentration Risk</w:t>
      </w:r>
      <w:r>
        <w:rPr>
          <w:rFonts w:ascii="Arial" w:cs="Arial" w:eastAsia="Arial" w:hAnsi="Arial"/>
          <w:sz w:val="16"/>
          <w:szCs w:val="16"/>
          <w:color w:val="auto"/>
        </w:rPr>
        <w:t>—Financial instruments that subject us to concentrations of credit risk consist primarily of cash, cash equivalents, short-term</w:t>
      </w:r>
      <w:r>
        <w:rPr>
          <w:rFonts w:ascii="Arial" w:cs="Arial" w:eastAsia="Arial" w:hAnsi="Arial"/>
          <w:sz w:val="16"/>
          <w:szCs w:val="16"/>
          <w:b w:val="1"/>
          <w:bCs w:val="1"/>
          <w:color w:val="auto"/>
        </w:rPr>
        <w:t xml:space="preserve"> </w:t>
      </w:r>
      <w:r>
        <w:rPr>
          <w:rFonts w:ascii="Arial" w:cs="Arial" w:eastAsia="Arial" w:hAnsi="Arial"/>
          <w:sz w:val="16"/>
          <w:szCs w:val="16"/>
          <w:color w:val="auto"/>
        </w:rPr>
        <w:t>and long-term investments, marketable equity securities and accounts receivable. Our cash balances are maintained as deposits with various large financial institutions in the United States and around the world. Balances in the United States typically exceed the amount of insurance provided on such deposits.</w:t>
      </w:r>
    </w:p>
    <w:p>
      <w:pPr>
        <w:spacing w:after="0" w:line="2" w:lineRule="exact"/>
        <w:rPr>
          <w:sz w:val="20"/>
          <w:szCs w:val="20"/>
          <w:color w:val="auto"/>
        </w:rPr>
      </w:pPr>
    </w:p>
    <w:p>
      <w:pPr>
        <w:jc w:val="both"/>
        <w:ind w:right="200"/>
        <w:spacing w:after="0" w:line="323" w:lineRule="auto"/>
        <w:rPr>
          <w:sz w:val="20"/>
          <w:szCs w:val="20"/>
          <w:color w:val="auto"/>
        </w:rPr>
      </w:pPr>
      <w:r>
        <w:rPr>
          <w:rFonts w:ascii="Arial" w:cs="Arial" w:eastAsia="Arial" w:hAnsi="Arial"/>
          <w:sz w:val="16"/>
          <w:szCs w:val="16"/>
          <w:color w:val="auto"/>
        </w:rPr>
        <w:t>We maintain our cash equivalents and investments in money market funds, corporate debt securities, U.S. government and agency securities, commercial paper, certificates of deposit and term deposits and municipal bonds with major financial institutions that our management believes are financially sound.</w:t>
      </w:r>
    </w:p>
    <w:p>
      <w:pPr>
        <w:spacing w:after="0" w:line="16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accounts receivable are derived from our customers in various geographic locations. We perform ongoing credit evaluations of our customers. We generally do not require collateral on accounts receivable, and we maintain reserves for estimated credit losses. As of December 31, 2021, Exclusive Networks Group (“Exclusive”), TD Synnex and Ingram Micro Inc. (“Ingram Micro”) accounted for 33%, 13% and 13% of total net accounts receivable, respectively. As of December 31, 2020, Exclusive and Ingram Micro accounted for 34% and 11% of total net accounts receivable, respectively.</w:t>
      </w:r>
    </w:p>
    <w:p>
      <w:pPr>
        <w:spacing w:after="0" w:line="18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2021, Exclusive and Ingram Micro accounted for 31% and 12% of total revenue, respectively. During 2020, Exclusive and Ingram Micro accounted for 30% and 10% of total revenue, respectively. During 2019, Exclusive and Ingram Micro accounted for 31% and 11% of total revenue, respectively.</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rely on a small number of manufacturing partners, primarily in Taiwan, to manufacture our products, and some of the chips and other components of our products used by the contract manufacturers are available from limited or sole sources of supply. Our proprietary Application-Specific Integrated Circuits are built by contract manufacturers located in Japan and Taiwan; other integrated circuits are provided by other chip manufacturers and are currently in short supply.</w:t>
      </w:r>
    </w:p>
    <w:p>
      <w:pPr>
        <w:spacing w:after="0" w:line="210"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define fair value as the price that would be received from selling an asset, or paid to transfer a</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b w:val="1"/>
          <w:bCs w:val="1"/>
          <w:color w:val="auto"/>
        </w:rPr>
        <w:t>Comprehensive Income</w:t>
      </w:r>
      <w:r>
        <w:rPr>
          <w:rFonts w:ascii="Arial" w:cs="Arial" w:eastAsia="Arial" w:hAnsi="Arial"/>
          <w:sz w:val="16"/>
          <w:szCs w:val="16"/>
          <w:color w:val="auto"/>
        </w:rPr>
        <w:t>—Comprehensive income includes certain changes in equity from non-owner sources that are excluded from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cumulative foreign currency translation adjustments, unrealized gains and losses on available-for-sale investments and the related tax impact.</w:t>
      </w:r>
    </w:p>
    <w:p>
      <w:pPr>
        <w:spacing w:after="0" w:line="1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Foreign Currency and Transaction Gains and Losses</w:t>
      </w:r>
      <w:r>
        <w:rPr>
          <w:rFonts w:ascii="Arial" w:cs="Arial" w:eastAsia="Arial" w:hAnsi="Arial"/>
          <w:sz w:val="18"/>
          <w:szCs w:val="18"/>
          <w:color w:val="auto"/>
        </w:rPr>
        <w:t>—The functional currency for most of our foreign subsidiaries is the U.S. dollar.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subsidiary whose functional currency is the local currency, we translate the financial statements of these subsidiaries to U.S. dollars using the exchange rates in effect at the balance sheet dates for assets and liabilities, and average monthly rates of exchange for revenues, costs, and expenses. We record translation gains and losses in accumulated other comprehensive income as a component of equity. We reflect net foreign exchange transaction gains and losses resulting from the conversion of the transaction currency to functional currency as a component of foreign currency exchange gain (loss) in other expense, net. We recognized a foreign currency loss of $8.2 million, $5.5 million and $4.7 million in other expense, net, for 2021, 2020, and 2019, respectively.</w:t>
      </w:r>
    </w:p>
    <w:p>
      <w:pPr>
        <w:spacing w:after="0" w:line="2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—We consider all highly liquid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Cash and cash equivalents consist of balances with banks and highly liquid investments in commercial paper, corporate debt, term deposits and money market funds.</w:t>
      </w:r>
    </w:p>
    <w:p>
      <w:pPr>
        <w:spacing w:after="0" w:line="189"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b w:val="1"/>
          <w:bCs w:val="1"/>
          <w:color w:val="auto"/>
        </w:rPr>
        <w:t>Available-for-Sale Investments</w:t>
      </w:r>
      <w:r>
        <w:rPr>
          <w:rFonts w:ascii="Arial" w:cs="Arial" w:eastAsia="Arial" w:hAnsi="Arial"/>
          <w:sz w:val="18"/>
          <w:szCs w:val="18"/>
          <w:color w:val="auto"/>
        </w:rPr>
        <w:t>—We hold investment grade securities consisting of commercial paper, corporate debt securities,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and agency securities, certificates of deposit and term deposits, money market funds and municipal bonds that our management believes are financially sound. We classify our investments as available-for-sale (“AFS”) at the time of purchase, since it is our intent that these investments are available for current operations. Investments with original maturities greater than three months with a remaining maturity of less than one year from the consolidated balance sheet date are classified as short-term investments. Investments with remaining maturities greater than one year from the consolidated balance sheet date are classified as long-term investments.</w:t>
      </w:r>
    </w:p>
    <w:p>
      <w:pPr>
        <w:spacing w:after="0" w:line="220"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Our AFS investments in debt securities are carried at estimated fair value with any unrealized gains and losses, net of taxes, included in accumulated other comprehensive income (loss) in consolidated statements of equity.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 Once an impairment is determined to be attributable to credit-related factors, allowance for credit losses (i.e., the credit loss component) on AFS debt securities is recognized as credit loss expense, a charge in other expense—net, on our consolidated statements of income, and any remaining unrealized losses (i.e., the non-credit loss component), net of taxes, are included in accumulated other comprehensive income (loss) on our consolidated statements of equity.</w:t>
      </w:r>
    </w:p>
    <w:p>
      <w:pPr>
        <w:spacing w:after="0" w:line="20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Prior to 2020, we followed the guidance in Accounting Standards Codification (“ASC”) 320 Investments—Debt and Equity Securities in determining whether unrealized losses were other than temporary. In June 2016, the Financial Accounting Standards Board (the “FASB”) issued Accounting Standards Update (“ASU”) 2016-13—Financial Instruments—Credit Losses (Topic 326): Measurement of Credit Losses on Financial Instruments (“Topic 326”). We adopted Topic 326 on January 1, 2020, and now consider whether unrealized losses have resulted from a credit loss or other factors. The unrealized losses on our AFS debt securities as of December 31, 2021 and 2020 were caused by fluctuations in market value and interest rates as a result of the market conditions. We concluded that an allowance for credit losses was unnecessary as of December 31, 2021 and 2020 and that the unrealized losses as of December 31, 2019 were temporary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 ended December 31, 2021 and 2020, and there was no impairment charge for any unrealized losses in 2019.</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determine realized gains or losses on sale of AFS debt securities using specific identification method to determine the cost basis of investments sold and record such gains or losses as other income (expense)-net on the consolidated statements of income. We have elected to not record an allowance for credit losses for accrued interest for AFS investments in debt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will reverse the accrued interest against interest income in the period in which we determine the accrued interest to be uncollectible.</w:t>
      </w:r>
    </w:p>
    <w:p>
      <w:pPr>
        <w:spacing w:after="0" w:line="26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Marketable Equity Securities</w:t>
      </w:r>
      <w:r>
        <w:rPr>
          <w:rFonts w:ascii="Arial" w:cs="Arial" w:eastAsia="Arial" w:hAnsi="Arial"/>
          <w:sz w:val="18"/>
          <w:szCs w:val="18"/>
          <w:color w:val="auto"/>
        </w:rPr>
        <w:t>—Our marketable equity investments with readily determinable fair values are accounted for at fair value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Realized gains and losses on these securities are reported in other income (expense)-net, and are determined using the specific identification method.</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b w:val="1"/>
          <w:bCs w:val="1"/>
          <w:color w:val="auto"/>
        </w:rPr>
        <w:t>Investments in privately held companies</w:t>
      </w:r>
      <w:r>
        <w:rPr>
          <w:rFonts w:ascii="Arial" w:cs="Arial" w:eastAsia="Arial" w:hAnsi="Arial"/>
          <w:sz w:val="17"/>
          <w:szCs w:val="17"/>
          <w:color w:val="auto"/>
        </w:rPr>
        <w:t>—Our investments in privately held companies consist of investments in common stock or in-substance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of entities. Certain of these investments provide us with the ability to exercise significant influence over the investee, but not an absolute controlling financial interest. These investments are accounted for under the equity method of accounting and were initially recorded at cost. Subsequently, we recognize our proportionate share of the entities’ net income or loss and the amortization of any basis differences as gain or loss from equity method investments in the consolidated statements of income and as an adjustment to the investment balance. We record our proportionate share of the results of equity method investments on a three-month lag basis. We evaluate our equity method investments at the end of each reporting period to determine whether events or changes in business circumstances indicate that the carrying value of the investment may not be recoverable. As of December 31, 2021, our investment in Linksys Holdings, Inc. (“Linksys”) was our only equity method investment and was recorded in other assets. Our remaining investments in privately held companies are recorded at cost and are not material.</w:t>
      </w:r>
    </w:p>
    <w:p>
      <w:pPr>
        <w:spacing w:after="0" w:line="21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On January 1, 2020, we adopted Topic 326,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guidance on how to measure credit losses on financial instruments, including accounts receivable. Prior to our adoption of Topic 326, our accounts receivable balance was reduced by an allowance for doubtful accounts that we determined based on our assessment of the collectability of customer accounts. Under Topic 326,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177" w:lineRule="exact"/>
        <w:rPr>
          <w:sz w:val="20"/>
          <w:szCs w:val="20"/>
          <w:color w:val="auto"/>
        </w:rPr>
      </w:pPr>
    </w:p>
    <w:p>
      <w:pPr>
        <w:ind w:right="60" w:firstLine="648"/>
        <w:spacing w:after="0" w:line="228" w:lineRule="auto"/>
        <w:rPr>
          <w:sz w:val="20"/>
          <w:szCs w:val="20"/>
          <w:color w:val="auto"/>
        </w:rPr>
      </w:pPr>
      <w:r>
        <w:rPr>
          <w:rFonts w:ascii="Arial" w:cs="Arial" w:eastAsia="Arial" w:hAnsi="Arial"/>
          <w:sz w:val="18"/>
          <w:szCs w:val="18"/>
          <w:color w:val="auto"/>
        </w:rPr>
        <w:t>We further consider collectability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Expected credit losses are recorded as general and administrative expenses on our consolidated statements of income. The allowance for credit losses was $2.4 million and $2.5 million as of December 31, 2021 and 2020, respectively. Provisions, write-offs and recoveries were not material during the years ended December 31, 2021, 2020 and 2019.</w:t>
      </w:r>
    </w:p>
    <w:p>
      <w:pPr>
        <w:spacing w:after="0" w:line="21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or net realizable value. Cost is computed using the first-in, first-out method. In assessing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207" w:lineRule="exact"/>
        <w:rPr>
          <w:sz w:val="20"/>
          <w:szCs w:val="20"/>
          <w:color w:val="auto"/>
        </w:rPr>
      </w:pPr>
    </w:p>
    <w:p>
      <w:pPr>
        <w:ind w:right="200" w:firstLine="648"/>
        <w:spacing w:after="0" w:line="260"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We do not depreciate the allocated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 Depreciation is computed using the straight-line method over the estimated useful lives of the assets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4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Estimated Useful Lives</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40 years</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26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60" w:type="dxa"/>
            <w:vAlign w:val="bottom"/>
          </w:tcPr>
          <w:p>
            <w:pPr>
              <w:jc w:val="right"/>
              <w:spacing w:after="0"/>
              <w:rPr>
                <w:sz w:val="20"/>
                <w:szCs w:val="20"/>
                <w:color w:val="auto"/>
              </w:rPr>
            </w:pPr>
            <w:r>
              <w:rPr>
                <w:rFonts w:ascii="Arial" w:cs="Arial" w:eastAsia="Arial" w:hAnsi="Arial"/>
                <w:sz w:val="18"/>
                <w:szCs w:val="18"/>
                <w:color w:val="auto"/>
              </w:rPr>
              <w:t>3 to 8 years</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319"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—We include the results of operations of the businesses that we acquire as of the respective dates of acquisition.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 the fair value of the purchase price of our business acquisitions to the tangible and intangible assets acquired and liabilities assumed, based on their estimated fair values. The excess of the purchase price over the fair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values of these identifiable assets and liabilities is recorded as goodwill. Our estimates and assumptions are subject to change and we often continue to gather additional information throughout the measurement period, which is up to 12 months after the acquisition date, and if we make changes to the amounts recorded, such amounts are recorded in the period in which they are identified.</w:t>
      </w:r>
    </w:p>
    <w:p>
      <w:pPr>
        <w:spacing w:after="0" w:line="207"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—We evaluate events and changes in circumstances that could indicate carrying amounts of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were no impairments in 2021, 2020 and 2019.</w:t>
      </w:r>
    </w:p>
    <w:p>
      <w:pPr>
        <w:spacing w:after="0" w:line="20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purchase consideration over the estimated fair value of net assets of businesses acquired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 over its fair value is recognized as an impairment loss in goodwill, limited to the total amount of goodwill allocated to that reporting unit.</w:t>
      </w:r>
    </w:p>
    <w:p>
      <w:pPr>
        <w:spacing w:after="0" w:line="2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performed our annual goodwill impairment analysis and did not identify any impairment indicators as a result of the review. As of December 31, 2021, we had one reporting unit.</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7"/>
          <w:szCs w:val="17"/>
          <w:b w:val="1"/>
          <w:bCs w:val="1"/>
          <w:color w:val="auto"/>
        </w:rPr>
        <w:t>Other Intangible Assets</w:t>
      </w:r>
      <w:r>
        <w:rPr>
          <w:rFonts w:ascii="Arial" w:cs="Arial" w:eastAsia="Arial" w:hAnsi="Arial"/>
          <w:sz w:val="17"/>
          <w:szCs w:val="17"/>
          <w:color w:val="auto"/>
        </w:rPr>
        <w:t>—Intangible assets with finite lives are carried at cost, less accumulated amortization. Amortization is computed using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straight-line or accelerated method over the estimated economic lives of the assets, which range from one to ten years.</w:t>
      </w:r>
    </w:p>
    <w:p>
      <w:pPr>
        <w:spacing w:after="0" w:line="16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18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elected to account for Global Intangible Low-Taxed Income (“GILTI”), which was introduced in the 2017 Tax Act, as a current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9"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fair value of restricted stock units (“RSUs”) is based on the closing market price of our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We have elected to use the Black-Scholes-Merton (“Black-Scholes”) pricing model to determine the fair value of our employee stock options and our equity incentive plans. Stock-based compensation expense is amortized on a straight-line basis over the service period. We account for forfeitures of all stock-based payment awards when they occur.</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—We determine if an arrangement is a lease at inception. The right-of-use (“ROU”) assets and the short and long-term lease liabilities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leases are included in other assets, accrued liabilities and other liabilities in our consolidated balance sheets, respectively. The corresponding assets and, the short and long-term lease liabilities from our finance leases are included in property and equipment, accrued liabilities and other liabilities in our consolidated balance sheets, respectively.</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and initial direct costs,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18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Our advertising expenses were not material for any periods presented.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20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02" w:lineRule="exact"/>
        <w:rPr>
          <w:sz w:val="20"/>
          <w:szCs w:val="20"/>
          <w:color w:val="auto"/>
        </w:rPr>
      </w:pPr>
    </w:p>
    <w:p>
      <w:pPr>
        <w:jc w:val="both"/>
        <w:ind w:right="60" w:firstLine="648"/>
        <w:spacing w:after="0" w:line="272" w:lineRule="auto"/>
        <w:rPr>
          <w:sz w:val="20"/>
          <w:szCs w:val="20"/>
          <w:color w:val="auto"/>
        </w:rPr>
      </w:pPr>
      <w:r>
        <w:rPr>
          <w:rFonts w:ascii="Arial" w:cs="Arial" w:eastAsia="Arial" w:hAnsi="Arial"/>
          <w:sz w:val="16"/>
          <w:szCs w:val="16"/>
          <w:b w:val="1"/>
          <w:bCs w:val="1"/>
          <w:color w:val="auto"/>
        </w:rPr>
        <w:t>Deferred Contract Costs and Commission Expense</w:t>
      </w:r>
      <w:r>
        <w:rPr>
          <w:rFonts w:ascii="Arial" w:cs="Arial" w:eastAsia="Arial" w:hAnsi="Arial"/>
          <w:sz w:val="16"/>
          <w:szCs w:val="16"/>
          <w:color w:val="auto"/>
        </w:rPr>
        <w:t>—Sales commissions earned by our sales force are considered incremental and recoverable</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w:t>
      </w:r>
    </w:p>
    <w:p>
      <w:pPr>
        <w:spacing w:after="0" w:line="2"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Commission costs for initial contracts that are not commensurate with commissions on renewal contracts are amortized on a straight-line basis over the period of benefit, which we have determined to be five years and which is typically longer than the initial contract term. The amortization of deferred contract costs is included in sales and marketing expense in our consolidated statements of income. Amortization of deferred contract costs during 2021, 2020 and 2019 was $175.9 million, $137.4 million and $107.9 million, respectively. No impairment loss was recognized during 2021, 2020 and 2019.</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80" w:firstLine="648"/>
        <w:spacing w:after="0" w:line="245"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spacing w:after="0" w:line="208"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—Our revenue consists of product and service revenue. Revenues are recognized when control of these goods or services is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our customers, in an amount that reflects the consideration we expect to be entitled to in exchange for those goods or services. We determine revenue recognition through the following steps:</w:t>
      </w:r>
    </w:p>
    <w:p>
      <w:pPr>
        <w:spacing w:after="0" w:line="207" w:lineRule="exact"/>
        <w:rPr>
          <w:sz w:val="20"/>
          <w:szCs w:val="20"/>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300" w:hanging="320"/>
        <w:spacing w:after="0" w:line="250"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and evaluating the distinct goods or services in a contract;</w:t>
      </w: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derive a majority of product sales from our FortiGate hardware and virtual machine products which include a broad set of built-in security and networking features and functionalities, including firewall, next-generation firewall, secure web gateway, secure sockets layer (“SSL”) inspection, software-defined wide-area network, intrusion prevention, SSL data leak prevention, virtual private network, switch and wireless controller and wide area network edge.</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recognize product revenue upon shipment when control of the promised goods is transferred to the customer. Our term software licenses represent multiple performance obligations, which include software licenses and software support services where the term licenses are recognized upfront upon transfer of control, with the associated software support services recognized ratably over the contract term as services and software updates are provided.</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Service revenue relates to sales of our FortiGuard security subscription, FortiCare technical support services and other services. Our typical subscription and contractual support term is one to five years. We generally recognize revenue from these services ratably over the support period because of continuous transfer of control to the customer. We also generate a small portion of our revenue from other services consisting of professional services, training and software-as-a-service (“SaaS”) which is either hosted by us or provided through cloud-providers.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19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Revenue is reported net of sales tax.</w:t>
      </w:r>
    </w:p>
    <w:p>
      <w:pPr>
        <w:spacing w:after="0" w:line="20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$49.2 million and $43.0 million as of December 31, 2021 and 2020, respectively, and is included in current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generally invoice at the time of our sale for the total price of the hardware, software licenses, security and technical support and other services. Standard payment terms are generally no more than 60 days, though we continue to offer extended payment terms to certain distributors. We also invoice certain services on a monthly basis. Amounts billed and due from our customers are classified as receivables on the balance sheet and do not bear interest. Our deferred revenue primarily consists of amounts that have been invoiced but have not been recognized as revenue as of period end.</w:t>
      </w:r>
    </w:p>
    <w:p>
      <w:pPr>
        <w:spacing w:after="0" w:line="18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Shipping and handling fees charged to our customers are recognized as revenue in the period shipped and the related costs for providing these services are recorded in cost of revenue. Shipping and handling fees recognized were not material during 2021, 2020 and 2019.</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one-year warranty for most hardware products and a 90-day warranty for software. We also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was not significant as of December 31, 2021 and 2020.</w:t>
      </w:r>
    </w:p>
    <w:p>
      <w:pPr>
        <w:spacing w:after="0" w:line="2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Contingent Liabilities</w:t>
      </w:r>
      <w:r>
        <w:rPr>
          <w:rFonts w:ascii="Arial" w:cs="Arial" w:eastAsia="Arial" w:hAnsi="Arial"/>
          <w:sz w:val="17"/>
          <w:szCs w:val="17"/>
          <w:color w:val="auto"/>
        </w:rPr>
        <w:t>—From time to time, we are involved in disputes, litigation, and other legal actions. There are many uncertainties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periodically review significant claims and litigation matters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was effective for us beginning on January 1, 2021. The adoption of this guidance did not have any impact on our consolidated financial statements and accompanying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In October 2021, the FASB issued ASU 2021-08—Business Combinations (“Topic 805”): Accounting for Contract Assets and Contract Liabilities from Contracts with Customers. The amendments in ASU 2021-08 require that an entity recognizes and measures contract assets and contract liabilities acquired in a business combination in accordance with ASC 606, Revenue from Contracts with Customers (“Topic 606”). At the acquisition date, an acquirer should account for the related revenue contracts in accordance with Topic 606 as if it had originated the contracts. The amendments improve comparability for both the recognition and measurement of acquired revenue contracts with customers at the date of and after a business combination.</w:t>
      </w:r>
    </w:p>
    <w:p>
      <w:pPr>
        <w:spacing w:after="0" w:line="173" w:lineRule="exact"/>
        <w:rPr>
          <w:sz w:val="20"/>
          <w:szCs w:val="20"/>
          <w:color w:val="auto"/>
        </w:rPr>
      </w:pPr>
    </w:p>
    <w:p>
      <w:pPr>
        <w:ind w:right="120" w:firstLine="648"/>
        <w:spacing w:after="0" w:line="228" w:lineRule="auto"/>
        <w:rPr>
          <w:sz w:val="20"/>
          <w:szCs w:val="20"/>
          <w:color w:val="auto"/>
        </w:rPr>
      </w:pPr>
      <w:r>
        <w:rPr>
          <w:rFonts w:ascii="Arial" w:cs="Arial" w:eastAsia="Arial" w:hAnsi="Arial"/>
          <w:sz w:val="18"/>
          <w:szCs w:val="18"/>
          <w:color w:val="auto"/>
        </w:rPr>
        <w:t>We early adopted ASU 2021-08 on January 1, 2021 on a retrospective basis for all business combinations for which the acquisition date occurred subsequent to January 1, 2021. The adoption of ASU 2021-08 resulted in the increase of goodwill by $3.0 million attributable mainly to the acquisition of Alaxala in 2021, as a result of the revised measurement of the assumed deferred revenue balance. The adoption of ASU 2021-08 did not have a material impact to our consolidated statement of income or consolidated statement of cash flows. The adoption did not have a material impact on the other acquisitions in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FortiGate network security products, our Fortinet Security Fabric cybersecurity mesh platform products and other products. Service revenue relates to sales of our security subscription services, which mainly consists of our FortiGuard security solutions, as well as our FortiCare technical support services and other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Service: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29"/>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r>
      <w:tr>
        <w:trPr>
          <w:trHeight w:val="223"/>
        </w:trPr>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2,087.2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3,342.2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2,163.0</w:t>
            </w:r>
          </w:p>
        </w:tc>
      </w:tr>
      <w:tr>
        <w:trPr>
          <w:trHeight w:val="21"/>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deferred revenue consists of amounts that have been invoiced but have not been recognized as revenue as of period end. During 2021, we recognized $1.37 billion in revenue that was included in the deferred revenue balance as of December 31, 2020. During 2020, we recognized $1.15 billion in revenue that was included in the deferred revenue balance 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December 31, 2021, the aggregate amount of the transaction price allocated to remaining performance obligations was $3.45 billion, which was substantially comprised of deferred security subscription and technical support services. We expect to recognize approximately $1.78 billion as revenue over the next 12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539.5</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060" w:type="dxa"/>
            <w:vAlign w:val="bottom"/>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w:t>
            </w:r>
          </w:p>
        </w:tc>
      </w:tr>
      <w:tr>
        <w:trPr>
          <w:trHeight w:val="21"/>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50"/>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48"/>
        </w:trPr>
        <w:tc>
          <w:tcPr>
            <w:tcW w:w="5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80" w:hanging="154"/>
        <w:spacing w:after="0"/>
        <w:tabs>
          <w:tab w:leader="none" w:pos="18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31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7"/>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7"/>
              </w:rPr>
              <w:t>(0.2)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97"/>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97"/>
              </w:rPr>
              <w:t>(1.2)</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(1.0)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97"/>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97"/>
              </w:rPr>
              <w:t>(0.1)</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7"/>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7"/>
              </w:rPr>
              <w:t>(2.5)</w:t>
            </w:r>
          </w:p>
        </w:tc>
      </w:tr>
      <w:tr>
        <w:trPr>
          <w:trHeight w:val="20"/>
        </w:trPr>
        <w:tc>
          <w:tcPr>
            <w:tcW w:w="4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5"/>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2020</w:t>
            </w:r>
          </w:p>
        </w:tc>
      </w:t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within one to three years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equity and in comprehensive income.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25" w:lineRule="exact"/>
        <w:rPr>
          <w:sz w:val="20"/>
          <w:szCs w:val="20"/>
          <w:color w:val="auto"/>
        </w:rPr>
      </w:pPr>
    </w:p>
    <w:p>
      <w:pPr>
        <w:ind w:right="340" w:firstLine="583"/>
        <w:spacing w:after="0" w:line="246" w:lineRule="auto"/>
        <w:rPr>
          <w:sz w:val="20"/>
          <w:szCs w:val="20"/>
          <w:color w:val="auto"/>
        </w:rPr>
      </w:pPr>
      <w:r>
        <w:rPr>
          <w:rFonts w:ascii="Arial" w:cs="Arial" w:eastAsia="Arial" w:hAnsi="Arial"/>
          <w:sz w:val="18"/>
          <w:szCs w:val="18"/>
          <w:color w:val="auto"/>
        </w:rPr>
        <w:t>Our marketable equity securities were $38.6 million as of December 31, 2021. The changes in fair value of our marketable equity securities are recorded in other expense, net on the consolidated statements of income. We recognized $5.1 million of losses in 2021.</w:t>
      </w:r>
    </w:p>
    <w:p>
      <w:pPr>
        <w:spacing w:after="0" w:line="21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10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2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8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94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4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94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760" w:type="dxa"/>
            <w:vAlign w:val="bottom"/>
          </w:tcPr>
          <w:p>
            <w:pPr>
              <w:jc w:val="center"/>
              <w:ind w:right="55"/>
              <w:spacing w:after="0" w:line="122"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94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(Level 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480"/>
              <w:spacing w:after="0" w:line="176" w:lineRule="exact"/>
              <w:rPr>
                <w:sz w:val="20"/>
                <w:szCs w:val="20"/>
                <w:color w:val="auto"/>
              </w:rPr>
            </w:pPr>
            <w:r>
              <w:rPr>
                <w:rFonts w:ascii="Arial" w:cs="Arial" w:eastAsia="Arial" w:hAnsi="Arial"/>
                <w:sz w:val="18"/>
                <w:szCs w:val="18"/>
                <w:color w:val="auto"/>
                <w:w w:val="96"/>
              </w:rPr>
              <w:t>U.S. government and agency</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vMerge w:val="restart"/>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Certificates of deposit and</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Marketable equity securities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years ended December 31,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620.5</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We completed construction of a second building at our headquarters campus and it has been placed in service as of June 30, 2021. In conjunction with the completion of the building, we evaluated the range of useful lives of our property and equipment. The range of useful lives for buildings and improvements is now two to forty years, an increase from two to thirty years, and for furniture and fixtures the range is now three to eight years, an increase from three to five years.</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During 2021, we purchased certain real estate in the United States, Canada and France totaling $180.9 million. The purchases were accounted for under the asset acquisition method. The cost of the assets acquired was allocated to land, buildings, and construction-in-progress based on their relative fair values. The amounts allocated to land, buildings, and construction-in-progress were $111.1 million, $68.9 million and $0.9 million, respectively.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$65.9 million, $55.5 million and $50.7 million in 2021, 2020 and 2019, respectively.</w:t>
      </w:r>
    </w:p>
    <w:p>
      <w:pPr>
        <w:spacing w:after="0" w:line="248"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Linksys Holdings, Inc.</w:t>
      </w:r>
    </w:p>
    <w:p>
      <w:pPr>
        <w:spacing w:after="0" w:line="225"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for a 32.6% ownership interest. On September 24, 2021, we invested an additional $85.0 million in cash for shares of Series A Preferred Stock of Linksys, and as of September 30, 2021, we held 50.8% of the outstanding common stock (on an as-converted basis) of Linksys. Linksys provides router connectivity solutions to the consumer and small business markets.</w:t>
      </w:r>
    </w:p>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6"/>
          <w:szCs w:val="16"/>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when considering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$7.6 million in 2021, and has been recorded in loss from equity method investment on the consolidated statements of income.</w:t>
      </w:r>
    </w:p>
    <w:p>
      <w:pPr>
        <w:spacing w:after="0" w:line="20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December 31, 2021, the investment was included in other assets on our consolidated balance sheet. Transaction costs related to this investment were not material.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investments</w:t>
      </w:r>
    </w:p>
    <w:p>
      <w:pPr>
        <w:spacing w:after="0" w:line="252"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Our investments in the equity securities of privately held companies without readily determinable fair values totaled $1.0 million as of December 31, 2021 and 2020.</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2021 Acquisitions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Alaxala Networks Corporation</w:t>
      </w:r>
    </w:p>
    <w:p>
      <w:pPr>
        <w:spacing w:after="0" w:line="279"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On August 31, 2021, we closed an acquisition of 75% of equity interests as controlling interests in Alaxala, a privately held network hardware equipment company in Japan, for $64.2 million in cash. We acquired the equity interest in Alaxala to broaden our offering of secure switches integrated with FortiGate Firewalls and Security Fabric functionality, and, over time, to innovate and rebrand certain of Alaxala’s switches to offer a broader suite of secure switches globally.</w:t>
      </w:r>
    </w:p>
    <w:p>
      <w:pPr>
        <w:spacing w:after="0" w:line="216" w:lineRule="exact"/>
        <w:rPr>
          <w:sz w:val="20"/>
          <w:szCs w:val="20"/>
          <w:color w:val="auto"/>
        </w:rPr>
      </w:pPr>
    </w:p>
    <w:p>
      <w:pPr>
        <w:ind w:right="440" w:firstLine="648"/>
        <w:spacing w:after="0" w:line="243" w:lineRule="auto"/>
        <w:rPr>
          <w:sz w:val="20"/>
          <w:szCs w:val="20"/>
          <w:color w:val="auto"/>
        </w:rPr>
      </w:pPr>
      <w:r>
        <w:rPr>
          <w:rFonts w:ascii="Arial" w:cs="Arial" w:eastAsia="Arial" w:hAnsi="Arial"/>
          <w:sz w:val="18"/>
          <w:szCs w:val="18"/>
          <w:color w:val="auto"/>
        </w:rPr>
        <w:t>Under the acquisition method of accounting in accordance with ASC 805, the total preliminary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The fair values assigned were updated to reflect the retrospective adoption of ASU 2021-08, which resulted in increases to the fair values assigned to goodwill, accrued and other current liabilities and other long-term liabilities as of the acquisition date. Refer to Note 1 for further discussion. 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fair value of the non-controlling interests of $17.8 million was estimated based on the non-controlling interests’ respective share of the fair value of Alaxala.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Identified intangible assets acquired and their estimated useful lives (in years) as of August 31, 2021, were as follows (in millions, except years):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Fair Value</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29"/>
        </w:trPr>
        <w:tc>
          <w:tcPr>
            <w:tcW w:w="6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31" w:lineRule="auto"/>
        <w:rPr>
          <w:sz w:val="20"/>
          <w:szCs w:val="20"/>
          <w:color w:val="auto"/>
        </w:rPr>
      </w:pPr>
      <w:r>
        <w:rPr>
          <w:rFonts w:ascii="Arial" w:cs="Arial" w:eastAsia="Arial" w:hAnsi="Arial"/>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the owner of the need to pay a royalty to another party in exchange for the use of the asset. The economic useful life was determined based on the technology cycle related to each developed technology, as well as the cash flows over the forecast period.</w:t>
      </w:r>
    </w:p>
    <w:p>
      <w:pPr>
        <w:spacing w:after="0" w:line="202" w:lineRule="exact"/>
        <w:rPr>
          <w:sz w:val="20"/>
          <w:szCs w:val="20"/>
          <w:color w:val="auto"/>
        </w:rPr>
      </w:pPr>
    </w:p>
    <w:p>
      <w:pPr>
        <w:ind w:right="80" w:firstLine="648"/>
        <w:spacing w:after="0" w:line="246" w:lineRule="auto"/>
        <w:rPr>
          <w:sz w:val="20"/>
          <w:szCs w:val="20"/>
          <w:color w:val="auto"/>
        </w:rPr>
      </w:pPr>
      <w:r>
        <w:rPr>
          <w:rFonts w:ascii="Arial" w:cs="Arial" w:eastAsia="Arial" w:hAnsi="Arial"/>
          <w:sz w:val="17"/>
          <w:szCs w:val="17"/>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19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2"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2"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175"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The operating results of the acquired company were included in our consolidated financial statements from the date of acquisition which was August 31, 2021. For the period from September 1, 2021 through December 31, 2021, Alaxala contributed revenue of $44.4 million. Income before income taxes for the period from September 1, 2021 through December 31, 2021 was not material. Acquisition-related costs for this acquisition were not material and were recorded as general and administrative expense.</w:t>
      </w:r>
    </w:p>
    <w:p>
      <w:pPr>
        <w:spacing w:after="0" w:line="202" w:lineRule="exact"/>
        <w:rPr>
          <w:sz w:val="20"/>
          <w:szCs w:val="20"/>
          <w:color w:val="auto"/>
        </w:rPr>
      </w:pPr>
    </w:p>
    <w:p>
      <w:pPr>
        <w:ind w:right="240" w:firstLine="648"/>
        <w:spacing w:after="0" w:line="225"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66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16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3,424.3</w:t>
            </w:r>
          </w:p>
        </w:tc>
        <w:tc>
          <w:tcPr>
            <w:tcW w:w="11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2,714.7</w:t>
            </w:r>
          </w:p>
        </w:tc>
      </w:tr>
      <w:tr>
        <w:trPr>
          <w:trHeight w:val="243"/>
        </w:trPr>
        <w:tc>
          <w:tcPr>
            <w:tcW w:w="2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 forma net income attributable to Fortinet, Inc.</w:t>
            </w:r>
          </w:p>
        </w:tc>
        <w:tc>
          <w:tcPr>
            <w:tcW w:w="316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608.2</w:t>
            </w:r>
          </w:p>
        </w:tc>
        <w:tc>
          <w:tcPr>
            <w:tcW w:w="11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480.0</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ShieldX Networks, Inc.</w:t>
      </w:r>
    </w:p>
    <w:p>
      <w:pPr>
        <w:spacing w:after="0" w:line="225" w:lineRule="exact"/>
        <w:rPr>
          <w:sz w:val="20"/>
          <w:szCs w:val="20"/>
          <w:color w:val="auto"/>
        </w:rPr>
      </w:pPr>
    </w:p>
    <w:p>
      <w:pPr>
        <w:ind w:left="100" w:right="20" w:firstLine="648"/>
        <w:spacing w:after="0" w:line="256" w:lineRule="auto"/>
        <w:rPr>
          <w:sz w:val="20"/>
          <w:szCs w:val="20"/>
          <w:color w:val="auto"/>
        </w:rPr>
      </w:pPr>
      <w:r>
        <w:rPr>
          <w:rFonts w:ascii="Arial" w:cs="Arial" w:eastAsia="Arial" w:hAnsi="Arial"/>
          <w:sz w:val="16"/>
          <w:szCs w:val="16"/>
          <w:color w:val="auto"/>
        </w:rPr>
        <w:t>On March 10, 2021, we closed an acquisition of certain assets and liabilities of ShieldX Networks Inc. (“ShieldX”), a provider of a security platform focusing on protecting multi-cloud data centers from the risk of lateral movement that can lead to attacks such as ransomware, data loss and service disruption, for $10.8 million in cash. This acquisition was accounted for as a business combination using the acquisition method of accounting. Of the purchase price, $6.2 million was allocated to goodwill, $4.1 million was allocated to developed technology intangible asset and $0.5 million was allocated to other net assets acquired. Goodwill recorded in connection with this acquisition represents the value we expect to be created through expansion into markets within our existing business and potential cost savings and synergies. All acquired goodwill is expected to be deductible for tax purposes. Acquisition-related costs related to this acquisition were not material and were recorded as general and administrative expense.</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2020 Acquisitions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Panopta Holdings LLC</w:t>
      </w:r>
    </w:p>
    <w:p>
      <w:pPr>
        <w:spacing w:after="0" w:line="239" w:lineRule="exact"/>
        <w:rPr>
          <w:sz w:val="20"/>
          <w:szCs w:val="20"/>
          <w:color w:val="auto"/>
        </w:rPr>
      </w:pPr>
    </w:p>
    <w:p>
      <w:pPr>
        <w:ind w:left="100" w:right="40" w:firstLine="648"/>
        <w:spacing w:after="0" w:line="257" w:lineRule="auto"/>
        <w:rPr>
          <w:sz w:val="20"/>
          <w:szCs w:val="20"/>
          <w:color w:val="auto"/>
        </w:rPr>
      </w:pPr>
      <w:r>
        <w:rPr>
          <w:rFonts w:ascii="Arial" w:cs="Arial" w:eastAsia="Arial" w:hAnsi="Arial"/>
          <w:sz w:val="18"/>
          <w:szCs w:val="18"/>
          <w:color w:val="auto"/>
        </w:rPr>
        <w:t>On December 9, 2020, we acquired all outstanding shares of Panopta Holdings LLC (“Panopta”), a privately held SaaS platform innovator that provides visibility, automated management and alerting, and remediation for enterprise networks and infrastructure. The purchase price for Panopta was $31.9 million in cash, of which $24.8 million was allocated to goodwill and $9.0 million was allocated to identifiable intangible assets, the majority of which was developed technology, offset by $1.9 million of net liabilities assumed, which predominantly included cash and accounts payable. $15.8 million of goodwill is expected to be deductible for tax purposes.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OPAQ Networks, Inc.</w:t>
      </w:r>
    </w:p>
    <w:p>
      <w:pPr>
        <w:spacing w:after="0" w:line="252" w:lineRule="exact"/>
        <w:rPr>
          <w:sz w:val="20"/>
          <w:szCs w:val="20"/>
          <w:color w:val="auto"/>
        </w:rPr>
      </w:pPr>
    </w:p>
    <w:p>
      <w:pPr>
        <w:ind w:left="100" w:firstLine="648"/>
        <w:spacing w:after="0" w:line="273" w:lineRule="auto"/>
        <w:rPr>
          <w:sz w:val="20"/>
          <w:szCs w:val="20"/>
          <w:color w:val="auto"/>
        </w:rPr>
      </w:pPr>
      <w:r>
        <w:rPr>
          <w:rFonts w:ascii="Arial" w:cs="Arial" w:eastAsia="Arial" w:hAnsi="Arial"/>
          <w:sz w:val="17"/>
          <w:szCs w:val="17"/>
          <w:color w:val="auto"/>
        </w:rPr>
        <w:t>On July 20, 2020, we acquired all outstanding shares of OPAQ Networks, Inc. (“OPAQ”), a privately held Secure Access Service Edge cloud provider. The purchase price for OPAQ was $8.0 million in cash, of which $1.0 million was allocated to goodwill, $4.7 million was allocated to identifiable intangible assets, the majority of which was developed technology, and $2.3 million was allocated to other net assets acquired, which predominantly included cash, deferred tax assets, operating lease right-of-use assets and lease liabilities, accounts payable, accrued liabilities and assumed debt. The purchase price included a $1.3 million indemnity fund held in escrow for 12 months after the transaction closing date, of which $0.4 million was received by Fortinet and the remainder was released to OPAQ shareholders during the year ended December 31, 2021.</w:t>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2019 Acquisitions</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CyberSponse, Inc.</w:t>
      </w:r>
    </w:p>
    <w:p>
      <w:pPr>
        <w:spacing w:after="0" w:line="252" w:lineRule="exact"/>
        <w:rPr>
          <w:sz w:val="20"/>
          <w:szCs w:val="20"/>
          <w:color w:val="auto"/>
        </w:rPr>
      </w:pPr>
    </w:p>
    <w:p>
      <w:pPr>
        <w:ind w:left="100" w:firstLine="648"/>
        <w:spacing w:after="0" w:line="289" w:lineRule="auto"/>
        <w:rPr>
          <w:sz w:val="20"/>
          <w:szCs w:val="20"/>
          <w:color w:val="auto"/>
        </w:rPr>
      </w:pPr>
      <w:r>
        <w:rPr>
          <w:rFonts w:ascii="Arial" w:cs="Arial" w:eastAsia="Arial" w:hAnsi="Arial"/>
          <w:sz w:val="16"/>
          <w:szCs w:val="16"/>
          <w:color w:val="auto"/>
        </w:rPr>
        <w:t>On December 12, 2019, we acquired all outstanding shares of CyberSponse, Inc. (“CyberSponse”), a provider of security orchestration, automation and response products and services. The purchase price for CyberSponse was $26.1 million, of which $18.6 million was allocated to goodwill that was non-deductible for tax purposes and $9.1 million was allocated to identifiable intangible assets, the majority of which was developed technology, offset by $1.6 million of net liabilities assumed. We incurred a $4.1 million liability in connection with this business combination, the majority of which related to the settlement of CyberSponse’s equity awards in cash, which we included in accrued liabilities in our consolidated balance sheet as of December 31, 2019, and paid during the year ended December 31, 2020. The purchase price included $3.0 million of this liability and the remaining $1.1 million was recognized as compensation cost in the consolidated statements of income for the year ended December 31, 2019. The purchase price also included $3.8 million held in indemnity escrow, of which $2.8 million was held for 12 months and released to CyberSponse shareholders during the year ended December 31, 2020, and the remaining $1.0 million will be held for 36 months after the transaction closing date.</w:t>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enSilo Limited</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October 28, 2019, we acquired all outstanding shares of enSilo Limited (“enSilo”), a provider of endpoint detection and response products and services. The purchase price for enSilo was $15.8 million, of which $10.4 million was allocated to goodwill, $10.8 million was allocated to identifiable intangible assets, the majority of which was developed technology, offset by $5.4 million of net liabilities assumed. The purchase price included $2.0 million held in indemnity escrow for 12 months after the transaction closing date, of which $1.7 million was received by Fortinet and the remainder was released to enSilo shareholders during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Acquisition-Related Information</w:t>
      </w:r>
    </w:p>
    <w:p>
      <w:pPr>
        <w:spacing w:after="0" w:line="25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except for Alaxala as disclosed above, as the impact of these acquisitions, individually and in the aggregate, in each year were not material to our consolidated financial statements.</w:t>
      </w:r>
    </w:p>
    <w:p>
      <w:pPr>
        <w:spacing w:after="0" w:line="172"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due to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 due to adoption of ASU 2021-08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Balance—December 31, 2021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9"/>
        </w:trPr>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25" w:right="339" w:bottom="1440" w:gutter="0" w:footer="0" w:header="0"/>
          <w:type w:val="continuous"/>
        </w:sectPr>
      </w:pPr>
    </w:p>
    <w:p>
      <w:pPr>
        <w:spacing w:after="0" w:line="1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impairments to goodwill during 2021, 2020 and 2019, or any previous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1"/>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556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1"/>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Customer relationships</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of finite-lived intangible assets was $18.5 million, $13.3 million and $10.9 million in 2021,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Amount</w:t>
            </w:r>
          </w:p>
        </w:tc>
      </w:tr>
      <w:tr>
        <w:trPr>
          <w:trHeight w:val="223"/>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as follows (in millions, except per share amounts):</w:t>
      </w: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606.7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606.8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880"/>
              <w:spacing w:after="0"/>
              <w:rPr>
                <w:sz w:val="20"/>
                <w:szCs w:val="20"/>
                <w:color w:val="auto"/>
              </w:rPr>
            </w:pPr>
            <w:r>
              <w:rPr>
                <w:rFonts w:ascii="Arial" w:cs="Arial" w:eastAsia="Arial" w:hAnsi="Arial"/>
                <w:sz w:val="18"/>
                <w:szCs w:val="18"/>
                <w:color w:val="auto"/>
              </w:rPr>
              <w:t>RSUs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6940" w:type="dxa"/>
            <w:vAlign w:val="bottom"/>
          </w:tcPr>
          <w:p>
            <w:pPr>
              <w:ind w:left="20"/>
              <w:spacing w:after="0" w:line="156" w:lineRule="exact"/>
              <w:rPr>
                <w:sz w:val="20"/>
                <w:szCs w:val="20"/>
                <w:color w:val="auto"/>
              </w:rPr>
            </w:pPr>
            <w:r>
              <w:rPr>
                <w:rFonts w:ascii="Arial" w:cs="Arial" w:eastAsia="Arial" w:hAnsi="Arial"/>
                <w:sz w:val="18"/>
                <w:szCs w:val="18"/>
                <w:color w:val="auto"/>
                <w:w w:val="90"/>
              </w:rPr>
              <w:t>Weighted-average shares used to compute diluted net income per share attributable to Fortinet,</w:t>
            </w:r>
          </w:p>
        </w:tc>
        <w:tc>
          <w:tcPr>
            <w:tcW w:w="8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167.1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Inc.</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We have operating leases for offices, research and development facilities and data centers. Our leases have remaining terms that range from less than one year to approximately six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 Our finance leases were not material to our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80" w:hanging="154"/>
        <w:spacing w:after="0"/>
        <w:tabs>
          <w:tab w:leader="none" w:pos="18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Variable lease expense for the year ended December 31, 2021, 2020 and 2019 predominantly included common area maintenance charges and parking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6"/>
                <w:szCs w:val="16"/>
                <w:color w:val="auto"/>
              </w:rPr>
            </w:pPr>
          </w:p>
        </w:tc>
        <w:tc>
          <w:tcPr>
            <w:tcW w:w="1420" w:type="dxa"/>
            <w:vAlign w:val="bottom"/>
          </w:tcPr>
          <w:p>
            <w:pPr>
              <w:jc w:val="center"/>
              <w:ind w:right="156"/>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 current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 – non-current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19.1</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34.0</w:t>
            </w:r>
          </w:p>
        </w:tc>
      </w:tr>
      <w:tr>
        <w:trPr>
          <w:trHeight w:val="223"/>
        </w:trPr>
        <w:tc>
          <w:tcPr>
            <w:tcW w:w="17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53.1</w:t>
            </w:r>
          </w:p>
        </w:tc>
      </w:tr>
      <w:tr>
        <w:trPr>
          <w:trHeight w:val="21"/>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-479425</wp:posOffset>
            </wp:positionV>
            <wp:extent cx="708914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708914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5"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 operating leases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3.2 %</w:t>
            </w:r>
          </w:p>
        </w:tc>
        <w:tc>
          <w:tcPr>
            <w:tcW w:w="60" w:type="dxa"/>
            <w:vAlign w:val="bottom"/>
          </w:tcPr>
          <w:p>
            <w:pPr>
              <w:spacing w:after="0"/>
              <w:rPr>
                <w:sz w:val="20"/>
                <w:szCs w:val="20"/>
                <w:color w:val="auto"/>
              </w:rPr>
            </w:pPr>
          </w:p>
        </w:tc>
      </w:tr>
      <w:tr>
        <w:trPr>
          <w:trHeight w:val="553"/>
        </w:trPr>
        <w:tc>
          <w:tcPr>
            <w:tcW w:w="6840" w:type="dxa"/>
            <w:vAlign w:val="bottom"/>
          </w:tcPr>
          <w:p>
            <w:pPr>
              <w:ind w:left="660"/>
              <w:spacing w:after="0"/>
              <w:rPr>
                <w:sz w:val="20"/>
                <w:szCs w:val="20"/>
                <w:color w:val="auto"/>
              </w:rPr>
            </w:pPr>
            <w:r>
              <w:rPr>
                <w:rFonts w:ascii="Arial" w:cs="Arial" w:eastAsia="Arial" w:hAnsi="Arial"/>
                <w:sz w:val="18"/>
                <w:szCs w:val="18"/>
                <w:color w:val="auto"/>
                <w:w w:val="95"/>
              </w:rPr>
              <w:t>Supplemental cash flow information related to leases was as follows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68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jc w:val="center"/>
              <w:ind w:left="35"/>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r>
      <w:tr>
        <w:trPr>
          <w:trHeight w:val="539"/>
        </w:trPr>
        <w:tc>
          <w:tcPr>
            <w:tcW w:w="7780" w:type="dxa"/>
            <w:vAlign w:val="bottom"/>
            <w:gridSpan w:val="2"/>
          </w:tcPr>
          <w:p>
            <w:pPr>
              <w:ind w:left="660"/>
              <w:spacing w:after="0"/>
              <w:rPr>
                <w:sz w:val="20"/>
                <w:szCs w:val="20"/>
                <w:color w:val="auto"/>
              </w:rPr>
            </w:pPr>
            <w:r>
              <w:rPr>
                <w:rFonts w:ascii="Arial" w:cs="Arial" w:eastAsia="Arial" w:hAnsi="Arial"/>
                <w:sz w:val="18"/>
                <w:szCs w:val="18"/>
                <w:color w:val="auto"/>
                <w:w w:val="96"/>
              </w:rPr>
              <w:t>Maturities of operating lease liabilities as of December 31, 2021 were as follows (in millions):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9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2"/>
                <w:szCs w:val="2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right="5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21"/>
                <w:szCs w:val="2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2021, we had additional minimum lease payments of $11.4 million relating to operating leases that had been signed but had not yet commenced. These leases will commence during 2022 and will have lease terms of approximately one to six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7"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December 31, 2021,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Coupon Rate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Effective Interest</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20" w:type="dxa"/>
            <w:vAlign w:val="bottom"/>
            <w:gridSpan w:val="2"/>
          </w:tcPr>
          <w:p>
            <w:pPr>
              <w:spacing w:after="0"/>
              <w:rPr>
                <w:sz w:val="20"/>
                <w:szCs w:val="20"/>
                <w:color w:val="auto"/>
              </w:rPr>
            </w:pPr>
            <w:r>
              <w:rPr>
                <w:rFonts w:ascii="Arial" w:cs="Arial" w:eastAsia="Arial" w:hAnsi="Arial"/>
                <w:sz w:val="18"/>
                <w:szCs w:val="18"/>
                <w:color w:val="auto"/>
              </w:rPr>
              <w:t>March 2026</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December 31, 2021 we accrued interest payable of $4.7 million, and there are no financial covenants with which we must comply. In 2021, we recorded $14.7 million of total interest expense in relation to these Senior Notes and repaid $8.4 million of interest in cash. No interest costs were capitalized in 2021, as the costs that qualified for capitalization were not material.</w:t>
      </w:r>
    </w:p>
    <w:p>
      <w:pPr>
        <w:spacing w:after="0" w:line="21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$980.5 million, including accrued and unpaid interest, as of December 31, 2021.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9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year ended December 31, 2021 and 2020, we recorded $4.6 million and $40.2 million gain on IP matter in our consolidated statements of income, respectively. We had $5.2 million and $9.8 million in accrued liabilities and other liabilities in our consolidated balance sheets as of December 31, 2021 and 2020, respectively.</w:t>
      </w:r>
    </w:p>
    <w:p>
      <w:pPr>
        <w:spacing w:after="0" w:line="20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December 31, 2021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bl>
    <w:p>
      <w:pPr>
        <w:spacing w:after="0" w:line="306" w:lineRule="exact"/>
        <w:rPr>
          <w:sz w:val="20"/>
          <w:szCs w:val="20"/>
          <w:color w:val="auto"/>
        </w:rPr>
      </w:pPr>
    </w:p>
    <w:p>
      <w:pPr>
        <w:ind w:right="80" w:firstLine="648"/>
        <w:spacing w:after="0" w:line="241"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certain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supply chain matters and other market conditions. In order to attempt to control manufacturing lead times, plan for adequate component supply and incentivize suppliers to deliver, we may issue purchase orders to some of our independent contract manufacturers which are non-cancelable. As of December 31, 2021 and 2020, we had $1.14 billion and $259.4 million, respectively, of open purchase orders with our independent contract manufacturers that are non-cancelable.</w:t>
      </w:r>
    </w:p>
    <w:p>
      <w:pPr>
        <w:spacing w:after="0" w:line="21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suppliers, we have open purchase orders and contractual obligations in the ordinary course of business for which we have not received goods or services. A significant portion of our reported purchase commitments consist of firm and non-cancelable commitments. In certain instances, contractual commitments allow us the option to cancel, reschedule, and adjust our requirements based on our business needs prior to firm orders being placed. As of December 31, 2021 and 2020, we had $126.7 million and $28.9 million, respectively, in other contractual commitments having a remaining term in excess of one year that are non-cancelable.</w:t>
      </w:r>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a range of possible outcomes that require significant management judgement. If no amount within a range is a better estimate than any other, the Company accrues the minimum amount.</w:t>
      </w:r>
    </w:p>
    <w:p>
      <w:pPr>
        <w:spacing w:after="0" w:line="19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December 2021, we entered into an agreement that provided for settlement and dismissal of an existing patent infringement lawsuit and a mutual covenant-not-to-sue for a defined duration of time. We have settled and paid $10.0 million in cash, of which $5.6 million related to the dismissal of lawsuit and was expensed as a general and administrative expense, and $4.4 million was deferred and will be expensed over time as royalty cost of revenue. Litigation loss contingency accruals associated with other outstanding cases were not material as of December 31, 2021 and 2020.</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one primary stock incentive plan, the 2009 Equity Incentive Plan, under which we have granted RSUs and stock options. We also previously had an ESPP for eligible employees, which was terminated in February 2019.</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2009 Equity Incentive Plan</w:t>
      </w:r>
      <w:r>
        <w:rPr>
          <w:rFonts w:ascii="Arial" w:cs="Arial" w:eastAsia="Arial" w:hAnsi="Arial"/>
          <w:sz w:val="17"/>
          <w:szCs w:val="17"/>
          <w:color w:val="auto"/>
        </w:rPr>
        <w:t>—Our board of directors approved the 2009 Equity Incentive Plan in 2009. On June 21, 2019, our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the Amended and Restated Fortinet, Inc. 2009 Equity Incentive Plan (the “2009 Plan”). Among other things, the 2009 Plan provided for a net decrease in the number of shares of common stock that were authorized and available for issuance pursuant to future awards granted on or following the effective date of the 2009 Plan. On June 28, 2019, we deregistered from various registration statements on Form S-8 an aggregate of 46.2 million shares of common stock that were originally registered for issuance under the 2009 Plan.</w:t>
      </w:r>
    </w:p>
    <w:p>
      <w:pPr>
        <w:spacing w:after="0" w:line="19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maximum aggregate number of shares that may be issued under the 2009 Plan is 47,873,531 shares; provided, however, that only 13,500,000 shares may be issued or transferred pursuant to new awards granted on or following the effective date of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there were a total of 11.8 million shares of common stock available for grant under the 2009 Plan.</w:t>
      </w:r>
    </w:p>
    <w:p>
      <w:pPr>
        <w:spacing w:after="0" w:line="24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2011 Employee Stock Purchase Plan</w:t>
      </w:r>
      <w:r>
        <w:rPr>
          <w:rFonts w:ascii="Arial" w:cs="Arial" w:eastAsia="Arial" w:hAnsi="Arial"/>
          <w:sz w:val="18"/>
          <w:szCs w:val="18"/>
          <w:color w:val="auto"/>
        </w:rPr>
        <w:t>—In June 2011, our stockholders approved the ESPP. The ESPP permitted eligible employees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through regular, systematic payroll deductions, up to a maximum of 15%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 Our board of directors voluntarily determined to terminate the ESPP, effective February 2019 at the completion of the prior offering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12"/>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660" w:type="dxa"/>
            <w:vAlign w:val="bottom"/>
          </w:tcPr>
          <w:p>
            <w:pPr>
              <w:jc w:val="center"/>
              <w:ind w:right="12"/>
              <w:spacing w:after="0" w:line="162" w:lineRule="exact"/>
              <w:rPr>
                <w:sz w:val="20"/>
                <w:szCs w:val="20"/>
                <w:color w:val="auto"/>
              </w:rPr>
            </w:pPr>
            <w:r>
              <w:rPr>
                <w:rFonts w:ascii="Arial" w:cs="Arial" w:eastAsia="Arial" w:hAnsi="Arial"/>
                <w:sz w:val="16"/>
                <w:szCs w:val="16"/>
                <w:b w:val="1"/>
                <w:bCs w:val="1"/>
                <w:color w:val="auto"/>
                <w:w w:val="95"/>
              </w:rPr>
              <w:t>Grant Date Fair Value</w:t>
            </w:r>
          </w:p>
        </w:tc>
        <w:tc>
          <w:tcPr>
            <w:tcW w:w="0" w:type="dxa"/>
            <w:vAlign w:val="bottom"/>
          </w:tcPr>
          <w:p>
            <w:pPr>
              <w:spacing w:after="0"/>
              <w:rPr>
                <w:sz w:val="1"/>
                <w:szCs w:val="1"/>
                <w:color w:val="auto"/>
              </w:rPr>
            </w:pPr>
          </w:p>
        </w:tc>
      </w:tr>
      <w:tr>
        <w:trPr>
          <w:trHeight w:val="213"/>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2"/>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760" w:type="dxa"/>
            <w:vAlign w:val="bottom"/>
            <w:tcBorders>
              <w:top w:val="single" w:sz="8" w:color="auto"/>
            </w:tcBorders>
            <w:shd w:val="clear" w:color="auto" w:fill="CCEEFF"/>
          </w:tcPr>
          <w:p>
            <w:pPr>
              <w:jc w:val="center"/>
              <w:ind w:left="1311"/>
              <w:spacing w:after="0"/>
              <w:rPr>
                <w:sz w:val="20"/>
                <w:szCs w:val="20"/>
                <w:color w:val="auto"/>
              </w:rPr>
            </w:pPr>
            <w:r>
              <w:rPr>
                <w:rFonts w:ascii="Arial" w:cs="Arial" w:eastAsia="Arial" w:hAnsi="Arial"/>
                <w:sz w:val="18"/>
                <w:szCs w:val="18"/>
                <w:color w:val="auto"/>
                <w:w w:val="95"/>
              </w:rPr>
              <w:t>7.8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1"/>
              <w:spacing w:after="0"/>
              <w:rPr>
                <w:sz w:val="20"/>
                <w:szCs w:val="20"/>
                <w:color w:val="auto"/>
              </w:rPr>
            </w:pPr>
            <w:r>
              <w:rPr>
                <w:rFonts w:ascii="Arial" w:cs="Arial" w:eastAsia="Arial" w:hAnsi="Arial"/>
                <w:sz w:val="18"/>
                <w:szCs w:val="18"/>
                <w:color w:val="auto"/>
                <w:w w:val="95"/>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Arial" w:cs="Arial" w:eastAsia="Arial" w:hAnsi="Arial"/>
                <w:sz w:val="18"/>
                <w:szCs w:val="18"/>
                <w:color w:val="auto"/>
                <w:w w:val="91"/>
              </w:rPr>
              <w:t>(3.7)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760" w:type="dxa"/>
            <w:vAlign w:val="bottom"/>
            <w:shd w:val="clear" w:color="auto" w:fill="CCEEFF"/>
          </w:tcPr>
          <w:p>
            <w:pPr>
              <w:jc w:val="center"/>
              <w:ind w:left="1311"/>
              <w:spacing w:after="0"/>
              <w:rPr>
                <w:sz w:val="20"/>
                <w:szCs w:val="20"/>
                <w:color w:val="auto"/>
              </w:rPr>
            </w:pPr>
            <w:r>
              <w:rPr>
                <w:rFonts w:ascii="Arial" w:cs="Arial" w:eastAsia="Arial" w:hAnsi="Arial"/>
                <w:sz w:val="18"/>
                <w:szCs w:val="18"/>
                <w:color w:val="auto"/>
                <w:w w:val="95"/>
              </w:rPr>
              <w:t>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1"/>
              <w:spacing w:after="0"/>
              <w:rPr>
                <w:sz w:val="20"/>
                <w:szCs w:val="20"/>
                <w:color w:val="auto"/>
              </w:rPr>
            </w:pPr>
            <w:r>
              <w:rPr>
                <w:rFonts w:ascii="Arial" w:cs="Arial" w:eastAsia="Arial" w:hAnsi="Arial"/>
                <w:sz w:val="18"/>
                <w:szCs w:val="18"/>
                <w:color w:val="auto"/>
                <w:w w:val="95"/>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Arial" w:cs="Arial" w:eastAsia="Arial" w:hAnsi="Arial"/>
                <w:sz w:val="18"/>
                <w:szCs w:val="18"/>
                <w:color w:val="auto"/>
                <w:w w:val="91"/>
              </w:rPr>
              <w:t>(2.9)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760" w:type="dxa"/>
            <w:vAlign w:val="bottom"/>
            <w:shd w:val="clear" w:color="auto" w:fill="CCEEFF"/>
          </w:tcPr>
          <w:p>
            <w:pPr>
              <w:jc w:val="center"/>
              <w:ind w:left="1311"/>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1"/>
              <w:spacing w:after="0"/>
              <w:rPr>
                <w:sz w:val="20"/>
                <w:szCs w:val="20"/>
                <w:color w:val="auto"/>
              </w:rPr>
            </w:pPr>
            <w:r>
              <w:rPr>
                <w:rFonts w:ascii="Arial" w:cs="Arial" w:eastAsia="Arial" w:hAnsi="Arial"/>
                <w:sz w:val="18"/>
                <w:szCs w:val="18"/>
                <w:color w:val="auto"/>
                <w:w w:val="95"/>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1"/>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1"/>
              <w:spacing w:after="0"/>
              <w:rPr>
                <w:sz w:val="20"/>
                <w:szCs w:val="20"/>
                <w:color w:val="auto"/>
              </w:rPr>
            </w:pPr>
            <w:r>
              <w:rPr>
                <w:rFonts w:ascii="Arial" w:cs="Arial" w:eastAsia="Arial" w:hAnsi="Arial"/>
                <w:sz w:val="18"/>
                <w:szCs w:val="18"/>
                <w:color w:val="auto"/>
                <w:w w:val="91"/>
              </w:rPr>
              <w:t>(2.3)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760" w:type="dxa"/>
            <w:vAlign w:val="bottom"/>
            <w:tcBorders>
              <w:bottom w:val="single" w:sz="8" w:color="auto"/>
            </w:tcBorders>
            <w:shd w:val="clear" w:color="auto" w:fill="CCEEFF"/>
          </w:tcPr>
          <w:p>
            <w:pPr>
              <w:jc w:val="center"/>
              <w:ind w:left="1311"/>
              <w:spacing w:after="0"/>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December 31, 2021, total compensation expense related to unvested RSUs granted to employees and non-employees under the 2009 Plan, but not yet recognized, was $367.8 million, with a weighted-average remaining vesting period of 2.6 years.</w:t>
      </w:r>
    </w:p>
    <w:p>
      <w:pPr>
        <w:spacing w:after="0" w:line="209"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consolidated statements of cash flows.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determining the fair value of our employee stock options, we use the Black-Scholes model, which employs the following assumptions.</w:t>
      </w:r>
    </w:p>
    <w:p>
      <w:pPr>
        <w:spacing w:after="0" w:line="2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—The fair value of our common stock is the closing sales price of the common stock effective on the date of grant.</w:t>
      </w:r>
    </w:p>
    <w:p>
      <w:pPr>
        <w:spacing w:after="0" w:line="27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50"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39.1 %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34.3 %</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22"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Weighted-</w:t>
            </w:r>
          </w:p>
        </w:tc>
        <w:tc>
          <w:tcPr>
            <w:tcW w:w="13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Average</w:t>
            </w: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Remaining</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40" w:type="dxa"/>
            <w:vAlign w:val="bottom"/>
          </w:tcPr>
          <w:p>
            <w:pPr>
              <w:spacing w:after="0"/>
              <w:rPr>
                <w:sz w:val="14"/>
                <w:szCs w:val="14"/>
                <w:color w:val="auto"/>
              </w:rPr>
            </w:pPr>
          </w:p>
        </w:tc>
        <w:tc>
          <w:tcPr>
            <w:tcW w:w="9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100" w:type="dxa"/>
            <w:vAlign w:val="bottom"/>
            <w:tcBorders>
              <w:top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87"/>
              </w:rPr>
              <w:t>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7"/>
              </w:rPr>
              <w:t>(0.9)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100" w:type="dxa"/>
            <w:vAlign w:val="bottom"/>
            <w:shd w:val="clear" w:color="auto" w:fill="CCEEFF"/>
          </w:tcPr>
          <w:p>
            <w:pPr>
              <w:jc w:val="center"/>
              <w:ind w:left="631"/>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00" w:type="dxa"/>
            <w:vAlign w:val="bottom"/>
            <w:shd w:val="clear" w:color="auto" w:fill="CCEEFF"/>
          </w:tcPr>
          <w:p>
            <w:pPr>
              <w:jc w:val="center"/>
              <w:ind w:left="631"/>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100" w:type="dxa"/>
            <w:vAlign w:val="bottom"/>
            <w:tcBorders>
              <w:bottom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87"/>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line="20" w:lineRule="exact"/>
              <w:rPr>
                <w:sz w:val="1"/>
                <w:szCs w:val="1"/>
                <w:color w:val="auto"/>
              </w:rPr>
            </w:pPr>
          </w:p>
        </w:tc>
      </w:tr>
      <w:tr>
        <w:trPr>
          <w:trHeight w:val="203"/>
        </w:trPr>
        <w:tc>
          <w:tcPr>
            <w:tcW w:w="628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vest—December 31, 2021</w:t>
            </w:r>
          </w:p>
        </w:tc>
        <w:tc>
          <w:tcPr>
            <w:tcW w:w="1100" w:type="dxa"/>
            <w:vAlign w:val="bottom"/>
            <w:tcBorders>
              <w:bottom w:val="single" w:sz="8" w:color="auto"/>
            </w:tcBorders>
          </w:tcPr>
          <w:p>
            <w:pPr>
              <w:jc w:val="center"/>
              <w:ind w:left="631"/>
              <w:spacing w:after="0" w:line="203" w:lineRule="exact"/>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exercisable—December 31, 2021</w:t>
            </w:r>
          </w:p>
        </w:tc>
        <w:tc>
          <w:tcPr>
            <w:tcW w:w="1100" w:type="dxa"/>
            <w:vAlign w:val="bottom"/>
            <w:tcBorders>
              <w:bottom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87"/>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December 31, 2021 for all in-the-money stock options. Stock compensation expense is recognized on a straight-line basis over the vesting period of each stock option. As of December 31, 2021, total compensation expense related to unvested stock options granted to employees but not yet recognized was $43.6 million, with a weighted-average remaining vesting period of 2.7 years.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270"/>
        </w:trPr>
        <w:tc>
          <w:tcPr>
            <w:tcW w:w="6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32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2021, as follows (in millions, except exercise prices and contractual life):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Options Outstanding</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jc w:val="right"/>
              <w:ind w:right="1055"/>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w:t>
            </w:r>
          </w:p>
        </w:tc>
        <w:tc>
          <w:tcPr>
            <w:tcW w:w="320" w:type="dxa"/>
            <w:vAlign w:val="bottom"/>
          </w:tcPr>
          <w:p>
            <w:pPr>
              <w:spacing w:after="0"/>
              <w:rPr>
                <w:sz w:val="13"/>
                <w:szCs w:val="13"/>
                <w:color w:val="auto"/>
              </w:rPr>
            </w:pPr>
          </w:p>
        </w:tc>
        <w:tc>
          <w:tcPr>
            <w:tcW w:w="2040" w:type="dxa"/>
            <w:vAlign w:val="bottom"/>
            <w:gridSpan w:val="3"/>
            <w:vMerge w:val="restart"/>
          </w:tcPr>
          <w:p>
            <w:pPr>
              <w:jc w:val="center"/>
              <w:ind w:right="880"/>
              <w:spacing w:after="0"/>
              <w:rPr>
                <w:sz w:val="20"/>
                <w:szCs w:val="20"/>
                <w:color w:val="auto"/>
              </w:rPr>
            </w:pPr>
            <w:r>
              <w:rPr>
                <w:rFonts w:ascii="Arial" w:cs="Arial" w:eastAsia="Arial" w:hAnsi="Arial"/>
                <w:sz w:val="16"/>
                <w:szCs w:val="16"/>
                <w:b w:val="1"/>
                <w:bCs w:val="1"/>
                <w:color w:val="auto"/>
                <w:w w:val="93"/>
              </w:rPr>
              <w:t>Weighted-</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3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320" w:type="dxa"/>
            <w:vAlign w:val="bottom"/>
          </w:tcPr>
          <w:p>
            <w:pPr>
              <w:spacing w:after="0"/>
              <w:rPr>
                <w:sz w:val="14"/>
                <w:szCs w:val="14"/>
                <w:color w:val="auto"/>
              </w:rPr>
            </w:pPr>
          </w:p>
        </w:tc>
        <w:tc>
          <w:tcPr>
            <w:tcW w:w="2040" w:type="dxa"/>
            <w:vAlign w:val="bottom"/>
            <w:gridSpan w:val="3"/>
          </w:tcPr>
          <w:p>
            <w:pPr>
              <w:jc w:val="center"/>
              <w:ind w:right="880"/>
              <w:spacing w:after="0" w:line="162" w:lineRule="exact"/>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22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Range of Exercise Prices</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320" w:type="dxa"/>
            <w:vAlign w:val="bottom"/>
          </w:tcPr>
          <w:p>
            <w:pPr>
              <w:spacing w:after="0"/>
              <w:rPr>
                <w:sz w:val="14"/>
                <w:szCs w:val="14"/>
                <w:color w:val="auto"/>
              </w:rPr>
            </w:pPr>
          </w:p>
        </w:tc>
        <w:tc>
          <w:tcPr>
            <w:tcW w:w="2040" w:type="dxa"/>
            <w:vAlign w:val="bottom"/>
            <w:gridSpan w:val="3"/>
          </w:tcPr>
          <w:p>
            <w:pPr>
              <w:jc w:val="center"/>
              <w:ind w:right="9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2280" w:type="dxa"/>
            <w:vAlign w:val="bottom"/>
            <w:gridSpan w:val="3"/>
            <w:vMerge w:val="continue"/>
          </w:tcPr>
          <w:p>
            <w:pPr>
              <w:spacing w:after="0"/>
              <w:rPr>
                <w:sz w:val="18"/>
                <w:szCs w:val="18"/>
                <w:color w:val="auto"/>
              </w:rPr>
            </w:pPr>
          </w:p>
        </w:tc>
        <w:tc>
          <w:tcPr>
            <w:tcW w:w="1420" w:type="dxa"/>
            <w:vAlign w:val="bottom"/>
          </w:tcPr>
          <w:p>
            <w:pPr>
              <w:jc w:val="right"/>
              <w:ind w:right="373"/>
              <w:spacing w:after="0"/>
              <w:rPr>
                <w:sz w:val="20"/>
                <w:szCs w:val="20"/>
                <w:color w:val="auto"/>
              </w:rPr>
            </w:pPr>
            <w:r>
              <w:rPr>
                <w:rFonts w:ascii="Arial" w:cs="Arial" w:eastAsia="Arial" w:hAnsi="Arial"/>
                <w:sz w:val="16"/>
                <w:szCs w:val="16"/>
                <w:b w:val="1"/>
                <w:bCs w:val="1"/>
                <w:color w:val="auto"/>
                <w:w w:val="99"/>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320" w:type="dxa"/>
            <w:vAlign w:val="bottom"/>
          </w:tcPr>
          <w:p>
            <w:pPr>
              <w:spacing w:after="0"/>
              <w:rPr>
                <w:sz w:val="18"/>
                <w:szCs w:val="18"/>
                <w:color w:val="auto"/>
              </w:rPr>
            </w:pPr>
          </w:p>
        </w:tc>
        <w:tc>
          <w:tcPr>
            <w:tcW w:w="204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1"/>
              </w:rPr>
              <w:t>Price</w:t>
            </w:r>
          </w:p>
        </w:tc>
        <w:tc>
          <w:tcPr>
            <w:tcW w:w="13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2"/>
              </w:rPr>
              <w:t>Exercisable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$23.83-$23.83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30"/>
        </w:trPr>
        <w:tc>
          <w:tcPr>
            <w:tcW w:w="1820" w:type="dxa"/>
            <w:vAlign w:val="bottom"/>
          </w:tcPr>
          <w:p>
            <w:pPr>
              <w:jc w:val="right"/>
              <w:spacing w:after="0"/>
              <w:rPr>
                <w:sz w:val="20"/>
                <w:szCs w:val="20"/>
                <w:color w:val="auto"/>
              </w:rPr>
            </w:pPr>
            <w:r>
              <w:rPr>
                <w:rFonts w:ascii="Arial" w:cs="Arial" w:eastAsia="Arial" w:hAnsi="Arial"/>
                <w:sz w:val="18"/>
                <w:szCs w:val="18"/>
                <w:color w:val="auto"/>
              </w:rPr>
              <w:t>$31.39-$39.49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$48.83-$72.75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$76.22-$343.51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Employee Stock Purchase Plan</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60" w:type="dxa"/>
            <w:vAlign w:val="bottom"/>
            <w:gridSpan w:val="13"/>
          </w:tcPr>
          <w:p>
            <w:pPr>
              <w:ind w:left="660"/>
              <w:spacing w:after="0"/>
              <w:rPr>
                <w:sz w:val="20"/>
                <w:szCs w:val="20"/>
                <w:color w:val="auto"/>
              </w:rPr>
            </w:pPr>
            <w:r>
              <w:rPr>
                <w:rFonts w:ascii="Arial" w:cs="Arial" w:eastAsia="Arial" w:hAnsi="Arial"/>
                <w:sz w:val="18"/>
                <w:szCs w:val="18"/>
                <w:color w:val="auto"/>
                <w:w w:val="97"/>
              </w:rPr>
              <w:t>There were no grants under the ESPP during the year ended December 31, 2021, 2020 and 2019, respectively.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40" w:type="dxa"/>
            <w:vAlign w:val="bottom"/>
            <w:gridSpan w:val="11"/>
          </w:tcPr>
          <w:p>
            <w:pPr>
              <w:ind w:left="660"/>
              <w:spacing w:after="0"/>
              <w:rPr>
                <w:sz w:val="20"/>
                <w:szCs w:val="20"/>
                <w:color w:val="auto"/>
              </w:rPr>
            </w:pPr>
            <w:r>
              <w:rPr>
                <w:rFonts w:ascii="Arial" w:cs="Arial" w:eastAsia="Arial" w:hAnsi="Arial"/>
                <w:sz w:val="18"/>
                <w:szCs w:val="18"/>
                <w:color w:val="auto"/>
                <w:w w:val="92"/>
              </w:rPr>
              <w:t>Additional information related to the ESPP is provided below (in millions, except per share amounts):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555"/>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7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Shares issued under the ESPP</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Weighted-average price per share issued</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millions):</w:t>
      </w:r>
    </w:p>
    <w:p>
      <w:pPr>
        <w:spacing w:after="0" w:line="46"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December 31,</w:t>
      </w:r>
    </w:p>
    <w:p>
      <w:pPr>
        <w:jc w:val="center"/>
        <w:ind w:left="900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Reserved for future equity award grants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jc w:val="right"/>
        <w:ind w:right="6100"/>
        <w:spacing w:after="0"/>
        <w:rPr>
          <w:sz w:val="20"/>
          <w:szCs w:val="20"/>
          <w:color w:val="auto"/>
        </w:rPr>
      </w:pPr>
      <w:r>
        <w:rPr>
          <w:rFonts w:ascii="Arial" w:cs="Arial" w:eastAsia="Arial" w:hAnsi="Arial"/>
          <w:sz w:val="18"/>
          <w:szCs w:val="18"/>
          <w:color w:val="auto"/>
        </w:rPr>
        <w:t>Total common stock reserved for future issuances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11.8</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5.9</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62230</wp:posOffset>
            </wp:positionV>
            <wp:extent cx="14147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10140" w:space="720"/>
            <w:col w:w="3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211.2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1"/>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1"/>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74"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income is as follows (in millions):</w:t>
      </w: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2019</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January 2016, our board of directors approved the Share Repurchase Program (the “Repurchase Program”), which authorized the repurchase of up to $200.0 million of our outstanding common stock through December 31, 2017. From 2016 through 2020, our board of directors approved increases to our Repurchase Program by various amounts, bringing the aggregated amount authorized to $3.0 billion. In October 2021, our board of directors approved a $1.25 billion increase and extended the term to February 28, 2023, bringing the aggregate amount authorized to be repurchased to $4.25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2021, we repurchased 2.6 million shares of common stock under the Repurchase Program in open market transactions for an aggregate purchase price of $741.8 million. As of December 31, 2021, $1.52 billion remained available for future share repurchases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and loss from equity method investment consisted of the following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567.7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 and loss from equity method investment</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628.4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(benefit from) income taxes consisted of the following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9"/>
        </w:trPr>
        <w:tc>
          <w:tcPr>
            <w:tcW w:w="6440" w:type="dxa"/>
            <w:vAlign w:val="bottom"/>
          </w:tcPr>
          <w:p>
            <w:pPr>
              <w:ind w:left="2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4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deferred</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foreign tax provision included the tax impacts from U.S. GAAP to local tax return book to tax differences and return to provision adjustments that create a permanent addback including but not limited to stock compensation, meals and entertainment, and settlement of prior year tax audits with foreign jurisdiction adjustments.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provision for income taxes differs from the amount computed by applying the statutory federal income tax rate as follows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federal statutory tax rate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withholding taxes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State taxes—net of federal benefit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the 2017 Tax Act: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One-time transition tax</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Foreign-Derived Intangible Income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On September 29, 2020, the U.S. Treasury and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Cuts and Jobs Act (the “2017 Tax Act”). Generally, the provisions that were included in the 2019 proposed regulations apply to taxable years ended on or after December 16, 2019, except as otherwise specified. On December 28, 2021, the U.S. Treasury and the IRS released final regulations addressing various aspects of the foreign tax credit regime. These final regulations did not have a material impact on our consolidated financial statements.</w:t>
      </w:r>
    </w:p>
    <w:p>
      <w:pPr>
        <w:spacing w:after="0" w:line="200" w:lineRule="exact"/>
        <w:rPr>
          <w:sz w:val="20"/>
          <w:szCs w:val="20"/>
          <w:color w:val="auto"/>
        </w:rPr>
      </w:pPr>
    </w:p>
    <w:p>
      <w:pPr>
        <w:spacing w:after="0" w:line="26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20" w:type="dxa"/>
            <w:vAlign w:val="bottom"/>
          </w:tcPr>
          <w:p>
            <w:pPr>
              <w:ind w:left="480"/>
              <w:spacing w:after="0"/>
              <w:rPr>
                <w:sz w:val="20"/>
                <w:szCs w:val="20"/>
                <w:color w:val="auto"/>
              </w:rPr>
            </w:pPr>
            <w:r>
              <w:rPr>
                <w:rFonts w:ascii="Arial" w:cs="Arial" w:eastAsia="Arial" w:hAnsi="Arial"/>
                <w:sz w:val="18"/>
                <w:szCs w:val="18"/>
                <w:color w:val="auto"/>
              </w:rPr>
              <w:t>General business credit carryforward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29"/>
        </w:trPr>
        <w:tc>
          <w:tcPr>
            <w:tcW w:w="8020" w:type="dxa"/>
            <w:vAlign w:val="bottom"/>
          </w:tcPr>
          <w:p>
            <w:pPr>
              <w:ind w:left="480"/>
              <w:spacing w:after="0"/>
              <w:rPr>
                <w:sz w:val="20"/>
                <w:szCs w:val="20"/>
                <w:color w:val="auto"/>
              </w:rPr>
            </w:pPr>
            <w:r>
              <w:rPr>
                <w:rFonts w:ascii="Arial" w:cs="Arial" w:eastAsia="Arial" w:hAnsi="Arial"/>
                <w:sz w:val="18"/>
                <w:szCs w:val="18"/>
                <w:color w:val="auto"/>
              </w:rPr>
              <w:t>Reserves and accruals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carryforward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802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020" w:type="dxa"/>
            <w:vAlign w:val="bottom"/>
          </w:tcPr>
          <w:p>
            <w:pPr>
              <w:ind w:left="480"/>
              <w:spacing w:after="0"/>
              <w:rPr>
                <w:sz w:val="20"/>
                <w:szCs w:val="20"/>
                <w:color w:val="auto"/>
              </w:rPr>
            </w:pPr>
            <w:r>
              <w:rPr>
                <w:rFonts w:ascii="Arial" w:cs="Arial" w:eastAsia="Arial" w:hAnsi="Arial"/>
                <w:sz w:val="18"/>
                <w:szCs w:val="18"/>
                <w:color w:val="auto"/>
              </w:rPr>
              <w:t>Capitalized research expenditures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480"/>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ROU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Acquired intangibles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December 31, 2021, we had a deferred tax asset of $342.3 million and a deferred tax liability of $7.9 million. 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(“R&amp;D”) credits carryforward, certain impairment losses in business investments, certain foreign tax credits from foreign disregarded entities and certain tax attributes from business acquisitions. We believe that it is more likely than not that the deferred tax assets for California R&amp;D credits, impairment losses, foreign tax credits from foreign disregarded entities and acquired foreign tax attributes will not be realized. As of December 31, 2021, we had a valuation allowance of $75.0 million against deferred tax assets for California R&amp;D credits carryforwards (net of the unrecognized tax benefits), impairment losses, certain foreign tax credits and certain acquired tax attributes.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2021, our federal and California net operating loss carryforwards for income tax purposes were $78.4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$20.8 million, respectively. All the net operating loss carryforwards were from acquisitions which were limited by Section 382 of the Internal Revenue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Code. If not utilized, the federal net operating loss carryforwards will begin to expire in 2022, and California net operating loss carryforwards will begin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expire in 2034.</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had state tax credit carryforwards of $41.0 million. The state credits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2017 Tax Act,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For those investments from which we were not able to make a reasonable estimate, we have not recorded any deferred taxes.</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operated under a tax incentive agreement in Singapore, which was effective through December 31, 2020. The tax incentive agreement was conditional upon our meeting certain employment and investment thresholds.</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December 31, 2021, we had $73.3 million of unrecognized tax benefits, of which, if recognized, $65.5 million would favorably affect our effective tax rate. Our policy is to include accrued interest and penalties related to uncertain tax benefits in income tax expense. As of December 31, 2021, 2020 and 2019, accrued interest and penalties were $13.3 million, $14.5 million and $14.1 million,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Gross increases for tax positions related to the current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the current year</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Gross increases for tax positions related to the prior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prior year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Gross decreases for tax positions related to prior year audit settlements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Unrecognized tax benefits, end of year</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recorded a net decrease of gross unrecognized tax benefits of approximately $4.0 million during the year ended December 31, 2021. The net decrease was primarily due to the reversal of gross unrecognized tax benefits in connection with the lapse of statutes of limitations.</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2021, 2020 and 2019, $79.5 million, $90.3 million and $82.8 million, respectively, of the amounts reflected above were recorded as income tax liabilities—non-current in our consolidated balance sheets.</w:t>
      </w:r>
    </w:p>
    <w:p>
      <w:pPr>
        <w:spacing w:after="0" w:line="19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It is reasonably possible that our gross unrecognized tax benefits will decrease by up to $18.5 million in the next 12 months, primarily due to the lapse of the statute of limitations. These adjustments, if recognized, would favorably impact our effective tax rate, and would be recognized as additional tax benefits.</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1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2021, 2020 and 2019 were $10.0 million, $8.3 million and $6.6 million,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9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6"/>
                <w:szCs w:val="16"/>
                <w:b w:val="1"/>
                <w:bCs w:val="1"/>
                <w:color w:val="auto"/>
                <w:w w:val="91"/>
              </w:rPr>
              <w:t>Year Ended December 31,</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5"/>
                <w:szCs w:val="15"/>
                <w:color w:val="auto"/>
              </w:rPr>
            </w:pPr>
          </w:p>
        </w:tc>
        <w:tc>
          <w:tcPr>
            <w:tcW w:w="114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2"/>
              <w:spacing w:after="0" w:line="175" w:lineRule="exact"/>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1,006.8</w:t>
            </w:r>
          </w:p>
        </w:tc>
        <w:tc>
          <w:tcPr>
            <w:tcW w:w="36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20" w:type="dxa"/>
            <w:vAlign w:val="bottom"/>
            <w:gridSpan w:val="2"/>
          </w:tcPr>
          <w:p>
            <w:pPr>
              <w:ind w:left="260"/>
              <w:spacing w:after="0"/>
              <w:rPr>
                <w:sz w:val="20"/>
                <w:szCs w:val="20"/>
                <w:color w:val="auto"/>
              </w:rPr>
            </w:pPr>
            <w:r>
              <w:rPr>
                <w:rFonts w:ascii="Arial" w:cs="Arial" w:eastAsia="Arial" w:hAnsi="Arial"/>
                <w:sz w:val="18"/>
                <w:szCs w:val="18"/>
                <w:color w:val="auto"/>
              </w:rPr>
              <w:t>Total Americas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 Pacific (“APAC”)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64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w:t>
            </w:r>
            <w:r>
              <w:rPr>
                <w:rFonts w:ascii="Arial" w:cs="Arial" w:eastAsia="Arial" w:hAnsi="Arial"/>
                <w:sz w:val="16"/>
                <w:szCs w:val="16"/>
                <w:b w:val="1"/>
                <w:bCs w:val="1"/>
                <w:color w:val="auto"/>
              </w:rPr>
              <w:t>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2"/>
              <w:spacing w:after="0" w:line="175"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Latin America</w:t>
            </w: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Americas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Arial" w:cs="Arial" w:eastAsia="Arial" w:hAnsi="Arial"/>
                <w:sz w:val="18"/>
                <w:szCs w:val="18"/>
                <w:color w:val="auto"/>
              </w:rPr>
              <w:t>Total property and equipment—net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right="8780" w:hanging="652"/>
        <w:spacing w:after="0" w:line="592" w:lineRule="auto"/>
        <w:tabs>
          <w:tab w:leader="none" w:pos="46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 Real property purchase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2022, we purchased real property in Chicago totaling approximately 90,000 square feet for a cash payment of $20.8 million.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color w:val="auto"/>
        </w:rPr>
        <w:t>Subsequent to December 31, 2021 and through the filing of this Annual Report on Form 10-K, we repurchased 1.8 million shares of our common stock, for an aggregate purchase price of $547.6 million at an average price of $310.05 per share, under the Repurchase Program.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2021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5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62"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In accordance with the Internal Controls Guidance, management has excluded Alaxala Networks Corporation (“Alaxala”), a privately-held network hardware equipment company in Japan, from its assessment of internal control over financial reporting as of December 31, 2021, because it was acquired by the Company in a business combination during the fiscal year ended December 31, 2021. Alaxala assets represented approximately 1.5% of the Company’s consolidated total assets, excluding the effects of purchase accounting, as of December 31, 2021 and its revenues represented approximately 1.3% of the Company's consolidated total revenues for the year ended December 31, 2021.</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2021. Management reviewed the results of its assessment with our Audit Committee. The effectiveness of our internal control over financial reporting as of December 31, 2021 has been audited by Deloitte &amp; Touche LLP, an independent registered public accounting firm, as stated in its report, which appears in this Item under the heading “Report of Independent Registered Public Accounting Firm.”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There were no other changes in our internal control over financial reporting (as defined in Rules 13a-15(f) or 15d-15(f) under the Exchange Act) during 2021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Fortinet, Inc. and subsidiaries (the “Company”)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197"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Alaxala Networks Corporation (“Alaxala”), which was acquired on August 31, 2021, and whose financial statements constitute approximately 1.5% of the Company’s consolidated total assets, excluding the effects of purchase accounting, as of December 31, 2021 and approximately 1.3% of the Company’s consolidated total revenues for the year ended December 31, 2021. Accordingly, our audit did not include the assessment of the internal controls over financial reporting for Alaxala.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Prevents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52" w:lineRule="exact"/>
        <w:rPr>
          <w:sz w:val="20"/>
          <w:szCs w:val="20"/>
          <w:color w:val="auto"/>
        </w:rPr>
      </w:pPr>
    </w:p>
    <w:p>
      <w:pPr>
        <w:ind w:left="1300" w:right="6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210" w:lineRule="exact"/>
        <w:rPr>
          <w:rFonts w:ascii="Arial" w:cs="Arial" w:eastAsia="Arial" w:hAnsi="Arial"/>
          <w:sz w:val="18"/>
          <w:szCs w:val="18"/>
          <w:color w:val="auto"/>
        </w:rPr>
      </w:pPr>
    </w:p>
    <w:p>
      <w:pPr>
        <w:ind w:left="1300" w:right="280" w:hanging="644"/>
        <w:spacing w:after="0" w:line="308" w:lineRule="auto"/>
        <w:tabs>
          <w:tab w:leader="none" w:pos="1012"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Financial statement schedules have been omitted because they are not applicable or are not required or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set forth therein is included in the consolidated financial statements or notes thereto.</w:t>
      </w:r>
    </w:p>
    <w:p>
      <w:pPr>
        <w:spacing w:after="0" w:line="173" w:lineRule="exact"/>
        <w:rPr>
          <w:rFonts w:ascii="Arial" w:cs="Arial" w:eastAsia="Arial" w:hAnsi="Arial"/>
          <w:sz w:val="17"/>
          <w:szCs w:val="17"/>
          <w:i w:val="1"/>
          <w:iCs w:val="1"/>
          <w:color w:val="auto"/>
        </w:rPr>
      </w:pPr>
    </w:p>
    <w:p>
      <w:pPr>
        <w:ind w:left="1300" w:hanging="644"/>
        <w:spacing w:after="0" w:line="308" w:lineRule="auto"/>
        <w:tabs>
          <w:tab w:leader="none" w:pos="1345"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See Item 15(b) below. We have filed, or incorporated into this Annual Report on Form 10-K by reference, the exhibits listed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Exhibit Index immediately preceding the signature page of this Annual Report on Form 10-K.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exhibits listed on the Exhibit Index immediately preceding the signature page of this Annual Report on Form 10-K is incorporated herein by reference as the list of exhibits required by this Item 15(b).</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gridSpan w:val="4"/>
          </w:tcPr>
          <w:p>
            <w:pPr>
              <w:ind w:left="120"/>
              <w:spacing w:after="0"/>
              <w:rPr>
                <w:sz w:val="20"/>
                <w:szCs w:val="20"/>
                <w:color w:val="auto"/>
              </w:rPr>
            </w:pPr>
            <w:r>
              <w:rPr>
                <w:rFonts w:ascii="Arial" w:cs="Arial" w:eastAsia="Arial" w:hAnsi="Arial"/>
                <w:sz w:val="14"/>
                <w:szCs w:val="14"/>
                <w:b w:val="1"/>
                <w:bCs w:val="1"/>
                <w:color w:val="auto"/>
              </w:rPr>
              <w:t>Exhibit</w:t>
            </w:r>
          </w:p>
        </w:tc>
        <w:tc>
          <w:tcPr>
            <w:tcW w:w="37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22"/>
                <w:szCs w:val="22"/>
                <w:color w:val="auto"/>
              </w:rPr>
            </w:pPr>
          </w:p>
        </w:tc>
        <w:tc>
          <w:tcPr>
            <w:tcW w:w="37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Form Incorporated by reference herein</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34">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374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35">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Bylaws</w:t>
            </w:r>
          </w:p>
        </w:tc>
        <w:tc>
          <w:tcPr>
            <w:tcW w:w="374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36">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3740" w:type="dxa"/>
            <w:vAlign w:val="bottom"/>
          </w:tcPr>
          <w:p>
            <w:pPr>
              <w:ind w:left="20"/>
              <w:spacing w:after="0"/>
              <w:rPr>
                <w:sz w:val="20"/>
                <w:szCs w:val="20"/>
                <w:color w:val="auto"/>
              </w:rPr>
            </w:pPr>
            <w:r>
              <w:rPr>
                <w:rFonts w:ascii="Arial" w:cs="Arial" w:eastAsia="Arial" w:hAnsi="Arial"/>
                <w:sz w:val="14"/>
                <w:szCs w:val="14"/>
                <w:color w:val="auto"/>
                <w:w w:val="94"/>
              </w:rPr>
              <w:t>Registration Statement on Form S-l, as amended (File No. 333-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60" w:type="dxa"/>
            <w:vAlign w:val="bottom"/>
            <w:gridSpan w:val="2"/>
            <w:vMerge w:val="restart"/>
          </w:tcPr>
          <w:p>
            <w:pPr>
              <w:spacing w:after="0"/>
              <w:rPr>
                <w:rFonts w:ascii="Arial" w:cs="Arial" w:eastAsia="Arial" w:hAnsi="Arial"/>
                <w:sz w:val="14"/>
                <w:szCs w:val="14"/>
                <w:color w:val="0000FF"/>
                <w:w w:val="90"/>
              </w:rPr>
            </w:pPr>
            <w:hyperlink w:anchor="page118">
              <w:r>
                <w:rPr>
                  <w:rFonts w:ascii="Arial" w:cs="Arial" w:eastAsia="Arial" w:hAnsi="Arial"/>
                  <w:sz w:val="14"/>
                  <w:szCs w:val="14"/>
                  <w:color w:val="0000FF"/>
                  <w:w w:val="90"/>
                </w:rPr>
                <w:t>4.</w:t>
              </w:r>
              <w:r>
                <w:rPr>
                  <w:rFonts w:ascii="Arial" w:cs="Arial" w:eastAsia="Arial" w:hAnsi="Arial"/>
                  <w:sz w:val="14"/>
                  <w:szCs w:val="14"/>
                  <w:u w:val="single" w:color="auto"/>
                  <w:color w:val="0000FF"/>
                  <w:w w:val="90"/>
                </w:rPr>
                <w:t>2</w:t>
              </w:r>
            </w:hyperlink>
            <w:r>
              <w:rPr>
                <w:rFonts w:ascii="Arial" w:cs="Arial" w:eastAsia="Arial" w:hAnsi="Arial"/>
                <w:sz w:val="18"/>
                <w:szCs w:val="18"/>
                <w:color w:val="000000"/>
                <w:w w:val="90"/>
                <w:vertAlign w:val="superscript"/>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Description of Securities Registered Pursuant to Section 12 of</w:t>
            </w:r>
          </w:p>
        </w:tc>
        <w:tc>
          <w:tcPr>
            <w:tcW w:w="3740" w:type="dxa"/>
            <w:vAlign w:val="bottom"/>
          </w:tcPr>
          <w:p>
            <w:pPr>
              <w:ind w:left="20"/>
              <w:spacing w:after="0" w:line="155" w:lineRule="exact"/>
              <w:rPr>
                <w:sz w:val="20"/>
                <w:szCs w:val="20"/>
                <w:color w:val="auto"/>
              </w:rPr>
            </w:pPr>
            <w:r>
              <w:rPr>
                <w:rFonts w:ascii="Arial" w:cs="Arial" w:eastAsia="Arial" w:hAnsi="Arial"/>
                <w:sz w:val="14"/>
                <w:szCs w:val="14"/>
                <w:color w:val="auto"/>
              </w:rPr>
              <w:t>161190)</w:t>
            </w: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the Exchange Act</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37">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Indemnification Agreement between the Company and</w:t>
            </w:r>
          </w:p>
        </w:tc>
        <w:tc>
          <w:tcPr>
            <w:tcW w:w="374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its directors and officers</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38">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2009 Equity Incentive Plan</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tcPr>
          <w:p>
            <w:pPr>
              <w:spacing w:after="0"/>
              <w:rPr>
                <w:rFonts w:ascii="Arial" w:cs="Arial" w:eastAsia="Arial" w:hAnsi="Arial"/>
                <w:sz w:val="14"/>
                <w:szCs w:val="14"/>
                <w:color w:val="0000FF"/>
              </w:rPr>
            </w:pPr>
            <w:hyperlink r:id="rId139">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stock option agreement under Amended and Restated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2009 Equity Incentive Plan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40">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performance stock unit award agreement under</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Amended and Restated 2009 Equity Incentive Plan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41">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restricted stock unit award and performance stock unit</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award agreement under Amended and Restated 2009 Equity</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Incentive Plan (Additional Forms)</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4"/>
                <w:szCs w:val="14"/>
                <w:color w:val="0000FF"/>
              </w:rPr>
            </w:pPr>
            <w:hyperlink r:id="rId142">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9"/>
              </w:rPr>
              <w:t>Form of restricted stock unit award agreement under Amended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and Restated 2009 Equity Incentive Plan (Additional Form)</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43">
              <w:r>
                <w:rPr>
                  <w:rFonts w:ascii="Arial" w:cs="Arial" w:eastAsia="Arial" w:hAnsi="Arial"/>
                  <w:sz w:val="14"/>
                  <w:szCs w:val="14"/>
                  <w:color w:val="0000FF"/>
                </w:rPr>
                <w:t>10.</w:t>
              </w:r>
              <w:r>
                <w:rPr>
                  <w:rFonts w:ascii="Arial" w:cs="Arial" w:eastAsia="Arial" w:hAnsi="Arial"/>
                  <w:sz w:val="14"/>
                  <w:szCs w:val="14"/>
                  <w:u w:val="single" w:color="auto"/>
                  <w:color w:val="0000FF"/>
                </w:rPr>
                <w:t>7</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stock option award agreement under Amended and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Restated 2009 Equity Incentive Plan (Additional Form)</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44">
              <w:r>
                <w:rPr>
                  <w:rFonts w:ascii="Arial" w:cs="Arial" w:eastAsia="Arial" w:hAnsi="Arial"/>
                  <w:sz w:val="14"/>
                  <w:szCs w:val="14"/>
                  <w:color w:val="0000FF"/>
                </w:rPr>
                <w:t>10.</w:t>
              </w:r>
              <w:r>
                <w:rPr>
                  <w:rFonts w:ascii="Arial" w:cs="Arial" w:eastAsia="Arial" w:hAnsi="Arial"/>
                  <w:sz w:val="14"/>
                  <w:szCs w:val="14"/>
                  <w:u w:val="single" w:color="auto"/>
                  <w:color w:val="0000FF"/>
                </w:rPr>
                <w:t>8</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Fortinet, Inc. Amended Bonus Plan</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4"/>
                <w:szCs w:val="14"/>
                <w:color w:val="0000FF"/>
              </w:rPr>
            </w:pPr>
            <w:hyperlink r:id="rId145">
              <w:r>
                <w:rPr>
                  <w:rFonts w:ascii="Arial" w:cs="Arial" w:eastAsia="Arial" w:hAnsi="Arial"/>
                  <w:sz w:val="14"/>
                  <w:szCs w:val="14"/>
                  <w:color w:val="0000FF"/>
                </w:rPr>
                <w:t>10.</w:t>
              </w:r>
              <w:r>
                <w:rPr>
                  <w:rFonts w:ascii="Arial" w:cs="Arial" w:eastAsia="Arial" w:hAnsi="Arial"/>
                  <w:sz w:val="14"/>
                  <w:szCs w:val="14"/>
                  <w:u w:val="single" w:color="auto"/>
                  <w:color w:val="0000FF"/>
                </w:rPr>
                <w:t>9</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Fortinet, Inc. Cash and Equity Incentive Plan</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tcPr>
          <w:p>
            <w:pPr>
              <w:spacing w:after="0"/>
              <w:rPr>
                <w:rFonts w:ascii="Arial" w:cs="Arial" w:eastAsia="Arial" w:hAnsi="Arial"/>
                <w:sz w:val="14"/>
                <w:szCs w:val="14"/>
                <w:color w:val="0000FF"/>
              </w:rPr>
            </w:pPr>
            <w:hyperlink r:id="rId146">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Change of Control Agreement between the Company</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and its directors</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47">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Agreement, effective as of August 7, 2019, between the</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Ken Xie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4"/>
                <w:szCs w:val="14"/>
                <w:color w:val="0000FF"/>
              </w:rPr>
            </w:pPr>
            <w:hyperlink r:id="rId148">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Agreement, effective as of August 7, 2019, between the</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Michael Xie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4"/>
                <w:szCs w:val="14"/>
                <w:color w:val="0000FF"/>
              </w:rPr>
            </w:pPr>
            <w:hyperlink r:id="rId149">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Agreement, effective as of August 7, 2019, between the</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John Whittle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4"/>
                <w:szCs w:val="14"/>
                <w:color w:val="0000FF"/>
              </w:rPr>
            </w:pPr>
            <w:hyperlink r:id="rId150">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8"/>
              </w:rPr>
              <w:t>Offer Letter, dated as of October 23, 2006, by and between the</w:t>
            </w:r>
          </w:p>
        </w:tc>
        <w:tc>
          <w:tcPr>
            <w:tcW w:w="3740" w:type="dxa"/>
            <w:vAlign w:val="bottom"/>
          </w:tcPr>
          <w:p>
            <w:pPr>
              <w:ind w:left="20"/>
              <w:spacing w:after="0"/>
              <w:rPr>
                <w:sz w:val="20"/>
                <w:szCs w:val="20"/>
                <w:color w:val="auto"/>
              </w:rPr>
            </w:pPr>
            <w:r>
              <w:rPr>
                <w:rFonts w:ascii="Arial" w:cs="Arial" w:eastAsia="Arial" w:hAnsi="Arial"/>
                <w:sz w:val="14"/>
                <w:szCs w:val="14"/>
                <w:color w:val="auto"/>
                <w:w w:val="94"/>
              </w:rPr>
              <w:t>Registration Statement on Form S-l, as amended (File No. 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Company and John Whittle</w:t>
            </w:r>
          </w:p>
        </w:tc>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161190)</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1">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Offer Letter, dated as of April 3, 2014, by and between the</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Company and Keith Jensen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2">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Agreement, effective as of August 7, 2019, between the</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Keith Jensen</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gridSpan w:val="2"/>
          </w:tcPr>
          <w:p>
            <w:pPr>
              <w:spacing w:after="0"/>
              <w:rPr>
                <w:rFonts w:ascii="Arial" w:cs="Arial" w:eastAsia="Arial" w:hAnsi="Arial"/>
                <w:sz w:val="13"/>
                <w:szCs w:val="13"/>
                <w:color w:val="0000FF"/>
                <w:w w:val="74"/>
              </w:rPr>
            </w:pPr>
            <w:hyperlink w:anchor="page124">
              <w:r>
                <w:rPr>
                  <w:rFonts w:ascii="Arial" w:cs="Arial" w:eastAsia="Arial" w:hAnsi="Arial"/>
                  <w:sz w:val="13"/>
                  <w:szCs w:val="13"/>
                  <w:color w:val="0000FF"/>
                  <w:w w:val="74"/>
                </w:rPr>
                <w:t>21.</w:t>
              </w:r>
              <w:r>
                <w:rPr>
                  <w:rFonts w:ascii="Arial" w:cs="Arial" w:eastAsia="Arial" w:hAnsi="Arial"/>
                  <w:sz w:val="13"/>
                  <w:szCs w:val="13"/>
                  <w:u w:val="single" w:color="auto"/>
                  <w:color w:val="0000FF"/>
                  <w:w w:val="74"/>
                </w:rPr>
                <w:t>1</w:t>
              </w:r>
            </w:hyperlink>
            <w:r>
              <w:rPr>
                <w:rFonts w:ascii="Arial" w:cs="Arial" w:eastAsia="Arial" w:hAnsi="Arial"/>
                <w:sz w:val="16"/>
                <w:szCs w:val="16"/>
                <w:color w:val="000000"/>
                <w:w w:val="74"/>
                <w:vertAlign w:val="superscript"/>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List of subsidiaries</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gridSpan w:val="2"/>
          </w:tcPr>
          <w:p>
            <w:pPr>
              <w:spacing w:after="0"/>
              <w:rPr>
                <w:rFonts w:ascii="Arial" w:cs="Arial" w:eastAsia="Arial" w:hAnsi="Arial"/>
                <w:sz w:val="13"/>
                <w:szCs w:val="13"/>
                <w:color w:val="0000FF"/>
                <w:w w:val="74"/>
              </w:rPr>
            </w:pPr>
            <w:hyperlink w:anchor="page126">
              <w:r>
                <w:rPr>
                  <w:rFonts w:ascii="Arial" w:cs="Arial" w:eastAsia="Arial" w:hAnsi="Arial"/>
                  <w:sz w:val="13"/>
                  <w:szCs w:val="13"/>
                  <w:color w:val="0000FF"/>
                  <w:w w:val="74"/>
                </w:rPr>
                <w:t>23.</w:t>
              </w:r>
              <w:r>
                <w:rPr>
                  <w:rFonts w:ascii="Arial" w:cs="Arial" w:eastAsia="Arial" w:hAnsi="Arial"/>
                  <w:sz w:val="13"/>
                  <w:szCs w:val="13"/>
                  <w:u w:val="single" w:color="auto"/>
                  <w:color w:val="0000FF"/>
                  <w:w w:val="74"/>
                </w:rPr>
                <w:t>1</w:t>
              </w:r>
            </w:hyperlink>
            <w:r>
              <w:rPr>
                <w:rFonts w:ascii="Arial" w:cs="Arial" w:eastAsia="Arial" w:hAnsi="Arial"/>
                <w:sz w:val="16"/>
                <w:szCs w:val="16"/>
                <w:color w:val="000000"/>
                <w:w w:val="74"/>
                <w:vertAlign w:val="superscript"/>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gridSpan w:val="2"/>
          </w:tcPr>
          <w:p>
            <w:pPr>
              <w:spacing w:after="0"/>
              <w:rPr>
                <w:rFonts w:ascii="Arial" w:cs="Arial" w:eastAsia="Arial" w:hAnsi="Arial"/>
                <w:sz w:val="13"/>
                <w:szCs w:val="13"/>
                <w:color w:val="0000FF"/>
                <w:w w:val="74"/>
              </w:rPr>
            </w:pPr>
            <w:hyperlink w:anchor="page115">
              <w:r>
                <w:rPr>
                  <w:rFonts w:ascii="Arial" w:cs="Arial" w:eastAsia="Arial" w:hAnsi="Arial"/>
                  <w:sz w:val="13"/>
                  <w:szCs w:val="13"/>
                  <w:color w:val="0000FF"/>
                  <w:w w:val="74"/>
                </w:rPr>
                <w:t>24.</w:t>
              </w:r>
              <w:r>
                <w:rPr>
                  <w:rFonts w:ascii="Arial" w:cs="Arial" w:eastAsia="Arial" w:hAnsi="Arial"/>
                  <w:sz w:val="13"/>
                  <w:szCs w:val="13"/>
                  <w:u w:val="single" w:color="auto"/>
                  <w:color w:val="0000FF"/>
                  <w:w w:val="74"/>
                </w:rPr>
                <w:t>1</w:t>
              </w:r>
            </w:hyperlink>
            <w:r>
              <w:rPr>
                <w:rFonts w:ascii="Arial" w:cs="Arial" w:eastAsia="Arial" w:hAnsi="Arial"/>
                <w:sz w:val="16"/>
                <w:szCs w:val="16"/>
                <w:color w:val="000000"/>
                <w:w w:val="74"/>
                <w:vertAlign w:val="superscript"/>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40" w:type="dxa"/>
            <w:vAlign w:val="bottom"/>
            <w:gridSpan w:val="3"/>
          </w:tcPr>
          <w:p>
            <w:pPr>
              <w:ind w:left="20"/>
              <w:spacing w:after="0"/>
              <w:rPr>
                <w:sz w:val="20"/>
                <w:szCs w:val="20"/>
                <w:color w:val="auto"/>
              </w:rPr>
            </w:pPr>
            <w:r>
              <w:rPr>
                <w:rFonts w:ascii="Arial" w:cs="Arial" w:eastAsia="Arial" w:hAnsi="Arial"/>
                <w:sz w:val="14"/>
                <w:szCs w:val="14"/>
                <w:color w:val="auto"/>
              </w:rPr>
              <w:t>Power of Attorney (incorporated by reference to the signature page of this Annual Report on Form 10-K)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100" w:type="dxa"/>
            <w:vAlign w:val="bottom"/>
            <w:vMerge w:val="restart"/>
          </w:tcPr>
          <w:p>
            <w:pPr>
              <w:spacing w:after="0"/>
              <w:rPr>
                <w:sz w:val="14"/>
                <w:szCs w:val="14"/>
                <w:color w:val="auto"/>
              </w:rPr>
            </w:pP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1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June 28, 2018</w:t>
            </w:r>
          </w:p>
        </w:tc>
        <w:tc>
          <w:tcPr>
            <w:tcW w:w="1100" w:type="dxa"/>
            <w:vAlign w:val="bottom"/>
          </w:tcPr>
          <w:p>
            <w:pPr>
              <w:ind w:lef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April 28, 2021</w:t>
            </w:r>
          </w:p>
        </w:tc>
        <w:tc>
          <w:tcPr>
            <w:tcW w:w="1100" w:type="dxa"/>
            <w:vAlign w:val="bottom"/>
          </w:tcPr>
          <w:p>
            <w:pPr>
              <w:ind w:lef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November 2, 2009</w:t>
            </w:r>
          </w:p>
        </w:tc>
        <w:tc>
          <w:tcPr>
            <w:tcW w:w="1100" w:type="dxa"/>
            <w:vAlign w:val="bottom"/>
          </w:tcPr>
          <w:p>
            <w:pPr>
              <w:ind w:lef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56"/>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10, 2009</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28, 2012</w:t>
            </w:r>
          </w:p>
        </w:tc>
        <w:tc>
          <w:tcPr>
            <w:tcW w:w="1100" w:type="dxa"/>
            <w:vAlign w:val="bottom"/>
          </w:tcPr>
          <w:p>
            <w:pPr>
              <w:ind w:lef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6, 2013</w:t>
            </w:r>
          </w:p>
        </w:tc>
        <w:tc>
          <w:tcPr>
            <w:tcW w:w="1100" w:type="dxa"/>
            <w:vAlign w:val="bottom"/>
          </w:tcPr>
          <w:p>
            <w:pPr>
              <w:ind w:left="2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March 2, 2015</w:t>
            </w:r>
          </w:p>
        </w:tc>
        <w:tc>
          <w:tcPr>
            <w:tcW w:w="1100" w:type="dxa"/>
            <w:vAlign w:val="bottom"/>
          </w:tcPr>
          <w:p>
            <w:pPr>
              <w:ind w:lef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2020</w:t>
            </w:r>
          </w:p>
        </w:tc>
        <w:tc>
          <w:tcPr>
            <w:tcW w:w="1100" w:type="dxa"/>
            <w:vAlign w:val="bottom"/>
          </w:tcPr>
          <w:p>
            <w:pPr>
              <w:ind w:lef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2020</w:t>
            </w:r>
          </w:p>
        </w:tc>
        <w:tc>
          <w:tcPr>
            <w:tcW w:w="1100" w:type="dxa"/>
            <w:vAlign w:val="bottom"/>
          </w:tcPr>
          <w:p>
            <w:pPr>
              <w:ind w:lef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19, 2021</w:t>
            </w:r>
          </w:p>
        </w:tc>
        <w:tc>
          <w:tcPr>
            <w:tcW w:w="1100" w:type="dxa"/>
            <w:vAlign w:val="bottom"/>
          </w:tcPr>
          <w:p>
            <w:pPr>
              <w:ind w:left="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November 5, 2013</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4, 2015</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1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10, 2009</w:t>
            </w:r>
          </w:p>
        </w:tc>
        <w:tc>
          <w:tcPr>
            <w:tcW w:w="1100" w:type="dxa"/>
            <w:vAlign w:val="bottom"/>
          </w:tcPr>
          <w:p>
            <w:pPr>
              <w:ind w:left="20"/>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2018</w:t>
            </w:r>
          </w:p>
        </w:tc>
        <w:tc>
          <w:tcPr>
            <w:tcW w:w="1100" w:type="dxa"/>
            <w:vAlign w:val="bottom"/>
          </w:tcPr>
          <w:p>
            <w:pPr>
              <w:ind w:left="2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378"/>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pacing w:after="0" w:line="1183" w:lineRule="exact"/>
        <w:rPr>
          <w:sz w:val="20"/>
          <w:szCs w:val="20"/>
          <w:color w:val="auto"/>
        </w:rPr>
      </w:pPr>
    </w:p>
    <w:p>
      <w:pPr>
        <w:sectPr>
          <w:pgSz w:w="11900" w:h="16838" w:orient="portrait"/>
          <w:cols w:equalWidth="0" w:num="2">
            <w:col w:w="8480" w:space="100"/>
            <w:col w:w="266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0" w:type="dxa"/>
            <w:vAlign w:val="bottom"/>
            <w:gridSpan w:val="2"/>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223"/>
        </w:trPr>
        <w:tc>
          <w:tcPr>
            <w:tcW w:w="780" w:type="dxa"/>
            <w:vAlign w:val="bottom"/>
            <w:gridSpan w:val="2"/>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223"/>
        </w:trPr>
        <w:tc>
          <w:tcPr>
            <w:tcW w:w="780" w:type="dxa"/>
            <w:vAlign w:val="bottom"/>
            <w:gridSpan w:val="2"/>
          </w:tcPr>
          <w:p>
            <w:pPr>
              <w:spacing w:after="0"/>
              <w:rPr>
                <w:rFonts w:ascii="Arial" w:cs="Arial" w:eastAsia="Arial" w:hAnsi="Arial"/>
                <w:sz w:val="14"/>
                <w:szCs w:val="14"/>
                <w:color w:val="0000FF"/>
              </w:rPr>
            </w:pPr>
            <w:hyperlink w:anchor="page129">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307"/>
        </w:trPr>
        <w:tc>
          <w:tcPr>
            <w:tcW w:w="780" w:type="dxa"/>
            <w:vAlign w:val="bottom"/>
            <w:gridSpan w:val="2"/>
          </w:tcPr>
          <w:p>
            <w:pPr>
              <w:spacing w:after="0"/>
              <w:rPr>
                <w:sz w:val="20"/>
                <w:szCs w:val="20"/>
                <w:color w:val="auto"/>
              </w:rPr>
            </w:pPr>
            <w:r>
              <w:rPr>
                <w:rFonts w:ascii="Arial" w:cs="Arial" w:eastAsia="Arial" w:hAnsi="Arial"/>
                <w:sz w:val="14"/>
                <w:szCs w:val="14"/>
                <w:color w:val="auto"/>
              </w:rPr>
              <w:t>101.INS</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 because its XBRL tags are embedded within the inline XBRL document.</w:t>
            </w:r>
          </w:p>
        </w:tc>
      </w:tr>
      <w:tr>
        <w:trPr>
          <w:trHeight w:val="243"/>
        </w:trPr>
        <w:tc>
          <w:tcPr>
            <w:tcW w:w="780" w:type="dxa"/>
            <w:vAlign w:val="bottom"/>
            <w:gridSpan w:val="2"/>
          </w:tcPr>
          <w:p>
            <w:pPr>
              <w:spacing w:after="0"/>
              <w:rPr>
                <w:sz w:val="20"/>
                <w:szCs w:val="20"/>
                <w:color w:val="auto"/>
              </w:rPr>
            </w:pPr>
            <w:r>
              <w:rPr>
                <w:rFonts w:ascii="Arial" w:cs="Arial" w:eastAsia="Arial" w:hAnsi="Arial"/>
                <w:sz w:val="14"/>
                <w:szCs w:val="14"/>
                <w:color w:val="auto"/>
              </w:rPr>
              <w:t>101.SCH</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Schema Document</w:t>
            </w:r>
          </w:p>
        </w:tc>
      </w:tr>
      <w:tr>
        <w:trPr>
          <w:trHeight w:val="243"/>
        </w:trPr>
        <w:tc>
          <w:tcPr>
            <w:tcW w:w="780" w:type="dxa"/>
            <w:vAlign w:val="bottom"/>
            <w:gridSpan w:val="2"/>
          </w:tcPr>
          <w:p>
            <w:pPr>
              <w:spacing w:after="0"/>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3"/>
        </w:trPr>
        <w:tc>
          <w:tcPr>
            <w:tcW w:w="780" w:type="dxa"/>
            <w:vAlign w:val="bottom"/>
            <w:gridSpan w:val="2"/>
          </w:tcPr>
          <w:p>
            <w:pPr>
              <w:spacing w:after="0"/>
              <w:rPr>
                <w:sz w:val="20"/>
                <w:szCs w:val="20"/>
                <w:color w:val="auto"/>
              </w:rPr>
            </w:pPr>
            <w:r>
              <w:rPr>
                <w:rFonts w:ascii="Arial" w:cs="Arial" w:eastAsia="Arial" w:hAnsi="Arial"/>
                <w:sz w:val="14"/>
                <w:szCs w:val="14"/>
                <w:color w:val="auto"/>
              </w:rPr>
              <w:t>101.DEF</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3"/>
        </w:trPr>
        <w:tc>
          <w:tcPr>
            <w:tcW w:w="780" w:type="dxa"/>
            <w:vAlign w:val="bottom"/>
            <w:gridSpan w:val="2"/>
          </w:tcPr>
          <w:p>
            <w:pPr>
              <w:spacing w:after="0"/>
              <w:rPr>
                <w:sz w:val="20"/>
                <w:szCs w:val="20"/>
                <w:color w:val="auto"/>
              </w:rPr>
            </w:pPr>
            <w:r>
              <w:rPr>
                <w:rFonts w:ascii="Arial" w:cs="Arial" w:eastAsia="Arial" w:hAnsi="Arial"/>
                <w:sz w:val="14"/>
                <w:szCs w:val="14"/>
                <w:color w:val="auto"/>
              </w:rPr>
              <w:t>101.LAB</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3"/>
        </w:trPr>
        <w:tc>
          <w:tcPr>
            <w:tcW w:w="780" w:type="dxa"/>
            <w:vAlign w:val="bottom"/>
            <w:gridSpan w:val="2"/>
          </w:tcPr>
          <w:p>
            <w:pPr>
              <w:spacing w:after="0"/>
              <w:rPr>
                <w:sz w:val="20"/>
                <w:szCs w:val="20"/>
                <w:color w:val="auto"/>
              </w:rPr>
            </w:pPr>
            <w:r>
              <w:rPr>
                <w:rFonts w:ascii="Arial" w:cs="Arial" w:eastAsia="Arial" w:hAnsi="Arial"/>
                <w:sz w:val="14"/>
                <w:szCs w:val="14"/>
                <w:color w:val="auto"/>
              </w:rPr>
              <w:t>101.PRE</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44"/>
        </w:trPr>
        <w:tc>
          <w:tcPr>
            <w:tcW w:w="780" w:type="dxa"/>
            <w:vAlign w:val="bottom"/>
            <w:gridSpan w:val="2"/>
          </w:tcPr>
          <w:p>
            <w:pPr>
              <w:spacing w:after="0"/>
              <w:rPr>
                <w:sz w:val="20"/>
                <w:szCs w:val="20"/>
                <w:color w:val="auto"/>
              </w:rPr>
            </w:pPr>
            <w:r>
              <w:rPr>
                <w:rFonts w:ascii="Arial" w:cs="Arial" w:eastAsia="Arial" w:hAnsi="Arial"/>
                <w:sz w:val="14"/>
                <w:szCs w:val="14"/>
                <w:color w:val="auto"/>
              </w:rPr>
              <w:t>104</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Cover Page Interactive Data File - the cover page from the Company’s Annual Report on Form 10-K for the year ended December 31, 2021 is formatted in inline XBRL.</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44" w:lineRule="exact"/>
        <w:rPr>
          <w:sz w:val="20"/>
          <w:szCs w:val="20"/>
          <w:color w:val="auto"/>
        </w:rPr>
      </w:pPr>
    </w:p>
    <w:p>
      <w:pPr>
        <w:ind w:right="7180" w:firstLine="8"/>
        <w:spacing w:after="0" w:line="206" w:lineRule="auto"/>
        <w:tabs>
          <w:tab w:leader="none" w:pos="88" w:val="left"/>
        </w:tabs>
        <w:numPr>
          <w:ilvl w:val="0"/>
          <w:numId w:val="64"/>
        </w:numPr>
        <w:rPr>
          <w:rFonts w:ascii="Arial" w:cs="Arial" w:eastAsia="Arial" w:hAnsi="Arial"/>
          <w:sz w:val="21"/>
          <w:szCs w:val="21"/>
          <w:color w:val="auto"/>
          <w:vertAlign w:val="superscript"/>
        </w:rPr>
      </w:pPr>
      <w:r>
        <w:rPr>
          <w:rFonts w:ascii="Arial" w:cs="Arial" w:eastAsia="Arial" w:hAnsi="Arial"/>
          <w:sz w:val="13"/>
          <w:szCs w:val="13"/>
          <w:color w:val="auto"/>
        </w:rPr>
        <w:t>Indicates management compensatory plan, contract or arrangement. * Filed herewith.</w:t>
      </w:r>
    </w:p>
    <w:p>
      <w:pPr>
        <w:ind w:left="420" w:right="640" w:hanging="405"/>
        <w:spacing w:after="0" w:line="255" w:lineRule="auto"/>
        <w:rPr>
          <w:rFonts w:ascii="Arial" w:cs="Arial" w:eastAsia="Arial" w:hAnsi="Arial"/>
          <w:sz w:val="21"/>
          <w:szCs w:val="21"/>
          <w:color w:val="auto"/>
          <w:vertAlign w:val="superscript"/>
        </w:rPr>
      </w:pPr>
      <w:r>
        <w:rPr>
          <w:rFonts w:ascii="Arial" w:cs="Arial" w:eastAsia="Arial" w:hAnsi="Arial"/>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2022.</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20" w:type="dxa"/>
            <w:vAlign w:val="bottom"/>
            <w:gridSpan w:val="3"/>
          </w:tcPr>
          <w:p>
            <w:pPr>
              <w:ind w:left="740"/>
              <w:spacing w:after="0"/>
              <w:rPr>
                <w:sz w:val="20"/>
                <w:szCs w:val="20"/>
                <w:color w:val="auto"/>
              </w:rPr>
            </w:pPr>
            <w:r>
              <w:rPr>
                <w:rFonts w:ascii="Arial" w:cs="Arial" w:eastAsia="Arial" w:hAnsi="Arial"/>
                <w:sz w:val="18"/>
                <w:szCs w:val="18"/>
                <w:b w:val="1"/>
                <w:bCs w:val="1"/>
                <w:color w:val="auto"/>
              </w:rPr>
              <w:t>Date</w:t>
            </w: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Ken Xie</w:t>
            </w:r>
          </w:p>
        </w:tc>
        <w:tc>
          <w:tcPr>
            <w:tcW w:w="1580" w:type="dxa"/>
            <w:vAlign w:val="bottom"/>
            <w:tcBorders>
              <w:bottom w:val="single" w:sz="8" w:color="auto"/>
            </w:tcBorders>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3"/>
              </w:rPr>
              <w:t>Ken Xie</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50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88"/>
              </w:rPr>
              <w:t>Keith Jensen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70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89"/>
              </w:rPr>
              <w:t>Keith Jensen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 and Principal Accounting Officer)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50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94"/>
              </w:rPr>
              <w:t>Michael Xie</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3"/>
              </w:rPr>
              <w:t>Michael Xie</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6"/>
              </w:rPr>
              <w:t>Kelly Ducourty</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70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92"/>
              </w:rPr>
              <w:t>Kelly Ducourty</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/s/</w:t>
            </w:r>
          </w:p>
        </w:tc>
        <w:tc>
          <w:tcPr>
            <w:tcW w:w="27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3"/>
              </w:rPr>
              <w:t>Kenneth A. Goldman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Kenneth A. Goldman</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Ming Hsieh</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3"/>
              </w:rPr>
              <w:t>Ming Hsieh</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3"/>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600"/>
              <w:spacing w:after="0"/>
              <w:rPr>
                <w:sz w:val="20"/>
                <w:szCs w:val="20"/>
                <w:color w:val="auto"/>
              </w:rPr>
            </w:pPr>
            <w:r>
              <w:rPr>
                <w:rFonts w:ascii="Arial" w:cs="Arial" w:eastAsia="Arial" w:hAnsi="Arial"/>
                <w:sz w:val="18"/>
                <w:szCs w:val="18"/>
                <w:color w:val="auto"/>
                <w:w w:val="89"/>
              </w:rPr>
              <w:t>Jean Hu</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1"/>
              </w:rPr>
              <w:t>Jean Hu</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73"/>
              </w:rPr>
              <w:t>/s/</w:t>
            </w:r>
          </w:p>
        </w:tc>
        <w:tc>
          <w:tcPr>
            <w:tcW w:w="27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6"/>
              </w:rPr>
              <w:t>William H. Neukom</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William H. Neukom</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8"/>
                <w:szCs w:val="18"/>
                <w:color w:val="auto"/>
                <w:w w:val="90"/>
              </w:rPr>
              <w:t>/s/ Judith Sim</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1"/>
              </w:rPr>
              <w:t>Judith Sim</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1"/>
        </w:trPr>
        <w:tc>
          <w:tcPr>
            <w:tcW w:w="3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/s/ Admiral James Stavridis</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25, 2022</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Admiral James Stavridis</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121" w:right="4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297" w:lineRule="exact"/>
        <w:rPr>
          <w:sz w:val="20"/>
          <w:szCs w:val="20"/>
          <w:color w:val="auto"/>
        </w:rPr>
      </w:pPr>
    </w:p>
    <w:p>
      <w:pPr>
        <w:ind w:right="220" w:firstLine="648"/>
        <w:spacing w:after="0" w:line="324" w:lineRule="auto"/>
        <w:rPr>
          <w:sz w:val="20"/>
          <w:szCs w:val="20"/>
          <w:color w:val="auto"/>
        </w:rPr>
      </w:pPr>
      <w:r>
        <w:rPr>
          <w:rFonts w:ascii="Arial" w:cs="Arial" w:eastAsia="Arial" w:hAnsi="Arial"/>
          <w:sz w:val="18"/>
          <w:szCs w:val="18"/>
          <w:color w:val="auto"/>
        </w:rPr>
        <w:t>As of December 31, 2021, Fortinet, Inc. (“we,” “us” or “our”) had one class of securities registered under Section 12 of the Securities Exchange Act of 1934, as amended: our common stock.</w:t>
      </w:r>
    </w:p>
    <w:p>
      <w:pPr>
        <w:spacing w:after="0" w:line="224" w:lineRule="exact"/>
        <w:rPr>
          <w:sz w:val="20"/>
          <w:szCs w:val="20"/>
          <w:color w:val="auto"/>
        </w:rPr>
      </w:pPr>
    </w:p>
    <w:p>
      <w:pPr>
        <w:ind w:right="40" w:firstLine="648"/>
        <w:spacing w:after="0" w:line="391" w:lineRule="auto"/>
        <w:rPr>
          <w:sz w:val="20"/>
          <w:szCs w:val="20"/>
          <w:color w:val="auto"/>
        </w:rPr>
      </w:pPr>
      <w:r>
        <w:rPr>
          <w:rFonts w:ascii="Arial" w:cs="Arial" w:eastAsia="Arial" w:hAnsi="Arial"/>
          <w:sz w:val="17"/>
          <w:szCs w:val="17"/>
          <w:color w:val="auto"/>
        </w:rPr>
        <w:t>The following summary of the terms of our common stock is based upon our amended and restated certificate of incorporation and our amended and restated bylaws and applicable provisions of law. The summary is not complete, and is qualified by reference to our amended and restated certificate of incorporation and our amended and restated bylaws, which are filed as exhibits to this Annual Report on Form 10-K and are incorporated by reference herein. We encourage you to read our amended and restated certificate of incorporation, our amended and restated bylaws and the applicable provisions of the Delaware General Corporation Law (the “DGCL”)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93" w:lineRule="exact"/>
        <w:rPr>
          <w:sz w:val="20"/>
          <w:szCs w:val="20"/>
          <w:color w:val="auto"/>
        </w:rPr>
      </w:pPr>
    </w:p>
    <w:p>
      <w:pPr>
        <w:ind w:right="220" w:firstLine="324"/>
        <w:spacing w:after="0" w:line="324" w:lineRule="auto"/>
        <w:rPr>
          <w:sz w:val="20"/>
          <w:szCs w:val="20"/>
          <w:color w:val="auto"/>
        </w:rPr>
      </w:pPr>
      <w:r>
        <w:rPr>
          <w:rFonts w:ascii="Arial" w:cs="Arial" w:eastAsia="Arial" w:hAnsi="Arial"/>
          <w:sz w:val="18"/>
          <w:szCs w:val="18"/>
          <w:color w:val="auto"/>
        </w:rPr>
        <w:t>Our authorized capital stock consists of 310,000,000 shares of capital stock, including 300,000,000 shares of common stock, par value of $0.001 per share, and 10,000,000 shares of undesignated preferred stock, par value of $0.001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293" w:lineRule="exact"/>
        <w:rPr>
          <w:sz w:val="20"/>
          <w:szCs w:val="20"/>
          <w:color w:val="auto"/>
        </w:rPr>
      </w:pPr>
    </w:p>
    <w:p>
      <w:pPr>
        <w:ind w:right="260" w:firstLine="648"/>
        <w:spacing w:after="0" w:line="310"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93" w:lineRule="exact"/>
        <w:rPr>
          <w:sz w:val="20"/>
          <w:szCs w:val="20"/>
          <w:color w:val="auto"/>
        </w:rPr>
      </w:pPr>
    </w:p>
    <w:p>
      <w:pPr>
        <w:ind w:right="80" w:firstLine="648"/>
        <w:spacing w:after="0" w:line="30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provides for all members of our board of directors to stand for election annually for one-year terms. Our amended and restated bylaws provide for a majority voting standard for uncontested elections of directors.</w:t>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93" w:lineRule="exact"/>
        <w:rPr>
          <w:sz w:val="20"/>
          <w:szCs w:val="20"/>
          <w:color w:val="auto"/>
        </w:rPr>
      </w:pPr>
    </w:p>
    <w:p>
      <w:pPr>
        <w:ind w:right="140" w:firstLine="648"/>
        <w:spacing w:after="0" w:line="364"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Rights and Preferences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93" w:lineRule="exact"/>
        <w:rPr>
          <w:sz w:val="20"/>
          <w:szCs w:val="20"/>
          <w:color w:val="auto"/>
        </w:rPr>
      </w:pPr>
    </w:p>
    <w:p>
      <w:pPr>
        <w:ind w:firstLine="648"/>
        <w:spacing w:after="0" w:line="343"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93" w:lineRule="exact"/>
        <w:rPr>
          <w:sz w:val="20"/>
          <w:szCs w:val="20"/>
          <w:color w:val="auto"/>
        </w:rPr>
      </w:pPr>
    </w:p>
    <w:p>
      <w:pPr>
        <w:ind w:right="40" w:firstLine="648"/>
        <w:spacing w:after="0" w:line="310"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Law</w:t>
      </w:r>
    </w:p>
    <w:p>
      <w:pPr>
        <w:spacing w:after="0" w:line="293" w:lineRule="exact"/>
        <w:rPr>
          <w:sz w:val="20"/>
          <w:szCs w:val="20"/>
          <w:color w:val="auto"/>
        </w:rPr>
      </w:pPr>
    </w:p>
    <w:p>
      <w:pPr>
        <w:ind w:right="180" w:firstLine="648"/>
        <w:spacing w:after="0" w:line="310"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10" w:lineRule="exact"/>
        <w:rPr>
          <w:sz w:val="20"/>
          <w:szCs w:val="20"/>
          <w:color w:val="auto"/>
        </w:rPr>
      </w:pPr>
    </w:p>
    <w:p>
      <w:pPr>
        <w:ind w:left="1300" w:right="160" w:hanging="644"/>
        <w:spacing w:after="0" w:line="324" w:lineRule="auto"/>
        <w:tabs>
          <w:tab w:leader="none" w:pos="12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9" w:lineRule="exact"/>
        <w:rPr>
          <w:sz w:val="20"/>
          <w:szCs w:val="20"/>
          <w:color w:val="auto"/>
        </w:rPr>
      </w:pPr>
    </w:p>
    <w:p>
      <w:pPr>
        <w:ind w:left="1300" w:right="180" w:hanging="644"/>
        <w:spacing w:after="0" w:line="304"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214" w:lineRule="exact"/>
        <w:rPr>
          <w:rFonts w:ascii="Arial" w:cs="Arial" w:eastAsia="Arial" w:hAnsi="Arial"/>
          <w:sz w:val="18"/>
          <w:szCs w:val="18"/>
          <w:color w:val="auto"/>
        </w:rPr>
      </w:pPr>
    </w:p>
    <w:p>
      <w:pPr>
        <w:ind w:left="1300" w:right="160" w:hanging="644"/>
        <w:spacing w:after="0" w:line="310"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10" w:lineRule="exact"/>
        <w:rPr>
          <w:sz w:val="20"/>
          <w:szCs w:val="20"/>
          <w:color w:val="auto"/>
        </w:rPr>
      </w:pPr>
    </w:p>
    <w:p>
      <w:pPr>
        <w:ind w:firstLine="648"/>
        <w:spacing w:after="0" w:line="349"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Amended and Restated Certificate of Incorporation and Amended and Restated Bylaw Provisions</w:t>
      </w:r>
    </w:p>
    <w:p>
      <w:pPr>
        <w:spacing w:after="0" w:line="29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company, including the following:</w:t>
      </w:r>
    </w:p>
    <w:p>
      <w:pPr>
        <w:spacing w:after="0" w:line="197" w:lineRule="exact"/>
        <w:rPr>
          <w:sz w:val="20"/>
          <w:szCs w:val="20"/>
          <w:color w:val="auto"/>
        </w:rPr>
      </w:pPr>
    </w:p>
    <w:p>
      <w:pPr>
        <w:ind w:left="1300" w:right="40" w:hanging="644"/>
        <w:spacing w:after="0" w:line="302" w:lineRule="auto"/>
        <w:tabs>
          <w:tab w:leader="none" w:pos="129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our amended and restated bylaws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19" w:lineRule="exact"/>
        <w:rPr>
          <w:rFonts w:ascii="Arial" w:cs="Arial" w:eastAsia="Arial" w:hAnsi="Arial"/>
          <w:sz w:val="18"/>
          <w:szCs w:val="18"/>
          <w:color w:val="auto"/>
        </w:rPr>
      </w:pPr>
    </w:p>
    <w:p>
      <w:pPr>
        <w:ind w:left="1300" w:right="20" w:hanging="644"/>
        <w:spacing w:after="0" w:line="344" w:lineRule="auto"/>
        <w:tabs>
          <w:tab w:leader="none" w:pos="1295"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Meetings of Stockholders</w:t>
      </w:r>
      <w:r>
        <w:rPr>
          <w:rFonts w:ascii="Arial" w:cs="Arial" w:eastAsia="Arial" w:hAnsi="Arial"/>
          <w:sz w:val="16"/>
          <w:szCs w:val="16"/>
          <w:color w:val="auto"/>
        </w:rPr>
        <w:t>. Our amended and restated certificate of incorporation provides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not take action by written consent, and may only take action at an annual or special meeting of our stockholders. Our amended and restated 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 who do not meet the ownership threshold from calling a special meeting. These provisions might delay the ability of our stockholders to force consideration of a proposal or for stockholders to take any action, including the removal of directors.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52" w:lineRule="exact"/>
        <w:rPr>
          <w:sz w:val="20"/>
          <w:szCs w:val="20"/>
          <w:color w:val="auto"/>
        </w:rPr>
      </w:pPr>
    </w:p>
    <w:p>
      <w:pPr>
        <w:ind w:left="644" w:hanging="644"/>
        <w:spacing w:after="0" w:line="344" w:lineRule="auto"/>
        <w:tabs>
          <w:tab w:leader="none" w:pos="639"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amended and restated bylaws provide advance</w:t>
      </w:r>
      <w:r>
        <w:rPr>
          <w:rFonts w:ascii="Arial" w:cs="Arial" w:eastAsia="Arial" w:hAnsi="Arial"/>
          <w:sz w:val="16"/>
          <w:szCs w:val="16"/>
          <w:i w:val="1"/>
          <w:iCs w:val="1"/>
          <w:color w:val="auto"/>
        </w:rPr>
        <w:t xml:space="preserve"> </w:t>
      </w:r>
      <w:r>
        <w:rPr>
          <w:rFonts w:ascii="Arial" w:cs="Arial" w:eastAsia="Arial" w:hAnsi="Arial"/>
          <w:sz w:val="16"/>
          <w:szCs w:val="16"/>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92" w:lineRule="exact"/>
        <w:rPr>
          <w:rFonts w:ascii="Arial" w:cs="Arial" w:eastAsia="Arial" w:hAnsi="Arial"/>
          <w:sz w:val="16"/>
          <w:szCs w:val="16"/>
          <w:color w:val="auto"/>
        </w:rPr>
      </w:pPr>
    </w:p>
    <w:p>
      <w:pPr>
        <w:ind w:left="644" w:right="40" w:hanging="644"/>
        <w:spacing w:after="0" w:line="321" w:lineRule="auto"/>
        <w:tabs>
          <w:tab w:leader="none" w:pos="639"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Proxy Access</w:t>
      </w:r>
      <w:r>
        <w:rPr>
          <w:rFonts w:ascii="Arial" w:cs="Arial" w:eastAsia="Arial" w:hAnsi="Arial"/>
          <w:sz w:val="17"/>
          <w:szCs w:val="17"/>
          <w:color w:val="auto"/>
        </w:rPr>
        <w:t>. Our amended and restated bylaws provide that, in certain circumstances, a stockholder or group of up to 20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director candidates that they have nominated in our annual meeting proxy materials. Such stockholder or group of stockholders need to own 3% or more of our outstanding common stock continuously for at least three years (i) preceding and including the date of submission of the nomination notice and (ii) following the date we implemented proxy access in the amended and restated Bylaws, whichever is later. The number of stockholder-nominated candidates appearing in any of our annual meeting proxy materials 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203" w:lineRule="exact"/>
        <w:rPr>
          <w:rFonts w:ascii="Arial" w:cs="Arial" w:eastAsia="Arial" w:hAnsi="Arial"/>
          <w:sz w:val="17"/>
          <w:szCs w:val="17"/>
          <w:color w:val="auto"/>
        </w:rPr>
      </w:pPr>
    </w:p>
    <w:p>
      <w:pPr>
        <w:ind w:left="644" w:right="40" w:hanging="644"/>
        <w:spacing w:after="0" w:line="310" w:lineRule="auto"/>
        <w:tabs>
          <w:tab w:leader="none" w:pos="639"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and amended and restated bylaws do not provide for cumulative voting.</w:t>
      </w:r>
    </w:p>
    <w:p>
      <w:pPr>
        <w:spacing w:after="0" w:line="210" w:lineRule="exact"/>
        <w:rPr>
          <w:rFonts w:ascii="Arial" w:cs="Arial" w:eastAsia="Arial" w:hAnsi="Arial"/>
          <w:sz w:val="18"/>
          <w:szCs w:val="18"/>
          <w:color w:val="auto"/>
        </w:rPr>
      </w:pPr>
    </w:p>
    <w:p>
      <w:pPr>
        <w:ind w:left="644" w:right="60" w:hanging="644"/>
        <w:spacing w:after="0" w:line="322" w:lineRule="auto"/>
        <w:tabs>
          <w:tab w:leader="none" w:pos="639"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Supermajority Requirements for Amendments of Our Amended and Restated Certificate of Incorporation and Our Amended and Restated Bylaws</w:t>
      </w:r>
      <w:r>
        <w:rPr>
          <w:rFonts w:ascii="Arial" w:cs="Arial" w:eastAsia="Arial" w:hAnsi="Arial"/>
          <w:sz w:val="17"/>
          <w:szCs w:val="17"/>
          <w:color w:val="auto"/>
        </w:rPr>
        <w:t>. Our amended and restated certificate of incorporation provides that the affirmative vote of holders of at least 66 2/3%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voting power of all of the then outstanding shares of voting stock is required to amend, alter or repeal, or adopt any provision as part of our amended and restated certificate of incorporation inconsistent with the purpose and intent of, certain provisions of our amended and restated certificate of incorporation. Further,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02" w:lineRule="exact"/>
        <w:rPr>
          <w:rFonts w:ascii="Arial" w:cs="Arial" w:eastAsia="Arial" w:hAnsi="Arial"/>
          <w:sz w:val="17"/>
          <w:szCs w:val="17"/>
          <w:color w:val="auto"/>
        </w:rPr>
      </w:pPr>
    </w:p>
    <w:p>
      <w:pPr>
        <w:jc w:val="both"/>
        <w:ind w:left="644" w:hanging="644"/>
        <w:spacing w:after="0" w:line="336" w:lineRule="auto"/>
        <w:tabs>
          <w:tab w:leader="none" w:pos="639"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has the authority, without further action by the stockholders, to issue up</w:t>
      </w:r>
      <w:r>
        <w:rPr>
          <w:rFonts w:ascii="Arial" w:cs="Arial" w:eastAsia="Arial" w:hAnsi="Arial"/>
          <w:sz w:val="17"/>
          <w:szCs w:val="17"/>
          <w:i w:val="1"/>
          <w:iCs w:val="1"/>
          <w:color w:val="auto"/>
        </w:rPr>
        <w:t xml:space="preserve"> </w:t>
      </w:r>
      <w:r>
        <w:rPr>
          <w:rFonts w:ascii="Arial" w:cs="Arial" w:eastAsia="Arial" w:hAnsi="Arial"/>
          <w:sz w:val="17"/>
          <w:szCs w:val="17"/>
          <w:color w:val="auto"/>
        </w:rPr>
        <w:t>to 10,000,000 shares of undesignated preferred stock with rights and preferences, including voting rights, designated from time to time by our board of directors. The existence of authorized but unissued shares of preferred stock enables our</w:t>
      </w:r>
    </w:p>
    <w:p>
      <w:pPr>
        <w:sectPr>
          <w:pgSz w:w="11900" w:h="16838" w:orient="portrait"/>
          <w:cols w:equalWidth="0" w:num="1">
            <w:col w:w="10584"/>
          </w:cols>
          <w:pgMar w:left="976" w:top="1440" w:right="339" w:bottom="1440" w:gutter="0" w:footer="0" w:header="0"/>
        </w:sectPr>
      </w:pPr>
    </w:p>
    <w:bookmarkStart w:id="121" w:name="page122"/>
    <w:bookmarkEnd w:id="121"/>
    <w:p>
      <w:pPr>
        <w:spacing w:after="0" w:line="9" w:lineRule="exact"/>
        <w:rPr>
          <w:sz w:val="20"/>
          <w:szCs w:val="20"/>
          <w:color w:val="auto"/>
        </w:rPr>
      </w:pPr>
    </w:p>
    <w:p>
      <w:pPr>
        <w:ind w:left="644" w:right="240"/>
        <w:spacing w:after="0" w:line="324" w:lineRule="auto"/>
        <w:rPr>
          <w:sz w:val="20"/>
          <w:szCs w:val="20"/>
          <w:color w:val="auto"/>
        </w:rPr>
      </w:pPr>
      <w:r>
        <w:rPr>
          <w:rFonts w:ascii="Arial" w:cs="Arial" w:eastAsia="Arial" w:hAnsi="Arial"/>
          <w:sz w:val="18"/>
          <w:szCs w:val="18"/>
          <w:color w:val="auto"/>
        </w:rPr>
        <w:t>board of directors to render more difficult or to discourage an attempt to obtain control of us by means of a merger, tender offer, proxy contest or other means.</w:t>
      </w:r>
    </w:p>
    <w:p>
      <w:pPr>
        <w:spacing w:after="0" w:line="197" w:lineRule="exact"/>
        <w:rPr>
          <w:sz w:val="20"/>
          <w:szCs w:val="20"/>
          <w:color w:val="auto"/>
        </w:rPr>
      </w:pPr>
    </w:p>
    <w:p>
      <w:pPr>
        <w:ind w:left="644" w:hanging="644"/>
        <w:spacing w:after="0" w:line="339" w:lineRule="auto"/>
        <w:tabs>
          <w:tab w:leader="none" w:pos="639"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amended and restated bylaws provide that, unless we consent in writing to the selection of alternate forum, 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 federal courts located within the state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ectPr>
          <w:pgSz w:w="11900" w:h="16838" w:orient="portrait"/>
          <w:cols w:equalWidth="0" w:num="1">
            <w:col w:w="10564"/>
          </w:cols>
          <w:pgMar w:left="976" w:top="1440" w:right="359" w:bottom="1440" w:gutter="0" w:footer="0" w:header="0"/>
        </w:sectPr>
      </w:pPr>
    </w:p>
    <w:bookmarkStart w:id="122" w:name="page123"/>
    <w:bookmarkEnd w:id="122"/>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Nasdaq Global Select Market under the symbol “FTNT.”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ectPr>
          <w:pgSz w:w="11900" w:h="16838" w:orient="portrait"/>
          <w:cols w:equalWidth="0" w:num="1">
            <w:col w:w="10139"/>
          </w:cols>
          <w:pgMar w:left="320" w:top="144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FORTINET, INC. SUBSIDIARIES</w:t>
            </w:r>
          </w:p>
        </w:tc>
      </w:tr>
      <w:tr>
        <w:trPr>
          <w:trHeight w:val="35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34"/>
        </w:trPr>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Austria GmbH</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Austria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Belgium BV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Technologies (Canada), ULC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Holdings 1504 Enterprises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Holdings 1502 Enterprises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Accelops China</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Fortinet Information Technology (Beijing) Co.,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Colombia S.A.S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Denmark ApS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Finland Oy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CyberSponse India Private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 Fortinet Indonesia Security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enSilo,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Security Italy S.R.L.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Japan G.K.</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Security Korea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Networks Mauritius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Mexico, S. de R.L. de C.V.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BV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Security NZ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Security Philippines,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Security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Qatar</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Networks Romania S.R.L.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Singapore Private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Security Spain S.L.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Switzerland GmbH</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Security Network (Thailand)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Thailand</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Fortinet Turkey Güvenlik Sistemleri Limited Şirketi</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Turkey</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CyberSponse,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enSilo,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Branch Holding Company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Fortinet Holding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OPAQ Networks,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Panopta Holdings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Panopta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Linksys Holdings,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Linksys Cayman,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Linksys USA,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Linksys UK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Linksys HK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Linksys PTE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Linksys Trading Shanghai, Co.,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0740"/>
          </w:cols>
          <w:pgMar w:left="820" w:top="891"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Fortinet Portugal, Unipessoal Lda</w:t>
            </w:r>
          </w:p>
        </w:tc>
        <w:tc>
          <w:tcPr>
            <w:tcW w:w="6220" w:type="dxa"/>
            <w:vAlign w:val="bottom"/>
          </w:tcPr>
          <w:p>
            <w:pPr>
              <w:ind w:left="1300"/>
              <w:spacing w:after="0"/>
              <w:rPr>
                <w:sz w:val="20"/>
                <w:szCs w:val="20"/>
                <w:color w:val="auto"/>
              </w:rPr>
            </w:pPr>
            <w:r>
              <w:rPr>
                <w:rFonts w:ascii="Arial" w:cs="Arial" w:eastAsia="Arial" w:hAnsi="Arial"/>
                <w:sz w:val="18"/>
                <w:szCs w:val="18"/>
                <w:color w:val="auto"/>
              </w:rPr>
              <w:t>Portugal</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AJ Holdings 1 K.K.</w:t>
            </w:r>
          </w:p>
        </w:tc>
        <w:tc>
          <w:tcPr>
            <w:tcW w:w="6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Japan</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AJ Holdings 2 K.K.</w:t>
            </w:r>
          </w:p>
        </w:tc>
        <w:tc>
          <w:tcPr>
            <w:tcW w:w="6220" w:type="dxa"/>
            <w:vAlign w:val="bottom"/>
          </w:tcPr>
          <w:p>
            <w:pPr>
              <w:ind w:left="1300"/>
              <w:spacing w:after="0"/>
              <w:rPr>
                <w:sz w:val="20"/>
                <w:szCs w:val="20"/>
                <w:color w:val="auto"/>
              </w:rPr>
            </w:pPr>
            <w:r>
              <w:rPr>
                <w:rFonts w:ascii="Arial" w:cs="Arial" w:eastAsia="Arial" w:hAnsi="Arial"/>
                <w:sz w:val="18"/>
                <w:szCs w:val="18"/>
                <w:color w:val="auto"/>
              </w:rPr>
              <w:t>Japan</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Alaxala Networks Corporation</w:t>
            </w:r>
          </w:p>
        </w:tc>
        <w:tc>
          <w:tcPr>
            <w:tcW w:w="6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Japan</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Volon Cyber Security Private Limited</w:t>
            </w:r>
          </w:p>
        </w:tc>
        <w:tc>
          <w:tcPr>
            <w:tcW w:w="6220" w:type="dxa"/>
            <w:vAlign w:val="bottom"/>
          </w:tcPr>
          <w:p>
            <w:pPr>
              <w:ind w:left="130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0260"/>
          </w:cols>
          <w:pgMar w:left="820" w:top="1030" w:right="8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consent to the incorporation by reference in the Registration Statements Nos. 333-229894, 333-223246, 333-216362, 333-209783, 333-205958, 333-202402, 333-194281, 333-186921, 333-179751, 333-175985, 333-172459 and 333-163367 on Form S-8 and Registration Statement No. 333-253341 on Form S-3 of our reports dated February 25, 2022, relating to the financial statements of Fortinet, Inc. and the effectiveness of the Fortinet, Inc.’s internal control over financial reporting, appearing in the Annual Report on Form 10-K of the Company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9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2021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Date:  February 25, 2022</w:t>
            </w:r>
          </w:p>
        </w:tc>
        <w:tc>
          <w:tcPr>
            <w:tcW w:w="2700" w:type="dxa"/>
            <w:vAlign w:val="bottom"/>
          </w:tcPr>
          <w:p>
            <w:pPr>
              <w:ind w:left="20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920" w:type="dxa"/>
            <w:vAlign w:val="bottom"/>
          </w:tcPr>
          <w:p>
            <w:pPr>
              <w:spacing w:after="0"/>
              <w:rPr>
                <w:sz w:val="15"/>
                <w:szCs w:val="15"/>
                <w:color w:val="auto"/>
              </w:rPr>
            </w:pPr>
          </w:p>
        </w:tc>
        <w:tc>
          <w:tcPr>
            <w:tcW w:w="270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Annual Report on Form 10-K of Fortinet, Inc. for the fiscal year ended December 31, 2021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Date:  February 25, 2022</w:t>
            </w:r>
          </w:p>
        </w:tc>
        <w:tc>
          <w:tcPr>
            <w:tcW w:w="2700" w:type="dxa"/>
            <w:vAlign w:val="bottom"/>
          </w:tcPr>
          <w:p>
            <w:pPr>
              <w:ind w:left="20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920" w:type="dxa"/>
            <w:vAlign w:val="bottom"/>
          </w:tcPr>
          <w:p>
            <w:pPr>
              <w:spacing w:after="0"/>
              <w:rPr>
                <w:sz w:val="15"/>
                <w:szCs w:val="15"/>
                <w:color w:val="auto"/>
              </w:rPr>
            </w:pPr>
          </w:p>
        </w:tc>
        <w:tc>
          <w:tcPr>
            <w:tcW w:w="270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lvl w:ilvl="1">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2"/>
    </w:lvl>
  </w:abstractNum>
  <w:abstractNum w:abstractNumId="46">
    <w:nsid w:val="354FE9F9"/>
    <w:multiLevelType w:val="hybridMultilevel"/>
    <w:lvl w:ilvl="0">
      <w:lvlJc w:val="left"/>
      <w:lvlText w:val="%1."/>
      <w:numFmt w:val="decimal"/>
      <w:start w:val="3"/>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6"/>
    </w:lvl>
  </w:abstractNum>
  <w:abstractNum w:abstractNumId="49">
    <w:nsid w:val="D34B6A8"/>
    <w:multiLevelType w:val="hybridMultilevel"/>
    <w:lvl w:ilvl="0">
      <w:lvlJc w:val="left"/>
      <w:lvlText w:val="%1."/>
      <w:numFmt w:val="decimal"/>
      <w:start w:val="7"/>
    </w:lvl>
  </w:abstractNum>
  <w:abstractNum w:abstractNumId="50">
    <w:nsid w:val="10233C99"/>
    <w:multiLevelType w:val="hybridMultilevel"/>
    <w:lvl w:ilvl="0">
      <w:lvlJc w:val="left"/>
      <w:lvlText w:val="%1."/>
      <w:numFmt w:val="decimal"/>
      <w:start w:val="8"/>
    </w:lvl>
  </w:abstractNum>
  <w:abstractNum w:abstractNumId="51">
    <w:nsid w:val="3F6AB60F"/>
    <w:multiLevelType w:val="hybridMultilevel"/>
    <w:lvl w:ilvl="0">
      <w:lvlJc w:val="left"/>
      <w:lvlText w:val="%1."/>
      <w:numFmt w:val="decimal"/>
      <w:start w:val="9"/>
    </w:lvl>
  </w:abstractNum>
  <w:abstractNum w:abstractNumId="52">
    <w:nsid w:val="61574095"/>
    <w:multiLevelType w:val="hybridMultilevel"/>
    <w:lvl w:ilvl="0">
      <w:lvlJc w:val="left"/>
      <w:lvlText w:val="%1."/>
      <w:numFmt w:val="decimal"/>
      <w:start w:val="10"/>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1"/>
    </w:lvl>
  </w:abstractNum>
  <w:abstractNum w:abstractNumId="55">
    <w:nsid w:val="579BE4F1"/>
    <w:multiLevelType w:val="hybridMultilevel"/>
    <w:lvl w:ilvl="0">
      <w:lvlJc w:val="left"/>
      <w:lvlText w:val="%1."/>
      <w:numFmt w:val="decimal"/>
      <w:start w:val="12"/>
    </w:lvl>
  </w:abstractNum>
  <w:abstractNum w:abstractNumId="56">
    <w:nsid w:val="310C50B3"/>
    <w:multiLevelType w:val="hybridMultilevel"/>
    <w:lvl w:ilvl="0">
      <w:lvlJc w:val="left"/>
      <w:lvlText w:val="%1."/>
      <w:numFmt w:val="decimal"/>
      <w:start w:val="13"/>
    </w:lvl>
  </w:abstractNum>
  <w:abstractNum w:abstractNumId="57">
    <w:nsid w:val="5FF87E05"/>
    <w:multiLevelType w:val="hybridMultilevel"/>
    <w:lvl w:ilvl="0">
      <w:lvlJc w:val="left"/>
      <w:lvlText w:val="%1."/>
      <w:numFmt w:val="decimal"/>
      <w:start w:val="14"/>
    </w:lvl>
  </w:abstractNum>
  <w:abstractNum w:abstractNumId="58">
    <w:nsid w:val="2F305DEF"/>
    <w:multiLevelType w:val="hybridMultilevel"/>
    <w:lvl w:ilvl="0">
      <w:lvlJc w:val="left"/>
      <w:lvlText w:val="%1."/>
      <w:numFmt w:val="decimal"/>
      <w:start w:val="15"/>
    </w:lvl>
  </w:abstractNum>
  <w:abstractNum w:abstractNumId="59">
    <w:nsid w:val="25A70BF7"/>
    <w:multiLevelType w:val="hybridMultilevel"/>
    <w:lvl w:ilvl="0">
      <w:lvlJc w:val="left"/>
      <w:lvlText w:val="%1."/>
      <w:numFmt w:val="decimal"/>
      <w:start w:val="16"/>
    </w:lvl>
  </w:abstractNum>
  <w:abstractNum w:abstractNumId="60">
    <w:nsid w:val="1DBABF00"/>
    <w:multiLevelType w:val="hybridMultilevel"/>
    <w:lvl w:ilvl="0">
      <w:lvlJc w:val="left"/>
      <w:lvlText w:val="%1."/>
      <w:numFmt w:val="decimal"/>
      <w:start w:val="17"/>
    </w:lvl>
  </w:abstractNum>
  <w:abstractNum w:abstractNumId="61">
    <w:nsid w:val="4AD084E9"/>
    <w:multiLevelType w:val="hybridMultilevel"/>
    <w:lvl w:ilvl="0">
      <w:lvlJc w:val="left"/>
      <w:lvlText w:val="%1."/>
      <w:numFmt w:val="decimal"/>
      <w:start w:val="18"/>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34" Type="http://schemas.openxmlformats.org/officeDocument/2006/relationships/hyperlink" Target="http://www.sec.gov/Archives/edgar/data/1262039/000126203918000023/exhibit31-amendedandrestat.htm" TargetMode="External"/><Relationship Id="rId135" Type="http://schemas.openxmlformats.org/officeDocument/2006/relationships/hyperlink" Target="https://www.sec.gov/Archives/edgar/data/1262039/000110465921056360/tm2114350d1_ex3-1.htm" TargetMode="External"/><Relationship Id="rId136" Type="http://schemas.openxmlformats.org/officeDocument/2006/relationships/hyperlink" Target="http://www.sec.gov/Archives/edgar/data/1262039/000119312509220527/dex41.htm" TargetMode="External"/><Relationship Id="rId137" Type="http://schemas.openxmlformats.org/officeDocument/2006/relationships/hyperlink" Target="http://www.sec.gov/Archives/edgar/data/1262039/000119312509169817/dex101.htm" TargetMode="External"/><Relationship Id="rId138" Type="http://schemas.openxmlformats.org/officeDocument/2006/relationships/hyperlink" Target="http://www.sec.gov/Archives/edgar/data/1262039/000126203919000023/ftnt-ex101amendedandre.htm" TargetMode="External"/><Relationship Id="rId139" Type="http://schemas.openxmlformats.org/officeDocument/2006/relationships/hyperlink" Target="http://www.sec.gov/Archives/edgar/data/1262039/000126203912000013/ftnt-ex105_20111231xk.htm" TargetMode="External"/><Relationship Id="rId140" Type="http://schemas.openxmlformats.org/officeDocument/2006/relationships/hyperlink" Target="http://www.sec.gov/Archives/edgar/data/1262039/000126203913000044/fortinet_20130630x10-qex991.htm" TargetMode="External"/><Relationship Id="rId141" Type="http://schemas.openxmlformats.org/officeDocument/2006/relationships/hyperlink" Target="http://www.sec.gov/Archives/edgar/data/1262039/000126203915000009/ftnt-ex107_20141231xk.htm" TargetMode="External"/><Relationship Id="rId142" Type="http://schemas.openxmlformats.org/officeDocument/2006/relationships/hyperlink" Target="https://www.sec.gov/Archives/edgar/data/1262039/000126203920000011/ftnt-ex10620191231xk.htm" TargetMode="External"/><Relationship Id="rId143" Type="http://schemas.openxmlformats.org/officeDocument/2006/relationships/hyperlink" Target="https://www.sec.gov/Archives/edgar/data/1262039/000126203920000011/ftnt-ex10720191231xk.htm" TargetMode="External"/><Relationship Id="rId144" Type="http://schemas.openxmlformats.org/officeDocument/2006/relationships/hyperlink" Target="https://www.sec.gov/Archives/edgar/data/1262039/000126203921000008/ftnt-ex108_20201231xk.htm" TargetMode="External"/><Relationship Id="rId145" Type="http://schemas.openxmlformats.org/officeDocument/2006/relationships/hyperlink" Target="http://www.sec.gov/Archives/edgar/data/1262039/000126203913000055/fortinet_20130930x10-qex101.htm" TargetMode="External"/><Relationship Id="rId146" Type="http://schemas.openxmlformats.org/officeDocument/2006/relationships/hyperlink" Target="http://www.sec.gov/Archives/edgar/data/1262039/000126203915000024/ftnt-ex101_20150630xqxcoca.htm" TargetMode="External"/><Relationship Id="rId147" Type="http://schemas.openxmlformats.org/officeDocument/2006/relationships/hyperlink" Target="http://www.sec.gov/Archives/edgar/data/1262039/000126203919000023/ftnt-ex102changeofctrl.htm" TargetMode="External"/><Relationship Id="rId148" Type="http://schemas.openxmlformats.org/officeDocument/2006/relationships/hyperlink" Target="http://www.sec.gov/Archives/edgar/data/1262039/000126203919000023/ftnt-ex103changeofctrl.htm" TargetMode="External"/><Relationship Id="rId149" Type="http://schemas.openxmlformats.org/officeDocument/2006/relationships/hyperlink" Target="http://www.sec.gov/Archives/edgar/data/1262039/000126203919000023/ftnt-ex104changeofctrl.htm" TargetMode="External"/><Relationship Id="rId150" Type="http://schemas.openxmlformats.org/officeDocument/2006/relationships/hyperlink" Target="http://www.sec.gov/Archives/edgar/data/1262039/000119312509169817/dex1010.htm" TargetMode="External"/><Relationship Id="rId151" Type="http://schemas.openxmlformats.org/officeDocument/2006/relationships/hyperlink" Target="http://www.sec.gov/Archives/edgar/data/1262039/000126203918000009/ftnt-ex1022_20171231xk.htm" TargetMode="External"/><Relationship Id="rId152" Type="http://schemas.openxmlformats.org/officeDocument/2006/relationships/hyperlink" Target="http://www.sec.gov/Archives/edgar/data/1262039/000126203919000023/ftnt-ex105changeofct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2022-02-25T15:35:22Z</dcterms:created>
  <dcterms:modified xsi:type="dcterms:W3CDTF">2022-02-25T15:35:22Z</dcterms:modified>
</cp:coreProperties>
</file>