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00" w:right="1860" w:hanging="3865"/>
        <w:spacing w:after="0" w:line="46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p>
      <w:pPr>
        <w:ind w:left="388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-7620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20"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29" w:right="259" w:bottom="1440" w:gutter="0" w:footer="0" w:header="0"/>
        </w:sectPr>
      </w:pPr>
    </w:p>
    <w:p>
      <w:pPr>
        <w:spacing w:after="0" w:line="127" w:lineRule="exact"/>
        <w:rPr>
          <w:sz w:val="24"/>
          <w:szCs w:val="24"/>
          <w:color w:val="auto"/>
        </w:rPr>
      </w:pPr>
    </w:p>
    <w:p>
      <w:pPr>
        <w:ind w:left="40"/>
        <w:spacing w:after="0"/>
        <w:tabs>
          <w:tab w:leader="none" w:pos="27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p>
    <w:p>
      <w:pPr>
        <w:spacing w:after="0" w:line="117" w:lineRule="exact"/>
        <w:rPr>
          <w:sz w:val="24"/>
          <w:szCs w:val="24"/>
          <w:color w:val="auto"/>
        </w:rPr>
      </w:pPr>
    </w:p>
    <w:p>
      <w:pPr>
        <w:ind w:left="306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ind w:left="40"/>
        <w:spacing w:after="0"/>
        <w:tabs>
          <w:tab w:leader="none" w:pos="2700" w:val="left"/>
          <w:tab w:leader="none" w:pos="3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Arial" w:cs="Arial" w:eastAsia="Arial" w:hAnsi="Arial"/>
          <w:sz w:val="14"/>
          <w:szCs w:val="14"/>
          <w:color w:val="auto"/>
        </w:rPr>
        <w:t>o</w:t>
      </w:r>
    </w:p>
    <w:p>
      <w:pPr>
        <w:spacing w:after="0" w:line="63" w:lineRule="exact"/>
        <w:rPr>
          <w:sz w:val="24"/>
          <w:szCs w:val="24"/>
          <w:color w:val="auto"/>
        </w:rPr>
      </w:pPr>
    </w:p>
    <w:p>
      <w:pPr>
        <w:spacing w:after="0"/>
        <w:tabs>
          <w:tab w:leader="none" w:pos="2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198" w:lineRule="exact"/>
        <w:rPr>
          <w:sz w:val="24"/>
          <w:szCs w:val="24"/>
          <w:color w:val="auto"/>
        </w:rPr>
      </w:pPr>
    </w:p>
    <w:p>
      <w:pPr>
        <w:sectPr>
          <w:pgSz w:w="11900" w:h="16838" w:orient="portrait"/>
          <w:cols w:equalWidth="0" w:num="2">
            <w:col w:w="7500" w:space="720"/>
            <w:col w:w="3180"/>
          </w:cols>
          <w:pgMar w:left="240" w:top="229" w:right="259" w:bottom="1440" w:gutter="0" w:footer="0" w:header="0"/>
          <w:type w:val="continuous"/>
        </w:sectPr>
      </w:pPr>
    </w:p>
    <w:p>
      <w:pPr>
        <w:ind w:right="60"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00"/>
          </w:cols>
          <w:pgMar w:left="240" w:top="229" w:right="25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80" w:right="1279"/>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Act). Yes o No x As of April 30, 2018, there were 168,097,115 shares of the registrant’s common stock outstanding.</w:t>
      </w:r>
    </w:p>
    <w:p>
      <w:pPr>
        <w:sectPr>
          <w:pgSz w:w="11900" w:h="16838" w:orient="portrait"/>
          <w:cols w:equalWidth="0" w:num="1">
            <w:col w:w="10219"/>
          </w:cols>
          <w:pgMar w:left="240" w:top="121"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2018</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2018 and December 31, 2017</w:t>
              </w:r>
            </w:hyperlink>
          </w:p>
        </w:tc>
        <w:tc>
          <w:tcPr>
            <w:tcW w:w="350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6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Months Ended March 31, 2018 and 2017</w:t>
              </w:r>
            </w:hyperlink>
          </w:p>
        </w:tc>
        <w:tc>
          <w:tcPr>
            <w:tcW w:w="214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Months Ended March 31, 2018 and 2017</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7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2018 and 2017</w:t>
              </w:r>
            </w:hyperlink>
          </w:p>
        </w:tc>
        <w:tc>
          <w:tcPr>
            <w:tcW w:w="86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4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4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Exhibits</w:t>
              </w:r>
            </w:hyperlink>
          </w:p>
        </w:tc>
        <w:tc>
          <w:tcPr>
            <w:tcW w:w="3740" w:type="dxa"/>
            <w:vAlign w:val="bottom"/>
            <w:gridSpan w:val="9"/>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4"/>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Exhibit Index</w:t>
              </w:r>
            </w:hyperlink>
          </w:p>
        </w:tc>
        <w:tc>
          <w:tcPr>
            <w:tcW w:w="880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72">
              <w:r>
                <w:rPr>
                  <w:rFonts w:ascii="Arial" w:cs="Arial" w:eastAsia="Arial" w:hAnsi="Arial"/>
                  <w:sz w:val="18"/>
                  <w:szCs w:val="18"/>
                  <w:color w:val="0000EE"/>
                  <w:w w:val="85"/>
                </w:rPr>
                <w:t>Signatures</w:t>
              </w:r>
            </w:hyperlink>
          </w:p>
        </w:tc>
        <w:tc>
          <w:tcPr>
            <w:tcW w:w="220" w:type="dxa"/>
            <w:vAlign w:val="bottom"/>
            <w:gridSpan w:val="2"/>
          </w:tcPr>
          <w:p>
            <w:pPr>
              <w:spacing w:after="0"/>
              <w:rPr>
                <w:sz w:val="21"/>
                <w:szCs w:val="21"/>
                <w:color w:val="auto"/>
              </w:rPr>
            </w:pPr>
          </w:p>
        </w:tc>
        <w:tc>
          <w:tcPr>
            <w:tcW w:w="880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440.3</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1,716.8</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245.4</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2,400.7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2,257.9</w:t>
            </w:r>
          </w:p>
        </w:tc>
      </w:tr>
      <w:tr>
        <w:trPr>
          <w:trHeight w:val="176"/>
        </w:trPr>
        <w:tc>
          <w:tcPr>
            <w:tcW w:w="820" w:type="dxa"/>
            <w:vAlign w:val="bottom"/>
            <w:shd w:val="clear" w:color="auto" w:fill="CCEEFF"/>
          </w:tcPr>
          <w:p>
            <w:pPr>
              <w:spacing w:after="0"/>
              <w:rPr>
                <w:sz w:val="15"/>
                <w:szCs w:val="15"/>
                <w:color w:val="auto"/>
              </w:rPr>
            </w:pPr>
          </w:p>
        </w:tc>
        <w:tc>
          <w:tcPr>
            <w:tcW w:w="7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payroll and compensation</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92.0</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793.8</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1,027.2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542.5</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1,668.5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9)</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gridSpan w:val="2"/>
          </w:tcPr>
          <w:p>
            <w:pPr>
              <w:ind w:left="500"/>
              <w:spacing w:after="0"/>
              <w:rPr>
                <w:sz w:val="20"/>
                <w:szCs w:val="20"/>
                <w:color w:val="auto"/>
              </w:rPr>
            </w:pPr>
            <w:r>
              <w:rPr>
                <w:rFonts w:ascii="Arial" w:cs="Arial" w:eastAsia="Arial" w:hAnsi="Arial"/>
                <w:sz w:val="18"/>
                <w:szCs w:val="18"/>
                <w:color w:val="auto"/>
                <w:w w:val="89"/>
              </w:rPr>
              <w:t>Common stock, $0.001 par value—300 shares authorized; 168.0 and 167.9 shares issued and outstanding at</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March 31, 2018 and December 31, 2017, respectively</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909.6</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589.4</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2,257.9</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322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113"/>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280" w:type="dxa"/>
            <w:vAlign w:val="bottom"/>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142.8</w:t>
            </w:r>
          </w:p>
        </w:tc>
        <w:tc>
          <w:tcPr>
            <w:tcW w:w="120" w:type="dxa"/>
            <w:vAlign w:val="bottom"/>
          </w:tcPr>
          <w:p>
            <w:pPr>
              <w:spacing w:after="0"/>
              <w:rPr>
                <w:sz w:val="21"/>
                <w:szCs w:val="21"/>
                <w:color w:val="auto"/>
              </w:rPr>
            </w:pPr>
          </w:p>
        </w:tc>
        <w:tc>
          <w:tcPr>
            <w:tcW w:w="1280" w:type="dxa"/>
            <w:vAlign w:val="bottom"/>
          </w:tcPr>
          <w:p>
            <w:pPr>
              <w:jc w:val="right"/>
              <w:ind w:right="107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256.2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205.3</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399.0</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340.6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217.2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301.8</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250.0</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170.4</w:t>
            </w:r>
          </w:p>
        </w:tc>
        <w:tc>
          <w:tcPr>
            <w:tcW w:w="0" w:type="dxa"/>
            <w:vAlign w:val="bottom"/>
          </w:tcPr>
          <w:p>
            <w:pPr>
              <w:spacing w:after="0"/>
              <w:rPr>
                <w:sz w:val="1"/>
                <w:szCs w:val="1"/>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1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6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269.4</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244.6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8):</w:t>
            </w:r>
          </w:p>
        </w:tc>
        <w:tc>
          <w:tcPr>
            <w:tcW w:w="1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6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280" w:type="dxa"/>
            <w:vAlign w:val="bottom"/>
            <w:tcBorders>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51"/>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2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167.7</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174.5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171.8</w:t>
            </w:r>
          </w:p>
        </w:tc>
        <w:tc>
          <w:tcPr>
            <w:tcW w:w="12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178.3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losses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Tax provision related to change in unrealized losses on investments</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0.1</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2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84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4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33.3</w:t>
            </w:r>
          </w:p>
        </w:tc>
      </w:tr>
      <w:tr>
        <w:trPr>
          <w:trHeight w:val="276"/>
        </w:trPr>
        <w:tc>
          <w:tcPr>
            <w:tcW w:w="84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13.5</w:t>
            </w:r>
          </w:p>
        </w:tc>
      </w:tr>
      <w:tr>
        <w:trPr>
          <w:trHeight w:val="276"/>
        </w:trPr>
        <w:tc>
          <w:tcPr>
            <w:tcW w:w="84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8480" w:type="dxa"/>
            <w:vAlign w:val="bottom"/>
          </w:tcPr>
          <w:p>
            <w:pPr>
              <w:ind w:left="920"/>
              <w:spacing w:after="0"/>
              <w:rPr>
                <w:sz w:val="20"/>
                <w:szCs w:val="20"/>
                <w:color w:val="auto"/>
              </w:rPr>
            </w:pPr>
            <w:r>
              <w:rPr>
                <w:rFonts w:ascii="Arial" w:cs="Arial" w:eastAsia="Arial" w:hAnsi="Arial"/>
                <w:sz w:val="14"/>
                <w:szCs w:val="14"/>
                <w:color w:val="auto"/>
              </w:rPr>
              <w:t>Amortization of investment premiums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84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42.4</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76"/>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84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61.8</w:t>
            </w:r>
          </w:p>
        </w:tc>
      </w:tr>
      <w:tr>
        <w:trPr>
          <w:trHeight w:val="270"/>
        </w:trPr>
        <w:tc>
          <w:tcPr>
            <w:tcW w:w="84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r>
      <w:tr>
        <w:trPr>
          <w:trHeight w:val="250"/>
        </w:trPr>
        <w:tc>
          <w:tcPr>
            <w:tcW w:w="84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129.7</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(133.0)</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109.2</w:t>
            </w:r>
          </w:p>
        </w:tc>
      </w:tr>
      <w:tr>
        <w:trPr>
          <w:trHeight w:val="270"/>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250"/>
        </w:trPr>
        <w:tc>
          <w:tcPr>
            <w:tcW w:w="84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8480" w:type="dxa"/>
            <w:vAlign w:val="bottom"/>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64"/>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50"/>
        </w:trPr>
        <w:tc>
          <w:tcPr>
            <w:tcW w:w="84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w:t>
            </w:r>
          </w:p>
        </w:tc>
      </w:tr>
      <w:tr>
        <w:trPr>
          <w:trHeight w:val="250"/>
        </w:trPr>
        <w:tc>
          <w:tcPr>
            <w:tcW w:w="84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114.2</w:t>
            </w:r>
          </w:p>
        </w:tc>
      </w:tr>
      <w:tr>
        <w:trPr>
          <w:trHeight w:val="270"/>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811.0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709.0</w:t>
            </w:r>
          </w:p>
        </w:tc>
      </w:tr>
      <w:tr>
        <w:trPr>
          <w:trHeight w:val="283"/>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835.6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823.2</w:t>
            </w:r>
          </w:p>
        </w:tc>
      </w:tr>
      <w:tr>
        <w:trPr>
          <w:trHeight w:val="251"/>
        </w:trPr>
        <w:tc>
          <w:tcPr>
            <w:tcW w:w="8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97"/>
        </w:trPr>
        <w:tc>
          <w:tcPr>
            <w:tcW w:w="84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r>
      <w:tr>
        <w:trPr>
          <w:trHeight w:val="210"/>
        </w:trPr>
        <w:tc>
          <w:tcPr>
            <w:tcW w:w="8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121" w:right="3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2017, contained in our Annual Report on Form 10-K filed with the SEC on February 26, 2018.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2018 are not necessarily indicative of the results for the full year or for any future periods. The condensed consolidated balance sheet as of December 31, 2017 is derived from the audited consolidated financial statements for the year ended December 31, 2017.</w:t>
      </w:r>
    </w:p>
    <w:p>
      <w:pPr>
        <w:spacing w:after="0" w:line="19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2018, except for the accounting policies for revenue recognition, trade receivables and deferred contract costs that were updated as a result of adopting Accounting Standards Update 2014-09, Revenue from Contracts with Customers (Topic 606) (“ASU 2014-09”). For more information, refer to the “Recently Adopted Accounting Standards” and Note 2.</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the FASB issued ASU 2016-01—Financial Instruments—Overall: Recognition and Measurement of Financial Assets and Financial Liabilities, which requires most equity investments to be measured at fair value, with subsequent changes in fair value recognized in net income. A practicality exception applies to those equity investments that do not have a readily determinable fair value. These investments may be measured at cost, adjusted for changes in observable prices minus impairment. ASU 2016-01 was effective prospectively for us beginning on January 1, 2018 for our equity investments, which were previously accounted for under the cost-method. We adopted ASU 2016-01 on January 1, 2018. There was no material impact on our condensed consolidated financial statements as of the adoption date.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In May 2014, the FASB issued ASU 2014-09—Revenue from Contracts with Customers (Topic 606), which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in exchange for those goods or services. We adopted ASU 2014-09 and its related amendments (collectively known as Topic 606) as of January 1, 2018 using the modified retrospective transition method. The comparative information has not been restated and continues to be reported under the accounting standards in effect for those periods.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1" w:right="2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recorded a net reduction to our accumulated deficit as of January 1, 2018 of $117.3 million due to the cumulative impact of adopting Topic 606. The primary impact of adopting Topic 606 relates to the deferral of our incremental contract costs, which are comprised of sales commissions. Prior to January 1, 2018, we expensed all sales commissions upfront. Beginning on January 1, 2018, we continue to expense sales commissions related to product sales upfront, but will capitalize and then amortize certain sales commissions on service contracts over the applicable amortization period. The capitalized sales commissions for initial service contracts are deferred and then amortized as expense on a straight-line basis over the period of benefit which we have determined to be five years. Sales commissions for renewal contracts are deferred and then amortized on a straight line basis over the contractual period of the underlying contracts. The deferral of sales commissions generated deferred tax liability of $23.8 million, of which $18.0 million was recorded against deferred tax assets and the remaining $5.8 million was recorded in other long-term liabilities on our consolidated balance sheet. The impact on deferred revenue as of January 1, 2018 was $4.1 million, which primarily relates to certain changes in revenue recognition on software license sales and the acceleration of revenue from U.S.-based channel partners which were previously deferred until the product was sold through. Beginning on January 1, 2018, our sales returns reserve is now included on the balance sheet in accrued liabilities and no longer as a reduction to our accounts receivable. See Note 2 for further details.</w:t>
      </w:r>
    </w:p>
    <w:p>
      <w:pPr>
        <w:spacing w:after="0" w:line="18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cumulative effects of the changes made to our January 1, 2018 consolidated balance sheet for the adoption of Topic 606 were as follows (in millions):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8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 due to</w:t>
            </w:r>
          </w:p>
        </w:tc>
        <w:tc>
          <w:tcPr>
            <w:tcW w:w="34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January 1,</w:t>
            </w:r>
          </w:p>
        </w:tc>
      </w:tr>
      <w:tr>
        <w:trPr>
          <w:trHeight w:val="234"/>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2017</w:t>
            </w:r>
          </w:p>
        </w:tc>
        <w:tc>
          <w:tcPr>
            <w:tcW w:w="30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Topic 606</w:t>
            </w:r>
          </w:p>
        </w:tc>
        <w:tc>
          <w:tcPr>
            <w:tcW w:w="340" w:type="dxa"/>
            <w:vAlign w:val="bottom"/>
          </w:tcPr>
          <w:p>
            <w:pPr>
              <w:spacing w:after="0"/>
              <w:rPr>
                <w:sz w:val="20"/>
                <w:szCs w:val="20"/>
                <w:color w:val="auto"/>
              </w:rPr>
            </w:pPr>
          </w:p>
        </w:tc>
        <w:tc>
          <w:tcPr>
            <w:tcW w:w="16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348.2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361.8</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128.9</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contract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r>
      <w:tr>
        <w:trPr>
          <w:trHeight w:val="297"/>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 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794.1</w:t>
            </w: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Deferred revenue, 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538.1</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 non-current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97"/>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(202.3)</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February 2016, the FASB issued ASU 2016-02—Leases, which requires the recognition of right-of-use assets and lease liabilities on the consolidated balance sheet for substantially all leases. ASU 2016-02 includes a number of optional practical expedients that entities may elect to apply. ASU 2016-02 will also require significant additional disclosures about the amount, timing and uncertainty of cash flows from leases. ASU 2016-02 will be effective for us beginning on January 1, 2019, using a modified retrospective approach. Based on our current lease portfolio, we currently estimate the value of leased assets and liabilities that may be recognized on the consolidated balance sheet to be at least $45.0 million. We are continuing to evaluate the impact of ASU 2016-02 and our estimate is subject to change. We do not believe that ASU 2016-02 will have a material impact on our consolidated statements of operations and cash flows. We expect to expand our disclosures in the notes to consolidated financial statements to include more details on our leases, significant judgments and lease-related amounts recognized in the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under Topic 605. The details of significant changes and quantitative impact of the changes are discussed below.</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We derive the majority of our revenue from sales of our products, FortiGuard security subscription and FortiCare technical support services, and other services. Beginning in 2018, revenues are recognized when control of these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52" w:lineRule="exact"/>
        <w:rPr>
          <w:sz w:val="20"/>
          <w:szCs w:val="20"/>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revenue primarily consists of sales of hardware and software licenses of our FortiGate, FortiSandbox, FortiManager, FortiAnalyzer and other complimentary products. We derive a substantial majority of product sales from our FortiGate products. We previously recognized product revenue for sales to distributors that had no general right of return and direct sales to end-customers upon shipment, based on general revenue recognition accounting guidance once all other revenue recognition criteria were met. Certain distributors are granted stock rotation rights, limited rights of return or rebates for sales of our products. The arrangement fee for this group of distributors was not fixed or determinable when products were shipped and revenue was therefore deferred and recognized upon sell-through. For sales that included end-customer acceptance criteria, revenue was recognized upon acceptance. Under Topic 606, we recognize product revenue upon shipment when control of the promised goods is transferred to the customer. We recognize revenue from time-based software licenses upon electronic transfer of the license key to the customer. Previously time-based software licenses were recognized over the license term.</w:t>
      </w:r>
    </w:p>
    <w:p>
      <w:pPr>
        <w:spacing w:after="0" w:line="166" w:lineRule="exact"/>
        <w:rPr>
          <w:sz w:val="20"/>
          <w:szCs w:val="20"/>
          <w:color w:val="auto"/>
        </w:rPr>
      </w:pPr>
    </w:p>
    <w:p>
      <w:pPr>
        <w:jc w:val="both"/>
        <w:ind w:right="520" w:firstLine="648"/>
        <w:spacing w:after="0" w:line="312" w:lineRule="auto"/>
        <w:rPr>
          <w:sz w:val="20"/>
          <w:szCs w:val="20"/>
          <w:color w:val="auto"/>
        </w:rPr>
      </w:pPr>
      <w:r>
        <w:rPr>
          <w:rFonts w:ascii="Arial" w:cs="Arial" w:eastAsia="Arial" w:hAnsi="Arial"/>
          <w:sz w:val="16"/>
          <w:szCs w:val="16"/>
          <w:color w:val="auto"/>
        </w:rPr>
        <w:t>We generally provide a 1-year warranty on hardware products and a 90-day warranty on software that provides assurance that our hardware or software products conform to published specifications. Such assurance-type warranties are not deemed to be separate performance obligations from the hardware or software product and costs associated with providing the warranties are accrued in accordance with ASC 460-10.</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Service revenue relates to sales of our FortiGuard security subscription, FortiCare technical support services, and other services. Our FortiGuard security subscription services provide access to our antivirus, intrusion prevention, web filtering and anti-spam functionality. Our FortiCare support services include rights to unspecified software upgrades, maintenance releases and patches, telephone and internet access to technical support personnel. Our typical subscription and contractual support term is one to three years, and to a lesser extent, five years. Our revenue recognition for service arrangements did not change under Topic 606. We continue to recognize revenue from these arrangements ratably over the contractual service period because of continuous transfer of control to the customer. Revenue related to subsequent renewals of these services are recognized over the term of the renewal agreement. We also generate a small portion of our revenue from other services consisting of professional services, training and software-as-a-service (“SaaS”) which is either hosted or cloud-based services. We recognize revenue from professional and training services as the services are provided. We recognize revenue from SaaS as the subscription service is delivered over the term, which is typically one year, or on a monthly usage basis. Our revenue recognition for other services did not change under Topic 606. To date, SaaS revenue has not represented a significant percentage of our total revenue.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Our sales arrangements typically contain multiple performance obligations, such as hardware, software license, security subscription, technical support services and other services, which are generally capable of being distinct and accounted for as separate performance obligations. We allocate the transaction price to each performance obligation based on relative standalone selling price. We determine standalone selling price based on the historical pricing and discounting practices for those services when sold separately. We determine standalone selling price for a product or service by considering multiple historical factors including, but not limited to, cost of products, gross margin objectives, pricing practices, geographies and the term of the service contract that fall within a reasonably range as a percentage of list price. Revenue is reported net of sales taxes.</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Under Topic 605, our products and services in a multiple-element arrangement generally qualified as separate units of accounting. We allocated revenue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the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6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at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sales return reserve was $12.9 million as of March 31, 2018 and is included in current liabilities in our condensed consolidated balance sheet. Under Topic 605, a sales return reserve of $13.6 million was presented as a reduction to accounts receivable as of December 31, 2017.</w:t>
      </w:r>
    </w:p>
    <w:p>
      <w:pPr>
        <w:spacing w:after="0" w:line="19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generally invoice at the time of our sale for the total price of the products and security and technical support and other services, and the invoice is payable within 30 to 90 days. We also invoice certain software licenses and services on a monthly basis. Amounts billed and due from our customers are classified as receivables on the balance sheet and do not bear interest. We record deferred revenue when cash payments are received or due in advance of our performance.</w:t>
      </w:r>
    </w:p>
    <w:p>
      <w:pPr>
        <w:spacing w:after="0" w:line="187" w:lineRule="exact"/>
        <w:rPr>
          <w:sz w:val="20"/>
          <w:szCs w:val="20"/>
          <w:color w:val="auto"/>
        </w:rPr>
      </w:pPr>
    </w:p>
    <w:p>
      <w:pPr>
        <w:jc w:val="both"/>
        <w:ind w:right="280" w:firstLine="648"/>
        <w:spacing w:after="0" w:line="277" w:lineRule="auto"/>
        <w:rPr>
          <w:sz w:val="20"/>
          <w:szCs w:val="20"/>
          <w:color w:val="auto"/>
        </w:rPr>
      </w:pPr>
      <w:r>
        <w:rPr>
          <w:rFonts w:ascii="Arial" w:cs="Arial" w:eastAsia="Arial" w:hAnsi="Arial"/>
          <w:sz w:val="18"/>
          <w:szCs w:val="18"/>
          <w:color w:val="auto"/>
        </w:rPr>
        <w:t>During the three months ended March 31, 2018, we recognized $239.1 million in revenue that was included in the deferred revenue balance as of December 31, 2017.</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Shipping and handling fees charged to our customers are recognized as product revenue in the period shipped and the related costs for providing these services are recorded as a cost of sale. Shipping and handling fees recognized as product revenue were not significant during the three months ended March 31,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3180" w:type="dxa"/>
            <w:vAlign w:val="bottom"/>
            <w:gridSpan w:val="4"/>
          </w:tcPr>
          <w:p>
            <w:pPr>
              <w:jc w:val="right"/>
              <w:ind w:right="494"/>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r>
      <w:tr>
        <w:trPr>
          <w:trHeight w:val="33"/>
        </w:trPr>
        <w:tc>
          <w:tcPr>
            <w:tcW w:w="75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9"/>
        </w:trPr>
        <w:tc>
          <w:tcPr>
            <w:tcW w:w="7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20" w:type="dxa"/>
            <w:vAlign w:val="bottom"/>
          </w:tcPr>
          <w:p>
            <w:pPr>
              <w:spacing w:after="0"/>
              <w:rPr>
                <w:sz w:val="18"/>
                <w:szCs w:val="18"/>
                <w:color w:val="auto"/>
              </w:rPr>
            </w:pPr>
          </w:p>
        </w:tc>
      </w:tr>
      <w:tr>
        <w:trPr>
          <w:trHeight w:val="243"/>
        </w:trPr>
        <w:tc>
          <w:tcPr>
            <w:tcW w:w="75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(1)</w:t>
            </w:r>
          </w:p>
        </w:tc>
        <w:tc>
          <w:tcPr>
            <w:tcW w:w="520" w:type="dxa"/>
            <w:vAlign w:val="bottom"/>
            <w:tcBorders>
              <w:bottom w:val="single" w:sz="8" w:color="auto"/>
            </w:tcBorders>
          </w:tcPr>
          <w:p>
            <w:pPr>
              <w:spacing w:after="0"/>
              <w:rPr>
                <w:sz w:val="21"/>
                <w:szCs w:val="21"/>
                <w:color w:val="auto"/>
              </w:rPr>
            </w:pPr>
          </w:p>
        </w:tc>
      </w:tr>
      <w:tr>
        <w:trPr>
          <w:trHeight w:val="244"/>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260" w:type="dxa"/>
            <w:vAlign w:val="bottom"/>
            <w:tcBorders>
              <w:bottom w:val="single" w:sz="8" w:color="CCEEFF"/>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135.3</w:t>
            </w:r>
          </w:p>
        </w:tc>
      </w:tr>
      <w:tr>
        <w:trPr>
          <w:trHeight w:val="243"/>
        </w:trPr>
        <w:tc>
          <w:tcPr>
            <w:tcW w:w="7500" w:type="dxa"/>
            <w:vAlign w:val="bottom"/>
          </w:tcPr>
          <w:p>
            <w:pPr>
              <w:ind w:left="20"/>
              <w:spacing w:after="0"/>
              <w:rPr>
                <w:sz w:val="20"/>
                <w:szCs w:val="20"/>
                <w:color w:val="auto"/>
              </w:rPr>
            </w:pPr>
            <w:r>
              <w:rPr>
                <w:rFonts w:ascii="Arial" w:cs="Arial" w:eastAsia="Arial" w:hAnsi="Arial"/>
                <w:sz w:val="18"/>
                <w:szCs w:val="18"/>
                <w:color w:val="auto"/>
              </w:rPr>
              <w:t>Service:</w:t>
            </w:r>
          </w:p>
        </w:tc>
        <w:tc>
          <w:tcPr>
            <w:tcW w:w="1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7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subscription</w:t>
            </w: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113.5</w:t>
            </w:r>
          </w:p>
        </w:tc>
      </w:tr>
      <w:tr>
        <w:trPr>
          <w:trHeight w:val="243"/>
        </w:trPr>
        <w:tc>
          <w:tcPr>
            <w:tcW w:w="7500" w:type="dxa"/>
            <w:vAlign w:val="bottom"/>
          </w:tcPr>
          <w:p>
            <w:pPr>
              <w:ind w:left="140"/>
              <w:spacing w:after="0"/>
              <w:rPr>
                <w:sz w:val="20"/>
                <w:szCs w:val="20"/>
                <w:color w:val="auto"/>
              </w:rPr>
            </w:pPr>
            <w:r>
              <w:rPr>
                <w:rFonts w:ascii="Arial" w:cs="Arial" w:eastAsia="Arial" w:hAnsi="Arial"/>
                <w:sz w:val="18"/>
                <w:szCs w:val="18"/>
                <w:color w:val="auto"/>
              </w:rPr>
              <w:t>Technical support</w:t>
            </w:r>
          </w:p>
        </w:tc>
        <w:tc>
          <w:tcPr>
            <w:tcW w:w="1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109.6</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81.1</w:t>
            </w:r>
          </w:p>
        </w:tc>
      </w:tr>
      <w:tr>
        <w:trPr>
          <w:trHeight w:val="27"/>
        </w:trPr>
        <w:tc>
          <w:tcPr>
            <w:tcW w:w="7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Professional services and training</w:t>
            </w:r>
          </w:p>
        </w:tc>
        <w:tc>
          <w:tcPr>
            <w:tcW w:w="1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37"/>
        </w:trPr>
        <w:tc>
          <w:tcPr>
            <w:tcW w:w="7500" w:type="dxa"/>
            <w:vAlign w:val="bottom"/>
          </w:tcPr>
          <w:p>
            <w:pPr>
              <w:ind w:left="280"/>
              <w:spacing w:after="0"/>
              <w:rPr>
                <w:sz w:val="20"/>
                <w:szCs w:val="20"/>
                <w:color w:val="auto"/>
              </w:rPr>
            </w:pPr>
            <w:r>
              <w:rPr>
                <w:rFonts w:ascii="Arial" w:cs="Arial" w:eastAsia="Arial" w:hAnsi="Arial"/>
                <w:sz w:val="18"/>
                <w:szCs w:val="18"/>
                <w:color w:val="auto"/>
              </w:rPr>
              <w:t>Total service revenue</w:t>
            </w: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256.2</w:t>
            </w: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205.3</w:t>
            </w:r>
          </w:p>
        </w:tc>
      </w:tr>
      <w:tr>
        <w:trPr>
          <w:trHeight w:val="27"/>
        </w:trPr>
        <w:tc>
          <w:tcPr>
            <w:tcW w:w="75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6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399.0</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340.6</w:t>
            </w:r>
          </w:p>
        </w:tc>
      </w:tr>
    </w:tbl>
    <w:p>
      <w:pPr>
        <w:ind w:left="320" w:hanging="184"/>
        <w:spacing w:after="0" w:line="230" w:lineRule="auto"/>
        <w:tabs>
          <w:tab w:leader="none" w:pos="32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As noted above, prior period amounts have not been adjusted under the modified retrospective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-144780</wp:posOffset>
            </wp:positionV>
            <wp:extent cx="2349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3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2018, we had $1.40 billion in remaining performance obligations, which is substantially comprised of deferred security subscription and technical support services not yet delivered. We expect to recognize revenue on approximately 75% of these remaining performance obligations over the next one to two years, with the remaining balance to be recognized in three to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Trade accounts receivable are recorded at the invoiced amount. Trade accounts receivable is reduced by allowance for doubtful accounts which is determined based on our assessment of the collectability of customer accounts. The allowance for doubtful accounts was $0.7 million and $0.9 million as of March 31, 2018 and December 31, 2017, respectively. As of December 31, 2017, accounts receivable was also reduced by sales return reserve of $13.6 million which we reclassified to accrued liabilities account as of January 1, 2018 in accordance with the adoption of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We did not have contract assets as of March 31, 2018 and January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Sales commissions for the sale of products are recognized at the time of sale. Sales commissions for initial service contracts are deferred and then amortized as an expense on a straight-line basis over the period of benefit which we have determined to be five years. We determined the period of benefit taking into consideration our customer contracts, our technology and other factors. Sales commissions for renewal contracts are deferred and then amortized on a straight line basis over the contractual period of the underlying contracts which ranges from one to three years and, to a lesser extent, five years. The amortization of deferred commissions is included in sales and marketing expense in our condensed consolidated statement of operations. Amortization of deferred contract costs during the three months ended March 31, 2018 was $20.8 million. No impairment loss was recognized during the three months ended March 31,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elected to use the contract modification practical expedient. This practical expedient allows for all contract modifications before January 1, 2018 to be aggregated and evaluated at adoption date.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Condensed Consolidated Financial Statements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following tables summarize the impact of adopting Topic 606 on our condensed consolidated financial statements as of and for the three months ended March 31, 2018 (in millions). These tables do not represent the full condensed consolidated financial statements as they only reflect the accounts impacted by the adoption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Balance Sheet</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As of March 31, 2018</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39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Deferred contract costs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148.7</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97"/>
        </w:trPr>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15.0</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 current</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580.2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 non-current</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97"/>
        </w:trPr>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130.0</w:t>
            </w:r>
          </w:p>
        </w:tc>
      </w:tr>
      <w:tr>
        <w:trPr>
          <w:trHeight w:val="702"/>
        </w:trPr>
        <w:tc>
          <w:tcPr>
            <w:tcW w:w="398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Statement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60" w:type="dxa"/>
            <w:vAlign w:val="bottom"/>
            <w:gridSpan w:val="10"/>
          </w:tcPr>
          <w:p>
            <w:pPr>
              <w:jc w:val="center"/>
              <w:ind w:right="380"/>
              <w:spacing w:after="0"/>
              <w:rPr>
                <w:sz w:val="20"/>
                <w:szCs w:val="20"/>
                <w:color w:val="auto"/>
              </w:rPr>
            </w:pPr>
            <w:r>
              <w:rPr>
                <w:rFonts w:ascii="Arial" w:cs="Arial" w:eastAsia="Arial" w:hAnsi="Arial"/>
                <w:sz w:val="16"/>
                <w:szCs w:val="16"/>
                <w:b w:val="1"/>
                <w:bCs w:val="1"/>
                <w:color w:val="auto"/>
                <w:w w:val="94"/>
              </w:rPr>
              <w:t>Three Months Ended March 31, 2018</w:t>
            </w:r>
          </w:p>
        </w:tc>
      </w:tr>
      <w:tr>
        <w:trPr>
          <w:trHeight w:val="33"/>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120" w:type="dxa"/>
            <w:vAlign w:val="bottom"/>
          </w:tcPr>
          <w:p>
            <w:pPr>
              <w:spacing w:after="0"/>
              <w:rPr>
                <w:sz w:val="18"/>
                <w:szCs w:val="18"/>
                <w:color w:val="auto"/>
              </w:rPr>
            </w:pPr>
          </w:p>
        </w:tc>
        <w:tc>
          <w:tcPr>
            <w:tcW w:w="166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1"/>
              </w:rPr>
              <w:t>Increase (Decrease)</w:t>
            </w:r>
          </w:p>
        </w:tc>
      </w:tr>
      <w:tr>
        <w:trPr>
          <w:trHeight w:val="33"/>
        </w:trPr>
        <w:tc>
          <w:tcPr>
            <w:tcW w:w="120" w:type="dxa"/>
            <w:vAlign w:val="bottom"/>
            <w:tcBorders>
              <w:bottom w:val="single" w:sz="8" w:color="CCEEFF"/>
            </w:tcBorders>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Product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5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r>
      <w:tr>
        <w:trPr>
          <w:trHeight w:val="237"/>
        </w:trPr>
        <w:tc>
          <w:tcPr>
            <w:tcW w:w="120" w:type="dxa"/>
            <w:vAlign w:val="bottom"/>
          </w:tcPr>
          <w:p>
            <w:pPr>
              <w:spacing w:after="0"/>
              <w:rPr>
                <w:sz w:val="20"/>
                <w:szCs w:val="20"/>
                <w:color w:val="auto"/>
              </w:rPr>
            </w:pPr>
          </w:p>
        </w:tc>
        <w:tc>
          <w:tcPr>
            <w:tcW w:w="5840" w:type="dxa"/>
            <w:vAlign w:val="bottom"/>
          </w:tcPr>
          <w:p>
            <w:pPr>
              <w:ind w:left="8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40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380"/>
              <w:spacing w:after="0"/>
              <w:rPr>
                <w:sz w:val="20"/>
                <w:szCs w:val="20"/>
                <w:color w:val="auto"/>
              </w:rPr>
            </w:pPr>
            <w:r>
              <w:rPr>
                <w:rFonts w:ascii="Arial" w:cs="Arial" w:eastAsia="Arial" w:hAnsi="Arial"/>
                <w:sz w:val="18"/>
                <w:szCs w:val="18"/>
                <w:color w:val="auto"/>
              </w:rPr>
              <w:t>Product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r>
      <w:tr>
        <w:trPr>
          <w:trHeight w:val="237"/>
        </w:trPr>
        <w:tc>
          <w:tcPr>
            <w:tcW w:w="120" w:type="dxa"/>
            <w:vAlign w:val="bottom"/>
          </w:tcPr>
          <w:p>
            <w:pPr>
              <w:spacing w:after="0"/>
              <w:rPr>
                <w:sz w:val="20"/>
                <w:szCs w:val="20"/>
                <w:color w:val="auto"/>
              </w:rPr>
            </w:pPr>
          </w:p>
        </w:tc>
        <w:tc>
          <w:tcPr>
            <w:tcW w:w="5840" w:type="dxa"/>
            <w:vAlign w:val="bottom"/>
          </w:tcPr>
          <w:p>
            <w:pPr>
              <w:ind w:left="800"/>
              <w:spacing w:after="0"/>
              <w:rPr>
                <w:sz w:val="20"/>
                <w:szCs w:val="20"/>
                <w:color w:val="auto"/>
              </w:rPr>
            </w:pPr>
            <w:r>
              <w:rPr>
                <w:rFonts w:ascii="Arial" w:cs="Arial" w:eastAsia="Arial" w:hAnsi="Arial"/>
                <w:sz w:val="18"/>
                <w:szCs w:val="18"/>
                <w:color w:val="auto"/>
              </w:rPr>
              <w:t>Total gross profit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38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12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97"/>
        </w:trPr>
        <w:tc>
          <w:tcPr>
            <w:tcW w:w="120" w:type="dxa"/>
            <w:vAlign w:val="bottom"/>
            <w:shd w:val="clear" w:color="auto" w:fill="CCEEFF"/>
          </w:tcPr>
          <w:p>
            <w:pPr>
              <w:spacing w:after="0"/>
              <w:rPr>
                <w:sz w:val="24"/>
                <w:szCs w:val="24"/>
                <w:color w:val="auto"/>
              </w:rPr>
            </w:pPr>
          </w:p>
        </w:tc>
        <w:tc>
          <w:tcPr>
            <w:tcW w:w="5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r>
      <w:tr>
        <w:trPr>
          <w:trHeight w:val="297"/>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r>
      <w:tr>
        <w:trPr>
          <w:trHeight w:val="23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Condensed Consolidated Statement of Cash Flows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60" w:type="dxa"/>
            <w:vAlign w:val="bottom"/>
            <w:gridSpan w:val="10"/>
          </w:tcPr>
          <w:p>
            <w:pPr>
              <w:jc w:val="center"/>
              <w:ind w:right="180"/>
              <w:spacing w:after="0"/>
              <w:rPr>
                <w:sz w:val="20"/>
                <w:szCs w:val="20"/>
                <w:color w:val="auto"/>
              </w:rPr>
            </w:pPr>
            <w:r>
              <w:rPr>
                <w:rFonts w:ascii="Arial" w:cs="Arial" w:eastAsia="Arial" w:hAnsi="Arial"/>
                <w:sz w:val="16"/>
                <w:szCs w:val="16"/>
                <w:b w:val="1"/>
                <w:bCs w:val="1"/>
                <w:color w:val="auto"/>
                <w:w w:val="94"/>
              </w:rPr>
              <w:t>Three Months Ended March 31, 2018</w:t>
            </w:r>
          </w:p>
        </w:tc>
      </w:tr>
      <w:tr>
        <w:trPr>
          <w:trHeight w:val="33"/>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9"/>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1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1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120" w:type="dxa"/>
            <w:vAlign w:val="bottom"/>
          </w:tcPr>
          <w:p>
            <w:pPr>
              <w:spacing w:after="0"/>
              <w:rPr>
                <w:sz w:val="2"/>
                <w:szCs w:val="2"/>
                <w:color w:val="auto"/>
              </w:rPr>
            </w:pPr>
          </w:p>
        </w:tc>
        <w:tc>
          <w:tcPr>
            <w:tcW w:w="5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44"/>
        </w:trPr>
        <w:tc>
          <w:tcPr>
            <w:tcW w:w="1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120" w:type="dxa"/>
            <w:vAlign w:val="bottom"/>
          </w:tcPr>
          <w:p>
            <w:pPr>
              <w:spacing w:after="0"/>
              <w:rPr>
                <w:sz w:val="19"/>
                <w:szCs w:val="19"/>
                <w:color w:val="auto"/>
              </w:rPr>
            </w:pPr>
          </w:p>
        </w:tc>
        <w:tc>
          <w:tcPr>
            <w:tcW w:w="58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Adjustments to reconcile net income to net cash provided by operating</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7"/>
        </w:trPr>
        <w:tc>
          <w:tcPr>
            <w:tcW w:w="120" w:type="dxa"/>
            <w:vAlign w:val="bottom"/>
          </w:tcPr>
          <w:p>
            <w:pPr>
              <w:spacing w:after="0"/>
              <w:rPr>
                <w:sz w:val="20"/>
                <w:szCs w:val="20"/>
                <w:color w:val="auto"/>
              </w:rPr>
            </w:pPr>
          </w:p>
        </w:tc>
        <w:tc>
          <w:tcPr>
            <w:tcW w:w="5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900"/>
              <w:spacing w:after="0"/>
              <w:rPr>
                <w:sz w:val="20"/>
                <w:szCs w:val="20"/>
                <w:color w:val="auto"/>
              </w:rPr>
            </w:pPr>
            <w:r>
              <w:rPr>
                <w:rFonts w:ascii="Arial" w:cs="Arial" w:eastAsia="Arial" w:hAnsi="Arial"/>
                <w:sz w:val="18"/>
                <w:szCs w:val="18"/>
                <w:color w:val="auto"/>
              </w:rPr>
              <w:t>Amortization of deferred contract costs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 non-cash</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43"/>
        </w:trPr>
        <w:tc>
          <w:tcPr>
            <w:tcW w:w="120" w:type="dxa"/>
            <w:vAlign w:val="bottom"/>
          </w:tcPr>
          <w:p>
            <w:pPr>
              <w:spacing w:after="0"/>
              <w:rPr>
                <w:sz w:val="21"/>
                <w:szCs w:val="21"/>
                <w:color w:val="auto"/>
              </w:rPr>
            </w:pPr>
          </w:p>
        </w:tc>
        <w:tc>
          <w:tcPr>
            <w:tcW w:w="5840" w:type="dxa"/>
            <w:vAlign w:val="bottom"/>
          </w:tcPr>
          <w:p>
            <w:pPr>
              <w:ind w:left="9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Inventory</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1440"/>
              <w:spacing w:after="0"/>
              <w:rPr>
                <w:sz w:val="20"/>
                <w:szCs w:val="20"/>
                <w:color w:val="auto"/>
              </w:rPr>
            </w:pPr>
            <w:r>
              <w:rPr>
                <w:rFonts w:ascii="Arial" w:cs="Arial" w:eastAsia="Arial" w:hAnsi="Arial"/>
                <w:sz w:val="18"/>
                <w:szCs w:val="18"/>
                <w:color w:val="auto"/>
              </w:rPr>
              <w:t>Deferred contract costs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Deferred tax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840" w:type="dxa"/>
            <w:vAlign w:val="bottom"/>
          </w:tcPr>
          <w:p>
            <w:pPr>
              <w:ind w:left="14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58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43"/>
        </w:trPr>
        <w:tc>
          <w:tcPr>
            <w:tcW w:w="120" w:type="dxa"/>
            <w:vAlign w:val="bottom"/>
          </w:tcPr>
          <w:p>
            <w:pPr>
              <w:spacing w:after="0"/>
              <w:rPr>
                <w:sz w:val="21"/>
                <w:szCs w:val="21"/>
                <w:color w:val="auto"/>
              </w:rPr>
            </w:pPr>
          </w:p>
        </w:tc>
        <w:tc>
          <w:tcPr>
            <w:tcW w:w="5840" w:type="dxa"/>
            <w:vAlign w:val="bottom"/>
          </w:tcPr>
          <w:p>
            <w:pPr>
              <w:ind w:left="18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20"/>
          </w:cols>
          <w:pgMar w:left="24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740"/>
              <w:spacing w:after="0"/>
              <w:rPr>
                <w:sz w:val="20"/>
                <w:szCs w:val="20"/>
                <w:color w:val="auto"/>
              </w:rPr>
            </w:pPr>
            <w:r>
              <w:rPr>
                <w:rFonts w:ascii="Arial" w:cs="Arial" w:eastAsia="Arial" w:hAnsi="Arial"/>
                <w:sz w:val="16"/>
                <w:szCs w:val="16"/>
                <w:b w:val="1"/>
                <w:bCs w:val="1"/>
                <w:color w:val="auto"/>
              </w:rPr>
              <w:t>March 31, 2018</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370.3</w:t>
            </w:r>
          </w:p>
        </w:tc>
      </w:tr>
      <w:tr>
        <w:trPr>
          <w:trHeight w:val="270"/>
        </w:trPr>
        <w:tc>
          <w:tcPr>
            <w:tcW w:w="516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86.1</w:t>
            </w: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553.3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550.8</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ind w:left="500"/>
        <w:spacing w:after="0"/>
        <w:rPr>
          <w:sz w:val="20"/>
          <w:szCs w:val="20"/>
          <w:color w:val="auto"/>
        </w:rPr>
      </w:pPr>
      <w:r>
        <w:rPr>
          <w:rFonts w:ascii="Arial" w:cs="Arial" w:eastAsia="Arial" w:hAnsi="Arial"/>
          <w:sz w:val="18"/>
          <w:szCs w:val="18"/>
          <w:color w:val="auto"/>
        </w:rPr>
        <w:t>(1) The majority of our certificates of deposit and term deposits are foreign deposits.</w:t>
      </w:r>
    </w:p>
    <w:p>
      <w:pPr>
        <w:spacing w:after="0" w:line="23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4"/>
              </w:rPr>
              <w:t>March 31, 2018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400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1380" w:type="dxa"/>
            <w:vAlign w:val="bottom"/>
          </w:tcPr>
          <w:p>
            <w:pPr>
              <w:jc w:val="right"/>
              <w:ind w:right="154"/>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2017</w:t>
            </w:r>
          </w:p>
        </w:tc>
      </w:tr>
      <w:tr>
        <w:trPr>
          <w:trHeight w:val="33"/>
        </w:trPr>
        <w:tc>
          <w:tcPr>
            <w:tcW w:w="7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1380" w:type="dxa"/>
            <w:vAlign w:val="bottom"/>
            <w:tcBorders>
              <w:bottom w:val="single" w:sz="8" w:color="CCEEFF"/>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468.3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138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98.0</w:t>
            </w:r>
          </w:p>
        </w:tc>
      </w:tr>
      <w:tr>
        <w:trPr>
          <w:trHeight w:val="27"/>
        </w:trPr>
        <w:tc>
          <w:tcPr>
            <w:tcW w:w="75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550.8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538.3</w:t>
            </w:r>
          </w:p>
        </w:tc>
      </w:tr>
      <w:tr>
        <w:trPr>
          <w:trHeight w:val="20"/>
        </w:trPr>
        <w:tc>
          <w:tcPr>
            <w:tcW w:w="7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losses on available-for-sale securities were insignificant in the periods presented and are included in other income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March 31, 2018.</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March 31, 2018 and December 31, 2017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400"/>
              <w:spacing w:after="0"/>
              <w:rPr>
                <w:sz w:val="20"/>
                <w:szCs w:val="20"/>
                <w:color w:val="auto"/>
              </w:rPr>
            </w:pPr>
            <w:r>
              <w:rPr>
                <w:rFonts w:ascii="Arial" w:cs="Arial" w:eastAsia="Arial" w:hAnsi="Arial"/>
                <w:sz w:val="16"/>
                <w:szCs w:val="16"/>
                <w:b w:val="1"/>
                <w:bCs w:val="1"/>
                <w:color w:val="auto"/>
              </w:rPr>
              <w:t>March 31, 2018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371.5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411.1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w w:val="94"/>
              </w:rPr>
              <w:t>Certificates of deposit and term</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80" w:type="dxa"/>
            <w:vAlign w:val="bottom"/>
          </w:tcPr>
          <w:p>
            <w:pPr>
              <w:ind w:left="500"/>
              <w:spacing w:after="0"/>
              <w:rPr>
                <w:sz w:val="20"/>
                <w:szCs w:val="20"/>
                <w:color w:val="auto"/>
              </w:rPr>
            </w:pPr>
            <w:r>
              <w:rPr>
                <w:rFonts w:ascii="Arial" w:cs="Arial" w:eastAsia="Arial" w:hAnsi="Arial"/>
                <w:sz w:val="18"/>
                <w:szCs w:val="18"/>
                <w:color w:val="auto"/>
              </w:rPr>
              <w:t>U.S. government and agency</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739.7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128.0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611.7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896.1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675.6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Reported as: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21"/>
                <w:szCs w:val="21"/>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468.3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880" w:type="dxa"/>
            <w:vAlign w:val="bottom"/>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739.7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2018 and year ended December 31, 2017.</w:t>
      </w:r>
    </w:p>
    <w:p>
      <w:pPr>
        <w:spacing w:after="0" w:line="1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00" w:type="dxa"/>
            <w:vAlign w:val="bottom"/>
          </w:tcPr>
          <w:p>
            <w:pPr>
              <w:jc w:val="right"/>
              <w:ind w:right="14"/>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400" w:type="dxa"/>
            <w:vAlign w:val="bottom"/>
          </w:tcPr>
          <w:p>
            <w:pPr>
              <w:jc w:val="right"/>
              <w:ind w:right="174"/>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64.3</w:t>
            </w:r>
          </w:p>
        </w:tc>
      </w:tr>
      <w:tr>
        <w:trPr>
          <w:trHeight w:val="27"/>
        </w:trPr>
        <w:tc>
          <w:tcPr>
            <w:tcW w:w="74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00" w:type="dxa"/>
            <w:vAlign w:val="bottom"/>
            <w:tcBorders>
              <w:bottom w:val="single" w:sz="8" w:color="auto"/>
            </w:tcBorders>
            <w:shd w:val="clear" w:color="auto" w:fill="CCEEFF"/>
          </w:tcPr>
          <w:p>
            <w:pPr>
              <w:jc w:val="right"/>
              <w:ind w:right="119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77.3</w:t>
            </w:r>
          </w:p>
        </w:tc>
      </w:tr>
      <w:tr>
        <w:trPr>
          <w:trHeight w:val="20"/>
        </w:trPr>
        <w:tc>
          <w:tcPr>
            <w:tcW w:w="7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Inventory includes materials at contract manufacturers of $2.0 million and $2.6 million as of March 31, 2018 and December 31,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Inventory also includes finished goods held by distributors where revenue is recognized on a sell-through basis of $0.1 million as of December 31, 2017.</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340.6</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34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245.4</w:t>
            </w:r>
          </w:p>
        </w:tc>
      </w:tr>
      <w:tr>
        <w:trPr>
          <w:trHeight w:val="20"/>
        </w:trPr>
        <w:tc>
          <w:tcPr>
            <w:tcW w:w="7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Depreciation expense was $11.4 million and $11.2 million during the three months ended March 31, 2018 and March 31, 2017, respectively.</w:t>
      </w:r>
    </w:p>
    <w:p>
      <w:pPr>
        <w:spacing w:after="0" w:line="22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investments in the equity securities of privately held companies totaled $12.1 million as of March 31, 2018 and December 31, 2017. These investments, which were previously accounted for at cost, are now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 As of March 31, 2018, no events have occurred that would adversely affect the carrying value of these investments.</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March 31, 2018, we determined that we had a variable interest in these privately held companies. However, we determined that we were not the primary beneficiary as we did not have the power to direct their activities that most significantly affect their economic performance. The VIEs are not required to be consolidated in our condensed consolidated financial statements.</w:t>
      </w:r>
    </w:p>
    <w:p>
      <w:pPr>
        <w:spacing w:after="0" w:line="17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March 31, 2018, we had goodwill of $14.6 million. There were no impairments to goodwill during the three months ended March 31, 2018 or during prior periods.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March 31, 2018 and December 31, 2017 (in millions, except years):</w:t>
      </w:r>
    </w:p>
    <w:p>
      <w:pPr>
        <w:spacing w:after="0" w:line="200" w:lineRule="exact"/>
        <w:rPr>
          <w:sz w:val="20"/>
          <w:szCs w:val="20"/>
          <w:color w:val="auto"/>
        </w:rPr>
      </w:pPr>
    </w:p>
    <w:p>
      <w:pPr>
        <w:spacing w:after="0" w:line="201"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The in-process research and development intangible asset of $1.6 million was completed in the first quarter of 2018. Upon completion, the cost was transferred to developed technology and is amortized over the estimated useful life of four years.</w:t>
      </w:r>
    </w:p>
    <w:p>
      <w:pPr>
        <w:spacing w:after="0" w:line="11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Amortization expense was $1.8 million and $2.3 million, during the three months ended March 31, 2018 and March 31, 2017, respectively. The following table summarizes estimated future amortization expense of finite-lived intangible assets—net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70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5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2018</w:t>
            </w:r>
          </w:p>
        </w:tc>
        <w:tc>
          <w:tcPr>
            <w:tcW w:w="5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54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2020</w:t>
            </w:r>
          </w:p>
        </w:tc>
        <w:tc>
          <w:tcPr>
            <w:tcW w:w="5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 and thereafter</w:t>
            </w:r>
          </w:p>
        </w:tc>
        <w:tc>
          <w:tcPr>
            <w:tcW w:w="54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Total</w:t>
            </w:r>
          </w:p>
        </w:tc>
        <w:tc>
          <w:tcPr>
            <w:tcW w:w="544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40" w:type="dxa"/>
            <w:vAlign w:val="bottom"/>
            <w:vMerge w:val="restart"/>
          </w:tcPr>
          <w:p>
            <w:pPr>
              <w:jc w:val="right"/>
              <w:ind w:right="3250"/>
              <w:spacing w:after="0"/>
              <w:rPr>
                <w:sz w:val="20"/>
                <w:szCs w:val="20"/>
                <w:color w:val="auto"/>
              </w:rPr>
            </w:pPr>
            <w:r>
              <w:rPr>
                <w:rFonts w:ascii="Arial" w:cs="Arial" w:eastAsia="Arial" w:hAnsi="Arial"/>
                <w:sz w:val="18"/>
                <w:szCs w:val="18"/>
                <w:color w:val="auto"/>
              </w:rPr>
              <w:t>16</w:t>
            </w: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RSUs, stock options and the ESPP. Dilutive shares of common stock are determined by applying the treasury stock method.</w:t>
      </w:r>
    </w:p>
    <w:p>
      <w:pPr>
        <w:spacing w:after="0" w:line="14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06"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37465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6" w:lineRule="exact"/>
        <w:rPr>
          <w:sz w:val="20"/>
          <w:szCs w:val="20"/>
          <w:color w:val="auto"/>
        </w:rPr>
      </w:pPr>
    </w:p>
    <w:p>
      <w:pPr>
        <w:ind w:left="8880"/>
        <w:spacing w:after="0"/>
        <w:tabs>
          <w:tab w:leader="none" w:pos="10340" w:val="left"/>
        </w:tabs>
        <w:rPr>
          <w:sz w:val="20"/>
          <w:szCs w:val="20"/>
          <w:color w:val="auto"/>
        </w:rPr>
      </w:pPr>
      <w:r>
        <w:rPr>
          <w:rFonts w:ascii="Arial" w:cs="Arial" w:eastAsia="Arial" w:hAnsi="Arial"/>
          <w:sz w:val="16"/>
          <w:szCs w:val="16"/>
          <w:b w:val="1"/>
          <w:bCs w:val="1"/>
          <w:color w:val="auto"/>
        </w:rPr>
        <w:t>March 31,</w:t>
      </w:r>
      <w:r>
        <w:rPr>
          <w:sz w:val="20"/>
          <w:szCs w:val="20"/>
          <w:color w:val="auto"/>
        </w:rPr>
        <w:tab/>
      </w:r>
      <w:r>
        <w:rPr>
          <w:rFonts w:ascii="Arial" w:cs="Arial" w:eastAsia="Arial" w:hAnsi="Arial"/>
          <w:sz w:val="15"/>
          <w:szCs w:val="15"/>
          <w:b w:val="1"/>
          <w:bCs w:val="1"/>
          <w:color w:val="auto"/>
        </w:rPr>
        <w:t>March 31,</w:t>
      </w:r>
    </w:p>
    <w:p>
      <w:pPr>
        <w:spacing w:after="0" w:line="26" w:lineRule="exact"/>
        <w:rPr>
          <w:sz w:val="20"/>
          <w:szCs w:val="20"/>
          <w:color w:val="auto"/>
        </w:rPr>
      </w:pPr>
    </w:p>
    <w:p>
      <w:pPr>
        <w:ind w:left="9100"/>
        <w:spacing w:after="0"/>
        <w:tabs>
          <w:tab w:leader="none" w:pos="10560" w:val="left"/>
        </w:tabs>
        <w:rPr>
          <w:sz w:val="20"/>
          <w:szCs w:val="20"/>
          <w:color w:val="auto"/>
        </w:rPr>
      </w:pPr>
      <w:r>
        <w:rPr>
          <w:rFonts w:ascii="Arial" w:cs="Arial" w:eastAsia="Arial" w:hAnsi="Arial"/>
          <w:sz w:val="16"/>
          <w:szCs w:val="16"/>
          <w:b w:val="1"/>
          <w:bCs w:val="1"/>
          <w:color w:val="auto"/>
        </w:rPr>
        <w:t>2018</w:t>
      </w:r>
      <w:r>
        <w:rPr>
          <w:sz w:val="20"/>
          <w:szCs w:val="20"/>
          <w:color w:val="auto"/>
        </w:rPr>
        <w:tab/>
      </w: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shares: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shares: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900" w:val="left"/>
          <w:tab w:leader="none" w:pos="146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41.6</w:t>
        <w:tab/>
        <w:t>$</w:t>
      </w:r>
      <w:r>
        <w:rPr>
          <w:sz w:val="20"/>
          <w:szCs w:val="20"/>
          <w:color w:val="auto"/>
        </w:rPr>
        <w:tab/>
      </w: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100"/>
        <w:spacing w:after="0"/>
        <w:tabs>
          <w:tab w:leader="none" w:pos="400" w:val="left"/>
        </w:tabs>
        <w:rPr>
          <w:sz w:val="20"/>
          <w:szCs w:val="20"/>
          <w:color w:val="auto"/>
        </w:rPr>
      </w:pPr>
      <w:r>
        <w:rPr>
          <w:rFonts w:ascii="Arial" w:cs="Arial" w:eastAsia="Arial" w:hAnsi="Arial"/>
          <w:sz w:val="18"/>
          <w:szCs w:val="18"/>
          <w:color w:val="auto"/>
        </w:rPr>
        <w:t>167.7</w:t>
      </w:r>
      <w:r>
        <w:rPr>
          <w:sz w:val="20"/>
          <w:szCs w:val="20"/>
          <w:color w:val="auto"/>
        </w:rPr>
        <w:tab/>
      </w:r>
      <w:r>
        <w:rPr>
          <w:rFonts w:ascii="Arial" w:cs="Arial" w:eastAsia="Arial" w:hAnsi="Arial"/>
          <w:sz w:val="16"/>
          <w:szCs w:val="16"/>
          <w:color w:val="auto"/>
        </w:rPr>
        <w:t>174.5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4" w:lineRule="exact"/>
        <w:rPr>
          <w:sz w:val="20"/>
          <w:szCs w:val="20"/>
          <w:color w:val="auto"/>
        </w:rPr>
      </w:pPr>
    </w:p>
    <w:p>
      <w:pPr>
        <w:jc w:val="right"/>
        <w:ind w:right="100"/>
        <w:spacing w:after="0"/>
        <w:tabs>
          <w:tab w:leader="none" w:pos="400" w:val="left"/>
        </w:tabs>
        <w:rPr>
          <w:sz w:val="20"/>
          <w:szCs w:val="20"/>
          <w:color w:val="auto"/>
        </w:rPr>
      </w:pPr>
      <w:r>
        <w:rPr>
          <w:rFonts w:ascii="Arial" w:cs="Arial" w:eastAsia="Arial" w:hAnsi="Arial"/>
          <w:sz w:val="18"/>
          <w:szCs w:val="18"/>
          <w:color w:val="auto"/>
        </w:rPr>
        <w:t>167.7</w:t>
      </w:r>
      <w:r>
        <w:rPr>
          <w:sz w:val="20"/>
          <w:szCs w:val="20"/>
          <w:color w:val="auto"/>
        </w:rPr>
        <w:tab/>
      </w:r>
      <w:r>
        <w:rPr>
          <w:rFonts w:ascii="Arial" w:cs="Arial" w:eastAsia="Arial" w:hAnsi="Arial"/>
          <w:sz w:val="16"/>
          <w:szCs w:val="16"/>
          <w:color w:val="auto"/>
        </w:rPr>
        <w:t>174.5</w:t>
      </w:r>
    </w:p>
    <w:p>
      <w:pPr>
        <w:spacing w:after="0" w:line="333" w:lineRule="exact"/>
        <w:rPr>
          <w:sz w:val="20"/>
          <w:szCs w:val="20"/>
          <w:color w:val="auto"/>
        </w:rPr>
      </w:pPr>
    </w:p>
    <w:p>
      <w:pPr>
        <w:sectPr>
          <w:pgSz w:w="11900" w:h="16838" w:orient="portrait"/>
          <w:cols w:equalWidth="0" w:num="2">
            <w:col w:w="7880" w:space="720"/>
            <w:col w:w="28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920"/>
              <w:spacing w:after="0"/>
              <w:rPr>
                <w:sz w:val="20"/>
                <w:szCs w:val="20"/>
                <w:color w:val="auto"/>
              </w:rPr>
            </w:pPr>
            <w:r>
              <w:rPr>
                <w:rFonts w:ascii="Arial" w:cs="Arial" w:eastAsia="Arial" w:hAnsi="Arial"/>
                <w:sz w:val="18"/>
                <w:szCs w:val="18"/>
                <w:color w:val="auto"/>
              </w:rPr>
              <w:t>RSUs</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8580" w:type="dxa"/>
            <w:vAlign w:val="bottom"/>
          </w:tcPr>
          <w:p>
            <w:pPr>
              <w:ind w:left="920"/>
              <w:spacing w:after="0"/>
              <w:rPr>
                <w:sz w:val="20"/>
                <w:szCs w:val="20"/>
                <w:color w:val="auto"/>
              </w:rPr>
            </w:pPr>
            <w:r>
              <w:rPr>
                <w:rFonts w:ascii="Arial" w:cs="Arial" w:eastAsia="Arial" w:hAnsi="Arial"/>
                <w:sz w:val="18"/>
                <w:szCs w:val="18"/>
                <w:color w:val="auto"/>
              </w:rPr>
              <w:t>ESPP</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500"/>
              <w:spacing w:after="0"/>
              <w:rPr>
                <w:sz w:val="20"/>
                <w:szCs w:val="20"/>
                <w:color w:val="auto"/>
              </w:rPr>
            </w:pPr>
            <w:r>
              <w:rPr>
                <w:rFonts w:ascii="Arial" w:cs="Arial" w:eastAsia="Arial" w:hAnsi="Arial"/>
                <w:sz w:val="18"/>
                <w:szCs w:val="18"/>
                <w:color w:val="auto"/>
              </w:rPr>
              <w:t>Diluted</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06" w:lineRule="exact"/>
        <w:rPr>
          <w:sz w:val="20"/>
          <w:szCs w:val="20"/>
          <w:color w:val="auto"/>
        </w:rPr>
      </w:pPr>
    </w:p>
    <w:p>
      <w:pPr>
        <w:ind w:left="92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37465</wp:posOffset>
            </wp:positionV>
            <wp:extent cx="17926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28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6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31,</w:t>
            </w:r>
          </w:p>
        </w:tc>
        <w:tc>
          <w:tcPr>
            <w:tcW w:w="1360" w:type="dxa"/>
            <w:vAlign w:val="bottom"/>
          </w:tcPr>
          <w:p>
            <w:pPr>
              <w:jc w:val="right"/>
              <w:ind w:right="253"/>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6580" w:type="dxa"/>
            <w:vAlign w:val="bottom"/>
            <w:gridSpan w:val="2"/>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28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65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6580" w:type="dxa"/>
            <w:vAlign w:val="bottom"/>
            <w:gridSpan w:val="2"/>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5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5220" w:type="dxa"/>
            <w:vAlign w:val="bottom"/>
            <w:vMerge w:val="restart"/>
          </w:tcPr>
          <w:p>
            <w:pPr>
              <w:jc w:val="right"/>
              <w:ind w:right="2672"/>
              <w:spacing w:after="0"/>
              <w:rPr>
                <w:sz w:val="20"/>
                <w:szCs w:val="20"/>
                <w:color w:val="auto"/>
              </w:rPr>
            </w:pPr>
            <w:r>
              <w:rPr>
                <w:rFonts w:ascii="Arial" w:cs="Arial" w:eastAsia="Arial" w:hAnsi="Arial"/>
                <w:sz w:val="18"/>
                <w:szCs w:val="18"/>
                <w:color w:val="auto"/>
              </w:rPr>
              <w:t>17</w:t>
            </w: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5220" w:type="dxa"/>
            <w:vAlign w:val="bottom"/>
            <w:vMerge w:val="continue"/>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8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March 31, 2018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w:t>
            </w: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$4.1 million and $4.5 million during the three months ended March 31, 2018 and March 31, 2017, respectively. Rent expense is recognized using the straight-line method over the term of the lease.</w:t>
      </w:r>
    </w:p>
    <w:p>
      <w:pPr>
        <w:spacing w:after="0" w:line="1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2018, we had $106.1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March 31, 2018, we had $10.0 million in other contractual commitments having a remaining term in excess of one year that may not be cancelable.</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Contingencies, issued by the FASB, we accrue for contingencies when we believe that a loss is probable and that we can reasonably estimate the amount of any such loss.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right="8200" w:hanging="652"/>
        <w:spacing w:after="0" w:line="533" w:lineRule="auto"/>
        <w:tabs>
          <w:tab w:leader="none" w:pos="46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left="660"/>
        <w:spacing w:after="0"/>
        <w:rPr>
          <w:sz w:val="20"/>
          <w:szCs w:val="20"/>
          <w:color w:val="auto"/>
        </w:rPr>
      </w:pPr>
      <w:r>
        <w:rPr>
          <w:rFonts w:ascii="Arial" w:cs="Arial" w:eastAsia="Arial" w:hAnsi="Arial"/>
          <w:sz w:val="16"/>
          <w:szCs w:val="16"/>
          <w:color w:val="auto"/>
        </w:rPr>
        <w:t>We have stock-based compensation plans pursuant to which we have granted RSUs and stock options. We also have an ESPP for eligible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were a total of 55.2 million shares of common stock available for grant under our stock-based compensation plans.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2017</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34.79</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49.05</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34.15</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2018</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38.86</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As of March 31, 2018, total compensation expense related to unvested RSUs granted to employees and non-employees under the 2009 Plan, but not yet recognized, was $333.3 million. This expense is expected to be amortized on a straight-line basis over a weighted-average vesting period of 2.91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38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38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380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4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4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13.7</w:t>
            </w:r>
          </w:p>
        </w:tc>
      </w:tr>
      <w:tr>
        <w:trPr>
          <w:trHeight w:val="702"/>
        </w:trPr>
        <w:tc>
          <w:tcPr>
            <w:tcW w:w="3800" w:type="dxa"/>
            <w:vAlign w:val="bottom"/>
          </w:tcPr>
          <w:p>
            <w:pPr>
              <w:spacing w:after="0"/>
              <w:rPr>
                <w:sz w:val="24"/>
                <w:szCs w:val="24"/>
                <w:color w:val="auto"/>
              </w:rPr>
            </w:pPr>
          </w:p>
        </w:tc>
        <w:tc>
          <w:tcPr>
            <w:tcW w:w="4540" w:type="dxa"/>
            <w:vAlign w:val="bottom"/>
          </w:tcPr>
          <w:p>
            <w:pPr>
              <w:jc w:val="right"/>
              <w:ind w:right="245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37465</wp:posOffset>
            </wp:positionV>
            <wp:extent cx="2040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140" w:type="dxa"/>
            <w:vAlign w:val="bottom"/>
          </w:tcPr>
          <w:p>
            <w:pPr>
              <w:ind w:left="400"/>
              <w:spacing w:after="0"/>
              <w:rPr>
                <w:sz w:val="20"/>
                <w:szCs w:val="20"/>
                <w:color w:val="auto"/>
              </w:rPr>
            </w:pPr>
            <w:r>
              <w:rPr>
                <w:rFonts w:ascii="Arial" w:cs="Arial" w:eastAsia="Arial" w:hAnsi="Arial"/>
                <w:sz w:val="16"/>
                <w:szCs w:val="16"/>
                <w:b w:val="1"/>
                <w:bCs w:val="1"/>
                <w:color w:val="auto"/>
                <w:w w:val="97"/>
              </w:rPr>
              <w:t>March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340" w:type="dxa"/>
            <w:vAlign w:val="bottom"/>
            <w:gridSpan w:val="2"/>
          </w:tcPr>
          <w:p>
            <w:pPr>
              <w:ind w:left="8820"/>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r>
      <w:tr>
        <w:trPr>
          <w:trHeight w:val="33"/>
        </w:trPr>
        <w:tc>
          <w:tcPr>
            <w:tcW w:w="8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9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9340" w:type="dxa"/>
            <w:vAlign w:val="bottom"/>
            <w:gridSpan w:val="2"/>
          </w:tcPr>
          <w:p>
            <w:pPr>
              <w:ind w:left="500"/>
              <w:spacing w:after="0"/>
              <w:rPr>
                <w:sz w:val="20"/>
                <w:szCs w:val="20"/>
                <w:color w:val="auto"/>
              </w:rPr>
            </w:pPr>
            <w:r>
              <w:rPr>
                <w:rFonts w:ascii="Arial" w:cs="Arial" w:eastAsia="Arial" w:hAnsi="Arial"/>
                <w:sz w:val="18"/>
                <w:szCs w:val="18"/>
                <w:color w:val="auto"/>
              </w:rPr>
              <w:t>Volatility</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9340" w:type="dxa"/>
            <w:vAlign w:val="bottom"/>
            <w:gridSpan w:val="2"/>
          </w:tcPr>
          <w:p>
            <w:pPr>
              <w:ind w:left="500"/>
              <w:spacing w:after="0"/>
              <w:rPr>
                <w:sz w:val="20"/>
                <w:szCs w:val="20"/>
                <w:color w:val="auto"/>
              </w:rPr>
            </w:pPr>
            <w:r>
              <w:rPr>
                <w:rFonts w:ascii="Arial" w:cs="Arial" w:eastAsia="Arial" w:hAnsi="Arial"/>
                <w:sz w:val="18"/>
                <w:szCs w:val="18"/>
                <w:color w:val="auto"/>
              </w:rPr>
              <w:t>Dividend rate</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49.06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23.94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vest—March 31, 2018</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32.16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83.4</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exercisable—March 31,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27.12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56.3</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March 31, 2018, for all in-the-money stock options. As of March 31, 2018, total compensation expense related to unvested stock options granted to employees but not yet recognized was $20.8 million. This expense is expected to be amortized on a straight-line basis over a weighted-average period of 3.0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383"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34290</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4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448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4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3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17.9</w:t>
            </w:r>
          </w:p>
        </w:tc>
      </w:tr>
      <w:tr>
        <w:trPr>
          <w:trHeight w:val="27"/>
        </w:trPr>
        <w:tc>
          <w:tcPr>
            <w:tcW w:w="44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38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r>
      <w:tr>
        <w:trPr>
          <w:trHeight w:val="864"/>
        </w:trPr>
        <w:tc>
          <w:tcPr>
            <w:tcW w:w="4480" w:type="dxa"/>
            <w:vAlign w:val="bottom"/>
          </w:tcPr>
          <w:p>
            <w:pPr>
              <w:spacing w:after="0"/>
              <w:rPr>
                <w:sz w:val="24"/>
                <w:szCs w:val="24"/>
                <w:color w:val="auto"/>
              </w:rPr>
            </w:pPr>
          </w:p>
        </w:tc>
        <w:tc>
          <w:tcPr>
            <w:tcW w:w="3860" w:type="dxa"/>
            <w:vAlign w:val="bottom"/>
          </w:tcPr>
          <w:p>
            <w:pPr>
              <w:jc w:val="right"/>
              <w:ind w:right="245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the ESPP, we use the Black-Scholes option pricing model that employs the following weighted-average assumptions: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Risk-free interest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 rate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information related to the ESPP is provided below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fair value per share 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Shares issued under the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Weighted-average price per share issued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Stock-based compensation expense is included in costs and expenses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Cost of product revenue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Cost of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Research and development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General and administrative</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w:t>
      </w:r>
    </w:p>
    <w:p>
      <w:pPr>
        <w:spacing w:after="0" w:line="27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RSUs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ESPP</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stock-based compensation expense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34290</wp:posOffset>
            </wp:positionV>
            <wp:extent cx="2040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6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2017</w:t>
            </w:r>
          </w:p>
        </w:tc>
      </w:tr>
      <w:tr>
        <w:trPr>
          <w:trHeight w:val="33"/>
        </w:trPr>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560" w:type="dxa"/>
            <w:vAlign w:val="bottom"/>
          </w:tcPr>
          <w:p>
            <w:pPr>
              <w:jc w:val="right"/>
              <w:ind w:right="11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0.5</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0"/>
        </w:trPr>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34290</wp:posOffset>
            </wp:positionV>
            <wp:extent cx="19551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7"/>
                <w:szCs w:val="17"/>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9.28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0"/>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27.97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34290</wp:posOffset>
            </wp:positionV>
            <wp:extent cx="19551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7"/>
                <w:szCs w:val="17"/>
                <w:color w:val="auto"/>
              </w:rPr>
            </w:pPr>
          </w:p>
        </w:tc>
        <w:tc>
          <w:tcPr>
            <w:tcW w:w="1240" w:type="dxa"/>
            <w:vAlign w:val="bottom"/>
          </w:tcPr>
          <w:p>
            <w:pPr>
              <w:jc w:val="center"/>
              <w:ind w:right="19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240" w:type="dxa"/>
            <w:vAlign w:val="bottom"/>
          </w:tcPr>
          <w:p>
            <w:pPr>
              <w:spacing w:after="0"/>
              <w:rPr>
                <w:sz w:val="18"/>
                <w:szCs w:val="18"/>
                <w:color w:val="auto"/>
              </w:rPr>
            </w:pPr>
          </w:p>
        </w:tc>
        <w:tc>
          <w:tcPr>
            <w:tcW w:w="1260" w:type="dxa"/>
            <w:vAlign w:val="bottom"/>
          </w:tcPr>
          <w:p>
            <w:pPr>
              <w:jc w:val="center"/>
              <w:ind w:right="15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19.0</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33.3</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791"/>
        </w:trPr>
        <w:tc>
          <w:tcPr>
            <w:tcW w:w="240" w:type="dxa"/>
            <w:vAlign w:val="bottom"/>
          </w:tcPr>
          <w:p>
            <w:pPr>
              <w:spacing w:after="0"/>
              <w:rPr>
                <w:sz w:val="24"/>
                <w:szCs w:val="24"/>
                <w:color w:val="auto"/>
              </w:rPr>
            </w:pPr>
          </w:p>
        </w:tc>
        <w:tc>
          <w:tcPr>
            <w:tcW w:w="2840" w:type="dxa"/>
            <w:vAlign w:val="bottom"/>
            <w:gridSpan w:val="4"/>
          </w:tcPr>
          <w:p>
            <w:pPr>
              <w:jc w:val="right"/>
              <w:ind w:right="613"/>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8"/>
                <w:szCs w:val="18"/>
                <w:color w:val="auto"/>
              </w:rPr>
            </w:pPr>
          </w:p>
        </w:tc>
        <w:tc>
          <w:tcPr>
            <w:tcW w:w="1240" w:type="dxa"/>
            <w:vAlign w:val="bottom"/>
          </w:tcPr>
          <w:p>
            <w:pPr>
              <w:jc w:val="center"/>
              <w:ind w:right="19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240" w:type="dxa"/>
            <w:vAlign w:val="bottom"/>
          </w:tcPr>
          <w:p>
            <w:pPr>
              <w:spacing w:after="0"/>
              <w:rPr>
                <w:sz w:val="18"/>
                <w:szCs w:val="18"/>
                <w:color w:val="auto"/>
              </w:rPr>
            </w:pPr>
          </w:p>
        </w:tc>
        <w:tc>
          <w:tcPr>
            <w:tcW w:w="1260" w:type="dxa"/>
            <w:vAlign w:val="bottom"/>
          </w:tcPr>
          <w:p>
            <w:pPr>
              <w:jc w:val="center"/>
              <w:ind w:right="152"/>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29.0</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0"/>
        </w:trPr>
        <w:tc>
          <w:tcPr>
            <w:tcW w:w="24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33.3</w:t>
            </w:r>
          </w:p>
        </w:tc>
      </w:tr>
      <w:tr>
        <w:trPr>
          <w:trHeight w:val="27"/>
        </w:trPr>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200"/>
            <w:col w:w="32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millions):</w:t>
      </w:r>
    </w:p>
    <w:p>
      <w:pPr>
        <w:spacing w:after="0" w:line="112" w:lineRule="exact"/>
        <w:rPr>
          <w:sz w:val="20"/>
          <w:szCs w:val="20"/>
          <w:color w:val="auto"/>
        </w:rPr>
      </w:pPr>
    </w:p>
    <w:p>
      <w:pPr>
        <w:ind w:left="90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34290</wp:posOffset>
            </wp:positionV>
            <wp:extent cx="19208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1"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8200" w:type="dxa"/>
            <w:vAlign w:val="bottom"/>
          </w:tcPr>
          <w:p>
            <w:pPr>
              <w:spacing w:after="0"/>
              <w:rPr>
                <w:sz w:val="17"/>
                <w:szCs w:val="17"/>
                <w:color w:val="auto"/>
              </w:rPr>
            </w:pPr>
          </w:p>
        </w:tc>
        <w:tc>
          <w:tcPr>
            <w:tcW w:w="1100" w:type="dxa"/>
            <w:vAlign w:val="bottom"/>
          </w:tcPr>
          <w:p>
            <w:pPr>
              <w:jc w:val="center"/>
              <w:ind w:left="236"/>
              <w:spacing w:after="0"/>
              <w:rPr>
                <w:sz w:val="20"/>
                <w:szCs w:val="20"/>
                <w:color w:val="auto"/>
              </w:rPr>
            </w:pPr>
            <w:r>
              <w:rPr>
                <w:rFonts w:ascii="Arial" w:cs="Arial" w:eastAsia="Arial" w:hAnsi="Arial"/>
                <w:sz w:val="16"/>
                <w:szCs w:val="16"/>
                <w:b w:val="1"/>
                <w:bCs w:val="1"/>
                <w:color w:val="auto"/>
                <w:w w:val="94"/>
              </w:rPr>
              <w:t>March 31,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76"/>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200" w:type="dxa"/>
            <w:vAlign w:val="bottom"/>
          </w:tcPr>
          <w:p>
            <w:pPr>
              <w:spacing w:after="0"/>
              <w:rPr>
                <w:sz w:val="18"/>
                <w:szCs w:val="18"/>
                <w:color w:val="auto"/>
              </w:rPr>
            </w:pPr>
          </w:p>
        </w:tc>
        <w:tc>
          <w:tcPr>
            <w:tcW w:w="1100" w:type="dxa"/>
            <w:vAlign w:val="bottom"/>
          </w:tcPr>
          <w:p>
            <w:pPr>
              <w:jc w:val="right"/>
              <w:ind w:right="116"/>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476"/>
              <w:spacing w:after="0"/>
              <w:rPr>
                <w:sz w:val="20"/>
                <w:szCs w:val="20"/>
                <w:color w:val="auto"/>
              </w:rPr>
            </w:pPr>
            <w:r>
              <w:rPr>
                <w:rFonts w:ascii="Arial" w:cs="Arial" w:eastAsia="Arial" w:hAnsi="Arial"/>
                <w:sz w:val="16"/>
                <w:szCs w:val="16"/>
                <w:b w:val="1"/>
                <w:bCs w:val="1"/>
                <w:color w:val="auto"/>
              </w:rPr>
              <w:t>2017</w:t>
            </w:r>
          </w:p>
        </w:tc>
      </w:tr>
      <w:tr>
        <w:trPr>
          <w:trHeight w:val="33"/>
        </w:trPr>
        <w:tc>
          <w:tcPr>
            <w:tcW w:w="8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associated with stock-based compensation</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5"/>
              </w:rPr>
              <w:t>6.0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6.6</w:t>
            </w:r>
          </w:p>
        </w:tc>
      </w:tr>
      <w:tr>
        <w:trPr>
          <w:trHeight w:val="27"/>
        </w:trPr>
        <w:tc>
          <w:tcPr>
            <w:tcW w:w="8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2016, our board of directors approved the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to a total of $1.0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three months ended March 31, 2018, we repurchased 2.5 million shares of common stock under the Repurchase Program in open market transactions at an average price of $45.96 per share, for an aggregate purchase price of $115.5 million. As of March 31, 2018, $327.3 million remained available for future share repurchases under the Repurchase Program.</w:t>
      </w:r>
    </w:p>
    <w:p>
      <w:pPr>
        <w:spacing w:after="0" w:line="17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effective tax rate was a tax benefit of 13% for the three months ended March 31, 2018, compared to a tax benefit of 32% for the same period last year, with the primary difference being the change in the federal tax rate to 21% in 2018 from 35% in the prior year. The effective tax rates for the periods presented are comprised of U.S. federal and state taxes, withholding taxes and foreign taxes of $8.5 million, which are offset by a tax provision benefit of $5.6 million for stock-based compensation and release of reserve on uncertain tax position including interests of $7.8 million. The tax rate for the three months ended March 31, 2017 was comprised of the U.S. federal and state taxes, withholding taxes and foreign taxes of $2.9 million, which were offset by a tax provision benefit of $5.5 million for stock compensation.</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March 31, 2018 and December 31, 2017, unrecognized tax benefits were $77.6 million and $72.5 million, respectively. The amount of $76.2 million in unrecognized tax benefits, if recognized, would favorably affect our effective tax rate. It is our policy is to include accrued interest and penalties related to uncertain tax benefits in income tax expense. As of March 31, 2018 and December 31, 2017, accrued interest and penalties were $13.4 million and $13.5 million, respectively. It is reasonably possible that our gross unrecognized tax benefits will decrease by up to $7.0 million in the next 12 months, primarily due to the lapse of the statute of limitations and an audit settlement. These adjustments, if recognized, would positively impact our effective tax rate, and would be recognized as additional tax benefits.</w:t>
      </w:r>
    </w:p>
    <w:p>
      <w:pPr>
        <w:spacing w:after="0" w:line="193"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file income tax returns in the U.S. federal jurisdiction and in various U.S. state and foreign jurisdictions. Generally, we are no longer subject to U.S. state and non-U.S. income tax examinations by tax authorities for tax years prior to 2008. We are no longer subject to examination by U.S federal income tax authorities for tax years prior to 2015. We have closed the Internal Revenue Service audit for tax years 2012, 2013 and 2014. In March 2018, we received a refund of $6.8 million for a carry-back claim approved in this audit. The tax authorities in France are examining the intercompany relationship between Fortinet, Inc., Fortinet France and Fortinet Singapore. In May 2017, we received a notice from the French tax authorities that an audit was officially opened for tax years from 2007 to 2015. The tax authorities in Israel have notified us that we will be audited for tax years from 2008 to 2014.</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March 31, 2018 and March 31, 2017 were $1.5 million and $1.3 million, respectively.</w:t>
      </w:r>
    </w:p>
    <w:p>
      <w:pPr>
        <w:spacing w:after="0" w:line="15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6"/>
          </w:tcPr>
          <w:p>
            <w:pPr>
              <w:jc w:val="center"/>
              <w:ind w:right="32"/>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76"/>
        </w:trPr>
        <w:tc>
          <w:tcPr>
            <w:tcW w:w="4400" w:type="dxa"/>
            <w:vAlign w:val="bottom"/>
            <w:gridSpan w:val="4"/>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372"/>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4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133.9</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Latin America (“LATAM”)</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Canada</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Europe, Middle East and Africa (“EMEA”)</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37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60" w:type="dxa"/>
            <w:vAlign w:val="bottom"/>
            <w:gridSpan w:val="3"/>
          </w:tcPr>
          <w:p>
            <w:pPr>
              <w:ind w:left="460"/>
              <w:spacing w:after="0"/>
              <w:rPr>
                <w:sz w:val="20"/>
                <w:szCs w:val="20"/>
                <w:color w:val="auto"/>
              </w:rPr>
            </w:pPr>
            <w:r>
              <w:rPr>
                <w:rFonts w:ascii="Arial" w:cs="Arial" w:eastAsia="Arial" w:hAnsi="Arial"/>
                <w:sz w:val="18"/>
                <w:szCs w:val="18"/>
                <w:color w:val="auto"/>
              </w:rPr>
              <w:t>Total revenue</w:t>
            </w:r>
          </w:p>
        </w:tc>
        <w:tc>
          <w:tcPr>
            <w:tcW w:w="394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399.0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4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5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176"/>
        </w:trPr>
        <w:tc>
          <w:tcPr>
            <w:tcW w:w="4400" w:type="dxa"/>
            <w:vAlign w:val="bottom"/>
            <w:gridSpan w:val="4"/>
            <w:vMerge w:val="continue"/>
          </w:tcPr>
          <w:p>
            <w:pPr>
              <w:spacing w:after="0"/>
              <w:rPr>
                <w:sz w:val="15"/>
                <w:szCs w:val="15"/>
                <w:color w:val="auto"/>
              </w:rPr>
            </w:pPr>
          </w:p>
        </w:tc>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1540" w:type="dxa"/>
            <w:vAlign w:val="bottom"/>
            <w:tcBorders>
              <w:top w:val="single" w:sz="8" w:color="auto"/>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3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LATAM</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EMEA:</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3"/>
          </w:tcPr>
          <w:p>
            <w:pPr>
              <w:ind w:left="240"/>
              <w:spacing w:after="0"/>
              <w:rPr>
                <w:sz w:val="20"/>
                <w:szCs w:val="20"/>
                <w:color w:val="auto"/>
              </w:rPr>
            </w:pPr>
            <w:r>
              <w:rPr>
                <w:rFonts w:ascii="Arial" w:cs="Arial" w:eastAsia="Arial" w:hAnsi="Arial"/>
                <w:sz w:val="18"/>
                <w:szCs w:val="18"/>
                <w:color w:val="auto"/>
              </w:rPr>
              <w:t>Other EMEA</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37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400" w:type="dxa"/>
            <w:vAlign w:val="bottom"/>
            <w:gridSpan w:val="4"/>
          </w:tcPr>
          <w:p>
            <w:pPr>
              <w:ind w:left="40"/>
              <w:spacing w:after="0"/>
              <w:rPr>
                <w:sz w:val="20"/>
                <w:szCs w:val="20"/>
                <w:color w:val="auto"/>
              </w:rPr>
            </w:pPr>
            <w:r>
              <w:rPr>
                <w:rFonts w:ascii="Arial" w:cs="Arial" w:eastAsia="Arial" w:hAnsi="Arial"/>
                <w:sz w:val="18"/>
                <w:szCs w:val="18"/>
                <w:color w:val="auto"/>
              </w:rPr>
              <w:t>APAC</w:t>
            </w:r>
          </w:p>
        </w:tc>
        <w:tc>
          <w:tcPr>
            <w:tcW w:w="3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3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3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388" w:lineRule="exact"/>
        <w:rPr>
          <w:sz w:val="20"/>
          <w:szCs w:val="20"/>
          <w:color w:val="auto"/>
        </w:rPr>
      </w:pPr>
    </w:p>
    <w:p>
      <w:pPr>
        <w:ind w:left="88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37465</wp:posOffset>
            </wp:positionV>
            <wp:extent cx="22726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6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jc w:val="right"/>
              <w:ind w:right="514"/>
              <w:spacing w:after="0"/>
              <w:rPr>
                <w:sz w:val="20"/>
                <w:szCs w:val="20"/>
                <w:color w:val="auto"/>
              </w:rPr>
            </w:pPr>
            <w:r>
              <w:rPr>
                <w:rFonts w:ascii="Arial" w:cs="Arial" w:eastAsia="Arial" w:hAnsi="Arial"/>
                <w:sz w:val="16"/>
                <w:szCs w:val="16"/>
                <w:b w:val="1"/>
                <w:bCs w:val="1"/>
                <w:color w:val="auto"/>
              </w:rPr>
              <w:t>March 31,</w:t>
            </w:r>
          </w:p>
        </w:tc>
      </w:tr>
      <w:tr>
        <w:trPr>
          <w:trHeight w:val="243"/>
        </w:trPr>
        <w:tc>
          <w:tcPr>
            <w:tcW w:w="762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color w:val="auto"/>
                <w:vertAlign w:val="superscript"/>
              </w:rPr>
              <w:t>(1)</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ind w:right="694"/>
              <w:spacing w:after="0"/>
              <w:rPr>
                <w:sz w:val="20"/>
                <w:szCs w:val="20"/>
                <w:color w:val="auto"/>
              </w:rPr>
            </w:pPr>
            <w:r>
              <w:rPr>
                <w:rFonts w:ascii="Arial" w:cs="Arial" w:eastAsia="Arial" w:hAnsi="Arial"/>
                <w:sz w:val="16"/>
                <w:szCs w:val="16"/>
                <w:b w:val="1"/>
                <w:bCs w:val="1"/>
                <w:color w:val="auto"/>
              </w:rPr>
              <w:t>2017</w:t>
            </w:r>
          </w:p>
        </w:tc>
      </w:tr>
      <w:tr>
        <w:trPr>
          <w:trHeight w:val="244"/>
        </w:trPr>
        <w:tc>
          <w:tcPr>
            <w:tcW w:w="8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820" w:type="dxa"/>
            <w:vAlign w:val="bottom"/>
            <w:gridSpan w:val="2"/>
          </w:tcPr>
          <w:p>
            <w:pPr>
              <w:ind w:left="20"/>
              <w:spacing w:after="0"/>
              <w:rPr>
                <w:sz w:val="20"/>
                <w:szCs w:val="20"/>
                <w:color w:val="auto"/>
              </w:rPr>
            </w:pPr>
            <w:r>
              <w:rPr>
                <w:rFonts w:ascii="Arial" w:cs="Arial" w:eastAsia="Arial" w:hAnsi="Arial"/>
                <w:sz w:val="18"/>
                <w:szCs w:val="18"/>
                <w:color w:val="auto"/>
              </w:rPr>
              <w:t>Fine Tec Computers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4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Represents less than 10%</w:t>
      </w:r>
    </w:p>
    <w:p>
      <w:pPr>
        <w:spacing w:after="0" w:line="63" w:lineRule="exact"/>
        <w:rPr>
          <w:sz w:val="20"/>
          <w:szCs w:val="20"/>
          <w:color w:val="auto"/>
        </w:rPr>
      </w:pPr>
    </w:p>
    <w:p>
      <w:pPr>
        <w:ind w:left="140" w:right="680" w:firstLine="10"/>
        <w:spacing w:after="0" w:line="252" w:lineRule="auto"/>
        <w:tabs>
          <w:tab w:leader="none" w:pos="332"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Due to the acquisition by Exclusive Networks Group of the U.S. division of Fine Tec Computers (“Fine Tec U.S.”) in July 2017, Fine Tec U.S.’s revenue and accounts receivable have been combined with Exclusive Networks Group.</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00" w:type="dxa"/>
            <w:vAlign w:val="bottom"/>
          </w:tcPr>
          <w:p>
            <w:pPr>
              <w:jc w:val="center"/>
              <w:ind w:left="359"/>
              <w:spacing w:after="0"/>
              <w:rPr>
                <w:sz w:val="20"/>
                <w:szCs w:val="20"/>
                <w:color w:val="auto"/>
              </w:rPr>
            </w:pPr>
            <w:r>
              <w:rPr>
                <w:rFonts w:ascii="Arial" w:cs="Arial" w:eastAsia="Arial" w:hAnsi="Arial"/>
                <w:sz w:val="16"/>
                <w:szCs w:val="16"/>
                <w:b w:val="1"/>
                <w:bCs w:val="1"/>
                <w:color w:val="auto"/>
                <w:w w:val="97"/>
              </w:rPr>
              <w:t>March 31,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9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6"/>
              <w:spacing w:after="0"/>
              <w:rPr>
                <w:sz w:val="20"/>
                <w:szCs w:val="20"/>
                <w:color w:val="auto"/>
              </w:rPr>
            </w:pPr>
            <w:r>
              <w:rPr>
                <w:rFonts w:ascii="Arial" w:cs="Arial" w:eastAsia="Arial" w:hAnsi="Arial"/>
                <w:sz w:val="16"/>
                <w:szCs w:val="16"/>
                <w:b w:val="1"/>
                <w:bCs w:val="1"/>
                <w:color w:val="auto"/>
              </w:rPr>
              <w:t>2017</w:t>
            </w:r>
          </w:p>
        </w:tc>
      </w:tr>
      <w:tr>
        <w:trPr>
          <w:trHeight w:val="33"/>
        </w:trPr>
        <w:tc>
          <w:tcPr>
            <w:tcW w:w="75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89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75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2018</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Tax provision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324"/>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unrealized gains or losses on investments are recorded in other income (expense)—net and in benefit from income taxes,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and Section 21E of the Securities and Exchange Act of 1934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79"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6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Tax Cuts and Jobs Act of 2017 (the “2017 Tax Act”);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revenue recognition and accounting for leases.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1" w:right="27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Fortinet is a global leader in broad, integrated and automated cybersecurity solutions to a wide variety of businesses, such as enterprises, data centers and distributed offices, including a majority of the Fortune 100 companies. Our cybersecurity solutions are designed to provide broad, automated and integrated protection against dynamic and sophisticated security threats, while simplifying the information technology and security infrastructure of our end-customers.</w:t>
      </w:r>
    </w:p>
    <w:p>
      <w:pPr>
        <w:spacing w:after="0" w:line="18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four current focus areas for our business. First, we derive a majority of product sales from our FortiGate network security appliances. We continue to develop and improve our offerings, which provide opportunities for market share gains. Second, the Fortinet Security Fabric has been developed to provide unified security across the entire digital attack surface, including network core, endpoints, applications, data centers, access and private and public cloud, and is designed to enable traditionally disparate security devices to work together as an integrated and collaborative whole. The Fortinet Security Fabric benefits from customers’ recognition of its value, performance and security coverage and is growing faster than network security. Third, cloud security provides opportunity for growth. We help customers secure their cloud implementations by offering integration, visibility and automation across multi-cloud and hybrid deployments. Our FortiCASB extends the core capabilities of our security fabric architecture to provide businesses the same level of cybersecurity and threat intelligence in cloud environments as they do on their physical networks. While cloud billings are still not significant as compared to the rest of our business, we experienced significant growth in both on-demand cloud consumption and bring-your-own-license (“BYOL”). The Fortinet cloud security is available across all major cloud providers, including Microsoft Azure, Amazon Web Services, Google Cloud, Oracle Cloud and IBM Cloud. Fourth, the emergence of the internet of things (“IoT”) is a new opportunity for us to grow our business and has created an environment where data move freely between devices across locations, network environments, remote offices, mobile workers and public cloud environments, making it difficult to consistently track and secure.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recorded total revenue of $399.0 million in the three months ended March 31, 2018, an increase of 17% compared to $340.6 million in the same period last year. Product revenue was $142.8 million in the three months ended March 31, 2018, an increase of 6% compared to $135.3 million in the same period last year. Service revenue was $256.2 million in the three months ended March 31, 2018, an increase of 25% compared to $205.3 million in the same period last year.</w:t>
      </w:r>
    </w:p>
    <w:p>
      <w:pPr>
        <w:spacing w:after="0" w:line="186"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generated operating income of $32.4 million in the three months ended March 31, 2018, an increase of 500% compared to $5.4 million in the same period last year.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cash equivalents and investments were $1.39 billion as of March 31, 2018, an increase of $37.1 million, or 3%, from December 31, 2017.</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Deferred revenue was $1.40 billion as of March 31, 2018, an increase of $60.1 million, or 4%, from December 31, 2017.</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$139.7 million in the three months ended March 31, 2018, an increase of $10.0 million, or 8%, compared to the same period last year.</w:t>
      </w:r>
    </w:p>
    <w:p>
      <w:pPr>
        <w:spacing w:after="0" w:line="170"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three months ended March 31, 2018, we repurchased 2.5 million shares of common stock under our Share Repurchase Program (“Repurchase Program”) for an aggregate purchase price of $115.5 million.</w:t>
      </w:r>
    </w:p>
    <w:p>
      <w:pPr>
        <w:spacing w:after="0" w:line="170"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During the three months ended March 31, 2018, our revenue growth was primarily driven by growth in service revenue due to the strength of our FortiCare technical support and FortiGuard security subscription revenue growing 35% and 20%, respectively, year-over-year.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percentage of our FortiGate-related billings from entry-level products increased from 33% in the three months ended March 31, 2017 to 36% in the three months ended March 31, 2018. The percentage of our FortiGate-related billings from mid-range products was 31% during the three months ended March 31, 2018 and March 31, 2017. The percentage of our FortiGate-related billings from high-end products decreased to 33% in the three months ended March 31, 2018 from 36% in the same period last year. Billings related to non-FortiGate products also grew during the three months ended March 31, 2018, with higher than average growth in the Cloud and Fabric. On a geographic basis, revenue continues to be diversified globally, which remains a key strength of our business.</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three months ended March 31, 2018, operating expenses as a percentage of revenue decreased by 4 percentage points compared to the same period last year. The decrease was primarily driven by a reduction in sales and marketing expenses as a percentage of revenue, as a result of the adoption of Topic 606 for deferred contract costs, which reduced our commissions expense in absolute dollars and as a percentage of total revenue. Our sales and marketing expenses included a benefit of $11.7 million from the adoption of Topic 606 related to deferred contract costs. Under Topic 606, we capitalized certain commissions on service contracts and amortize the amount over a certain period. Prior to the adoption of Topic 606, we expensed the commission related to these service contracts upfront. Excluding this benefit, sales and marketing expense as a percentage of revenue would have been comparable to the same period last year. Refer to Note 1 and Note 2 in our notes to the condensed consolidated financial statement for more information. Headcount increased by 4% to 5,275 employees and contractors as of March 31, 2018, up from 5,066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sales strategy is based on a distribution model whereby we primarily sell our products, software licenses and services directly to distributors which sell to resellers and service providers, which, in turn, sell to our end-customers. In certain cases, we sell directly to large service providers and major systems integrators. We also offer our products across all major cloud providers, and have recognized on demand revenue and BYOL revenue from Amazon Web Services, Microsoft Azure, Google Cloud, Oracle Cloud and IBM Cloud. In a BYOL arrangement, a customer purchases a perpetual license from us and deploys the software in a cloud provider’s hardware. While the revenue from such sales are still relatively insignificant, they have increased significantly in recent periods on a percentage basis.</w:t>
      </w:r>
    </w:p>
    <w:p>
      <w:pPr>
        <w:spacing w:after="0" w:line="19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Typically, FortiGuard security subscription and FortiCare technical support services are purchased along with our hardware products and software licenses, most frequently as part of a bundle offering that includes hardware and services functionality. We generally invoice at the time of our sale for the total price of the products and security and technical support services. The invoice is payable within 30 to 90 days. We also invoice certain licenses and services on a monthly basis.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approach to network security is defined by our Security Processing Unit (“SPU”) hardware architecture. The SPU includes three lines of proprietary ASICs, content processor, network processor and the system on a chip. The ASICs are designed for highly efficient execution of computationally intensive tasks, including policy enforcement, threat detection and encryption. As such, ASIC-based solutions can run many security applications simultaneously without a significant reduction in performance.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 (in millions):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March 31, 2017</w:t>
            </w:r>
          </w:p>
        </w:tc>
      </w:tr>
      <w:tr>
        <w:trPr>
          <w:trHeight w:val="33"/>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1,396.4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1,098.1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1,386.4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1,441.0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116.2</w:t>
            </w:r>
          </w:p>
        </w:tc>
      </w:tr>
    </w:tbl>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Our deferred revenue consists of amounts that have been invoiced but that have not yet been recognized as revenue. The majority</w:t>
      </w:r>
      <w:r>
        <w:rPr>
          <w:rFonts w:ascii="Arial" w:cs="Arial" w:eastAsia="Arial" w:hAnsi="Arial"/>
          <w:sz w:val="18"/>
          <w:szCs w:val="18"/>
          <w:i w:val="1"/>
          <w:iCs w:val="1"/>
          <w:color w:val="auto"/>
        </w:rPr>
        <w:t xml:space="preserve"> </w:t>
      </w:r>
      <w:r>
        <w:rPr>
          <w:rFonts w:ascii="Arial" w:cs="Arial" w:eastAsia="Arial" w:hAnsi="Arial"/>
          <w:sz w:val="18"/>
          <w:szCs w:val="18"/>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and free cash flow to be recognized in future periods. Deferred revenue was $1.40 billion as of March 31, 2018, an increase of $60.1 million, or 4%, from December 31, 2017. The adoption of Topic 606 did not have a material impact on the deferred revenue balance.</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generally accepted accounting principles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(“GAAP”) plus the change in deferred revenue from the beginning to the end of the period and adjustments to the deferred revenue balance due to adoption of the new revenue recognition standard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$463.2 million for March 31, 2018, an increase of 15% compared to $403.3 million in the same period last year.</w:t>
      </w:r>
    </w:p>
    <w:p>
      <w:pPr>
        <w:spacing w:after="0" w:line="18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20"/>
                <w:szCs w:val="20"/>
                <w:color w:val="auto"/>
              </w:rPr>
            </w:pPr>
          </w:p>
        </w:tc>
        <w:tc>
          <w:tcPr>
            <w:tcW w:w="132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March 31, 2017</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Billings: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 Change in deferred revenue</w:t>
            </w:r>
          </w:p>
        </w:tc>
        <w:tc>
          <w:tcPr>
            <w:tcW w:w="1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revenue adjustment due to adoption of the new revenue recognition standard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463.2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403.3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62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March 31, 2017</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adopted Topic 606 on January 1, 2018 using the modified retrospective method. Refer to Note 2 in the notes to our condensed consolidated financial statements included in this Quarterly Report on Form 10-Q for a discussion of the impact. Other than the adoption of Topic 606, there were no material changes to our critical accounting policies and estimates as of and for the three months ended March 31, 2018, as compared to the critical accounting policies and estimates described in our Annual Report on Form 10-K filed with the SEC on February 26, 2018 (the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and March 31,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3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w w:val="89"/>
              </w:rPr>
              <w:t>2017</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58.4</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16</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8"/>
        <w:spacing w:after="0" w:line="252" w:lineRule="auto"/>
        <w:tabs>
          <w:tab w:leader="none" w:pos="192"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Revenue during the three months ended March 31, 2018 under Topic 606 (As Reported) and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Balances Without</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Increase (Decrease)</w:t>
            </w:r>
          </w:p>
        </w:tc>
      </w:tr>
      <w:tr>
        <w:trPr>
          <w:trHeight w:val="33"/>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520"/>
              <w:spacing w:after="0"/>
              <w:rPr>
                <w:sz w:val="20"/>
                <w:szCs w:val="20"/>
                <w:color w:val="auto"/>
              </w:rPr>
            </w:pPr>
            <w:r>
              <w:rPr>
                <w:rFonts w:ascii="Arial" w:cs="Arial" w:eastAsia="Arial" w:hAnsi="Arial"/>
                <w:sz w:val="18"/>
                <w:szCs w:val="18"/>
                <w:color w:val="auto"/>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5.7</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6.4</w:t>
            </w: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6.7</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r>
      <w:tr>
        <w:trPr>
          <w:trHeight w:val="243"/>
        </w:trPr>
        <w:tc>
          <w:tcPr>
            <w:tcW w:w="5280" w:type="dxa"/>
            <w:vAlign w:val="bottom"/>
          </w:tcPr>
          <w:p>
            <w:pPr>
              <w:ind w:left="500"/>
              <w:spacing w:after="0"/>
              <w:rPr>
                <w:sz w:val="20"/>
                <w:szCs w:val="20"/>
                <w:color w:val="auto"/>
              </w:rPr>
            </w:pPr>
            <w:r>
              <w:rPr>
                <w:rFonts w:ascii="Arial" w:cs="Arial" w:eastAsia="Arial" w:hAnsi="Arial"/>
                <w:sz w:val="18"/>
                <w:szCs w:val="18"/>
                <w:color w:val="auto"/>
              </w:rPr>
              <w:t>APAC</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Total revenue increased by $58.4 million, or 17%, during the three months ended March 31, 2018 compared to the same period last year. We continued to experience diversification of revenue globally. Revenue from all our regions grew, with the Americas contributing the largest portion of our revenue growth both on an absolute dollar and on a percentage basis. Product revenue increased by $7.5 million, or 6%, during the three months ended March 31, 2018 compared to the same period last year. Product revenue in the first quarter of 2018 included a $5.7 million benefit from the adoption of Topic 606, which primarily relates to sell through of our U.S. channel inventory. FortiGate unit shipments increased year-over-year. Sales of non-FortiGate products, such as the Fortinet Security Fabric and cloud products, also grew significantly. Service revenue increased by $50.9 million, or 25%, during the three months ended March 31, 2018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The impact of the adoption of Topic 606 on service revenue is not significant.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280" w:type="dxa"/>
            <w:vAlign w:val="bottom"/>
            <w:gridSpan w:val="4"/>
          </w:tcPr>
          <w:p>
            <w:pPr>
              <w:jc w:val="right"/>
              <w:ind w:right="535"/>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43"/>
        </w:trPr>
        <w:tc>
          <w:tcPr>
            <w:tcW w:w="3640" w:type="dxa"/>
            <w:vAlign w:val="bottom"/>
          </w:tcPr>
          <w:p>
            <w:pPr>
              <w:spacing w:after="0"/>
              <w:rPr>
                <w:sz w:val="21"/>
                <w:szCs w:val="21"/>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4"/>
          </w:tcPr>
          <w:p>
            <w:pPr>
              <w:jc w:val="right"/>
              <w:ind w:right="173"/>
              <w:spacing w:after="0"/>
              <w:rPr>
                <w:sz w:val="20"/>
                <w:szCs w:val="20"/>
                <w:color w:val="auto"/>
              </w:rPr>
            </w:pPr>
            <w:r>
              <w:rPr>
                <w:rFonts w:ascii="Arial" w:cs="Arial" w:eastAsia="Arial" w:hAnsi="Arial"/>
                <w:sz w:val="16"/>
                <w:szCs w:val="16"/>
                <w:b w:val="1"/>
                <w:bCs w:val="1"/>
                <w:color w:val="auto"/>
              </w:rPr>
              <w:t>(in millions, except percentages)</w:t>
            </w:r>
          </w:p>
        </w:tc>
        <w:tc>
          <w:tcPr>
            <w:tcW w:w="5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6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320" w:type="dxa"/>
            <w:vAlign w:val="bottom"/>
          </w:tcPr>
          <w:p>
            <w:pPr>
              <w:jc w:val="right"/>
              <w:ind w:right="1113"/>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140"/>
              <w:spacing w:after="0"/>
              <w:rPr>
                <w:sz w:val="20"/>
                <w:szCs w:val="20"/>
                <w:color w:val="auto"/>
              </w:rPr>
            </w:pPr>
            <w:r>
              <w:rPr>
                <w:rFonts w:ascii="Arial" w:cs="Arial" w:eastAsia="Arial" w:hAnsi="Arial"/>
                <w:sz w:val="18"/>
                <w:szCs w:val="18"/>
                <w:color w:val="auto"/>
              </w:rPr>
              <w:t>2.9</w:t>
            </w:r>
          </w:p>
        </w:tc>
        <w:tc>
          <w:tcPr>
            <w:tcW w:w="1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3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1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3.7</w:t>
            </w:r>
          </w:p>
        </w:tc>
        <w:tc>
          <w:tcPr>
            <w:tcW w:w="1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6.6</w:t>
            </w:r>
          </w:p>
        </w:tc>
        <w:tc>
          <w:tcPr>
            <w:tcW w:w="1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13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59.2%</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59.1%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92"/>
              </w:rPr>
              <w:t>0.1%</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3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7"/>
              </w:rPr>
              <w:t>75.6%</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73.4%</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40" w:type="dxa"/>
            <w:vAlign w:val="bottom"/>
          </w:tcPr>
          <w:p>
            <w:pPr>
              <w:ind w:left="140"/>
              <w:spacing w:after="0"/>
              <w:rPr>
                <w:sz w:val="20"/>
                <w:szCs w:val="20"/>
                <w:color w:val="auto"/>
              </w:rPr>
            </w:pPr>
            <w:r>
              <w:rPr>
                <w:rFonts w:ascii="Arial" w:cs="Arial" w:eastAsia="Arial" w:hAnsi="Arial"/>
                <w:sz w:val="18"/>
                <w:szCs w:val="18"/>
                <w:color w:val="auto"/>
                <w:w w:val="92"/>
              </w:rPr>
              <w:t>2.2%</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ind w:right="160" w:firstLine="8"/>
        <w:spacing w:after="0" w:line="252" w:lineRule="auto"/>
        <w:tabs>
          <w:tab w:leader="none" w:pos="192"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Cost of revenue and gross margin during the three months ended March 31, 2018 under Topic 606 (As Reported) and 605 (Balances Without Adoption of Topic 606) were as follows (in millions):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Balances Without</w:t>
            </w: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Adoption of</w:t>
            </w:r>
          </w:p>
        </w:tc>
        <w:tc>
          <w:tcPr>
            <w:tcW w:w="220" w:type="dxa"/>
            <w:vAlign w:val="bottom"/>
          </w:tcPr>
          <w:p>
            <w:pPr>
              <w:spacing w:after="0"/>
              <w:rPr>
                <w:sz w:val="17"/>
                <w:szCs w:val="17"/>
                <w:color w:val="auto"/>
              </w:rPr>
            </w:pPr>
          </w:p>
        </w:tc>
        <w:tc>
          <w:tcPr>
            <w:tcW w:w="1820" w:type="dxa"/>
            <w:vAlign w:val="bottom"/>
          </w:tcPr>
          <w:p>
            <w:pPr>
              <w:jc w:val="right"/>
              <w:ind w:right="35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As Reported</w:t>
            </w:r>
          </w:p>
        </w:tc>
        <w:tc>
          <w:tcPr>
            <w:tcW w:w="220" w:type="dxa"/>
            <w:vAlign w:val="bottom"/>
          </w:tcPr>
          <w:p>
            <w:pPr>
              <w:spacing w:after="0"/>
              <w:rPr>
                <w:sz w:val="18"/>
                <w:szCs w:val="18"/>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Topic 606</w:t>
            </w:r>
          </w:p>
        </w:tc>
        <w:tc>
          <w:tcPr>
            <w:tcW w:w="220" w:type="dxa"/>
            <w:vAlign w:val="bottom"/>
          </w:tcPr>
          <w:p>
            <w:pPr>
              <w:spacing w:after="0"/>
              <w:rPr>
                <w:sz w:val="18"/>
                <w:szCs w:val="18"/>
                <w:color w:val="auto"/>
              </w:rPr>
            </w:pPr>
          </w:p>
        </w:tc>
        <w:tc>
          <w:tcPr>
            <w:tcW w:w="1820" w:type="dxa"/>
            <w:vAlign w:val="bottom"/>
          </w:tcPr>
          <w:p>
            <w:pPr>
              <w:jc w:val="right"/>
              <w:ind w:right="252"/>
              <w:spacing w:after="0"/>
              <w:rPr>
                <w:sz w:val="20"/>
                <w:szCs w:val="20"/>
                <w:color w:val="auto"/>
              </w:rPr>
            </w:pPr>
            <w:r>
              <w:rPr>
                <w:rFonts w:ascii="Arial" w:cs="Arial" w:eastAsia="Arial" w:hAnsi="Arial"/>
                <w:sz w:val="16"/>
                <w:szCs w:val="16"/>
                <w:b w:val="1"/>
                <w:bCs w:val="1"/>
                <w:color w:val="auto"/>
                <w:w w:val="96"/>
              </w:rPr>
              <w:t>Increase (Decrease)</w:t>
            </w:r>
          </w:p>
        </w:tc>
      </w:tr>
      <w:tr>
        <w:trPr>
          <w:trHeight w:val="33"/>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500"/>
              <w:spacing w:after="0"/>
              <w:rPr>
                <w:sz w:val="20"/>
                <w:szCs w:val="20"/>
                <w:color w:val="auto"/>
              </w:rPr>
            </w:pPr>
            <w:r>
              <w:rPr>
                <w:rFonts w:ascii="Arial" w:cs="Arial" w:eastAsia="Arial" w:hAnsi="Arial"/>
                <w:sz w:val="18"/>
                <w:szCs w:val="18"/>
                <w:color w:val="auto"/>
              </w:rPr>
              <w:t>Product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ind w:left="102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ind w:left="110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1.5</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r>
      <w:tr>
        <w:trPr>
          <w:trHeight w:val="29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 of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1.5</w:t>
            </w: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5100" w:type="dxa"/>
            <w:vAlign w:val="bottom"/>
          </w:tcPr>
          <w:p>
            <w:pPr>
              <w:ind w:left="480"/>
              <w:spacing w:after="0"/>
              <w:rPr>
                <w:sz w:val="20"/>
                <w:szCs w:val="20"/>
                <w:color w:val="auto"/>
              </w:rPr>
            </w:pPr>
            <w:r>
              <w:rPr>
                <w:rFonts w:ascii="Arial" w:cs="Arial" w:eastAsia="Arial" w:hAnsi="Arial"/>
                <w:sz w:val="18"/>
                <w:szCs w:val="18"/>
                <w:color w:val="auto"/>
              </w:rPr>
              <w:t>Product</w:t>
            </w:r>
          </w:p>
        </w:tc>
        <w:tc>
          <w:tcPr>
            <w:tcW w:w="300" w:type="dxa"/>
            <w:vAlign w:val="bottom"/>
          </w:tcPr>
          <w:p>
            <w:pPr>
              <w:spacing w:after="0"/>
              <w:rPr>
                <w:sz w:val="21"/>
                <w:szCs w:val="21"/>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w w:val="93"/>
              </w:rPr>
              <w:t>59.2%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ind w:left="1100"/>
              <w:spacing w:after="0"/>
              <w:rPr>
                <w:sz w:val="20"/>
                <w:szCs w:val="20"/>
                <w:color w:val="auto"/>
              </w:rPr>
            </w:pPr>
            <w:r>
              <w:rPr>
                <w:rFonts w:ascii="Arial" w:cs="Arial" w:eastAsia="Arial" w:hAnsi="Arial"/>
                <w:sz w:val="18"/>
                <w:szCs w:val="18"/>
                <w:color w:val="auto"/>
                <w:w w:val="97"/>
              </w:rPr>
              <w:t>58.6%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w w:val="97"/>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Total gross margin</w:t>
            </w:r>
          </w:p>
        </w:tc>
        <w:tc>
          <w:tcPr>
            <w:tcW w:w="300" w:type="dxa"/>
            <w:vAlign w:val="bottom"/>
          </w:tcPr>
          <w:p>
            <w:pPr>
              <w:spacing w:after="0"/>
              <w:rPr>
                <w:sz w:val="21"/>
                <w:szCs w:val="21"/>
                <w:color w:val="auto"/>
              </w:rPr>
            </w:pPr>
          </w:p>
        </w:tc>
        <w:tc>
          <w:tcPr>
            <w:tcW w:w="1520" w:type="dxa"/>
            <w:vAlign w:val="bottom"/>
          </w:tcPr>
          <w:p>
            <w:pPr>
              <w:ind w:left="1020"/>
              <w:spacing w:after="0"/>
              <w:rPr>
                <w:sz w:val="20"/>
                <w:szCs w:val="20"/>
                <w:color w:val="auto"/>
              </w:rPr>
            </w:pPr>
            <w:r>
              <w:rPr>
                <w:rFonts w:ascii="Arial" w:cs="Arial" w:eastAsia="Arial" w:hAnsi="Arial"/>
                <w:sz w:val="18"/>
                <w:szCs w:val="18"/>
                <w:color w:val="auto"/>
                <w:w w:val="93"/>
              </w:rPr>
              <w:t>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ind w:left="1100"/>
              <w:spacing w:after="0"/>
              <w:rPr>
                <w:sz w:val="20"/>
                <w:szCs w:val="20"/>
                <w:color w:val="auto"/>
              </w:rPr>
            </w:pPr>
            <w:r>
              <w:rPr>
                <w:rFonts w:ascii="Arial" w:cs="Arial" w:eastAsia="Arial" w:hAnsi="Arial"/>
                <w:sz w:val="18"/>
                <w:szCs w:val="18"/>
                <w:color w:val="auto"/>
                <w:w w:val="97"/>
              </w:rPr>
              <w:t>75.6%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Total gross margin increased by 2.2 percentage points during the three months ended March 31, 2018 compared to the same period last year, driven by higher margin on service revenue. Service gross margin increased by 2.0 percentage points during the three months ended March 31, 2018 as compared to the same period last year due to the strength of our FortiCare technical support and FortiGuard security subscription revenue growing 35% and 20%, respectively, during the three months ended March 31, 2018 compared to the same period last year. Product gross margin increased by 0.1 percentage point during the three months ended March 31, 2018 compared to the same period last year. Total cost of product revenue was comprised primarily of direct and indirect cost of products sold, inventory reserves and other charges. Cost of service revenue was comprised primarily of personnel costs. The impact of Topic 606 on our gross margin is not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613"/>
              <w:spacing w:after="0"/>
              <w:rPr>
                <w:sz w:val="20"/>
                <w:szCs w:val="20"/>
                <w:color w:val="auto"/>
              </w:rPr>
            </w:pPr>
            <w:r>
              <w:rPr>
                <w:rFonts w:ascii="Arial" w:cs="Arial" w:eastAsia="Arial" w:hAnsi="Arial"/>
                <w:sz w:val="16"/>
                <w:szCs w:val="16"/>
                <w:b w:val="1"/>
                <w:bCs w:val="1"/>
                <w:color w:val="auto"/>
                <w:w w:val="94"/>
              </w:rPr>
              <w:t>March 31,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left="674"/>
              <w:spacing w:after="0"/>
              <w:rPr>
                <w:sz w:val="20"/>
                <w:szCs w:val="20"/>
                <w:color w:val="auto"/>
              </w:rPr>
            </w:pPr>
            <w:r>
              <w:rPr>
                <w:rFonts w:ascii="Arial" w:cs="Arial" w:eastAsia="Arial" w:hAnsi="Arial"/>
                <w:sz w:val="16"/>
                <w:szCs w:val="16"/>
                <w:b w:val="1"/>
                <w:bCs w:val="1"/>
                <w:color w:val="auto"/>
                <w:w w:val="97"/>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2017</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23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center"/>
              <w:ind w:right="233"/>
              <w:spacing w:after="0"/>
              <w:rPr>
                <w:sz w:val="20"/>
                <w:szCs w:val="20"/>
                <w:color w:val="auto"/>
              </w:rPr>
            </w:pPr>
            <w:r>
              <w:rPr>
                <w:rFonts w:ascii="Arial" w:cs="Arial" w:eastAsia="Arial" w:hAnsi="Arial"/>
                <w:sz w:val="18"/>
                <w:szCs w:val="18"/>
                <w:color w:val="auto"/>
                <w:w w:val="94"/>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right="233"/>
              <w:spacing w:after="0"/>
              <w:rPr>
                <w:sz w:val="20"/>
                <w:szCs w:val="20"/>
                <w:color w:val="auto"/>
              </w:rPr>
            </w:pPr>
            <w:r>
              <w:rPr>
                <w:rFonts w:ascii="Arial" w:cs="Arial" w:eastAsia="Arial" w:hAnsi="Arial"/>
                <w:sz w:val="18"/>
                <w:szCs w:val="18"/>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9</w:t>
            </w: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center"/>
              <w:ind w:right="233"/>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center"/>
              <w:ind w:right="233"/>
              <w:spacing w:after="0"/>
              <w:rPr>
                <w:sz w:val="20"/>
                <w:szCs w:val="20"/>
                <w:color w:val="auto"/>
              </w:rPr>
            </w:pPr>
            <w:r>
              <w:rPr>
                <w:rFonts w:ascii="Arial" w:cs="Arial" w:eastAsia="Arial" w:hAnsi="Arial"/>
                <w:sz w:val="18"/>
                <w:szCs w:val="18"/>
                <w:color w:val="auto"/>
                <w:w w:val="94"/>
              </w:rPr>
              <w:t>68%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24.8</w:t>
            </w:r>
          </w:p>
        </w:tc>
        <w:tc>
          <w:tcPr>
            <w:tcW w:w="148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20" w:firstLine="8"/>
        <w:spacing w:after="0" w:line="252" w:lineRule="auto"/>
        <w:tabs>
          <w:tab w:leader="none" w:pos="192"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Operating expenses during the three months ended March 31, 2018 under Topic 606 (As Reported) and 605 (Balances Without Adoption of Topic 606) were as follows (in millions):</w:t>
      </w:r>
    </w:p>
    <w:p>
      <w:pPr>
        <w:spacing w:after="0" w:line="13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Adoption of</w:t>
            </w:r>
          </w:p>
        </w:tc>
        <w:tc>
          <w:tcPr>
            <w:tcW w:w="200" w:type="dxa"/>
            <w:vAlign w:val="bottom"/>
          </w:tcPr>
          <w:p>
            <w:pPr>
              <w:spacing w:after="0"/>
              <w:rPr>
                <w:sz w:val="17"/>
                <w:szCs w:val="17"/>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rPr>
              <w:t>Effect of Change</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200" w:type="dxa"/>
            <w:vAlign w:val="bottom"/>
          </w:tcPr>
          <w:p>
            <w:pPr>
              <w:spacing w:after="0"/>
              <w:rPr>
                <w:sz w:val="18"/>
                <w:szCs w:val="18"/>
                <w:color w:val="auto"/>
              </w:rPr>
            </w:pPr>
          </w:p>
        </w:tc>
        <w:tc>
          <w:tcPr>
            <w:tcW w:w="178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Increase (Decrease)</w:t>
            </w:r>
          </w:p>
        </w:tc>
        <w:tc>
          <w:tcPr>
            <w:tcW w:w="0" w:type="dxa"/>
            <w:vAlign w:val="bottom"/>
          </w:tcPr>
          <w:p>
            <w:pPr>
              <w:spacing w:after="0"/>
              <w:rPr>
                <w:sz w:val="1"/>
                <w:szCs w:val="1"/>
                <w:color w:val="auto"/>
              </w:rPr>
            </w:pPr>
          </w:p>
        </w:tc>
      </w:tr>
      <w:tr>
        <w:trPr>
          <w:trHeight w:val="33"/>
        </w:trPr>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80"/>
              <w:spacing w:after="0"/>
              <w:rPr>
                <w:sz w:val="20"/>
                <w:szCs w:val="20"/>
                <w:color w:val="auto"/>
              </w:rPr>
            </w:pPr>
            <w:r>
              <w:rPr>
                <w:rFonts w:ascii="Arial" w:cs="Arial" w:eastAsia="Arial" w:hAnsi="Arial"/>
                <w:sz w:val="18"/>
                <w:szCs w:val="18"/>
                <w:color w:val="auto"/>
              </w:rPr>
              <w:t>Sales and marketing expenses</w:t>
            </w:r>
          </w:p>
        </w:tc>
        <w:tc>
          <w:tcPr>
            <w:tcW w:w="2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269.4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Research and development expense increased by $7.9 million, or 15%, during the three months ended March 31, 2018 compared to the same period last year, primarily due to an increase of $7.1 million in personnel-related costs as a result of increased headcount to support the development of new products and continued enhancements of our existing products. In addition, depreciation and other occupancy-related costs increased by $0.9 million. We intend to continue to invest in our research and development organization, and expect research and development expense to increase in absolute dollars in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Sales and marketing expense increased by $14.9 million, or 9%, during the three months ended March 31, 2018 compared to the same period last year, primarily due to an increase of $12.0 million in personnel-related costs as sales and marketing headcount increased in order to drive market share gains globally. These increases in personnel costs included a benefit of $11.7 million from the adoption of the new accounting standard related to deferred contract costs. Under this new standard, we capitalized certain commissions on service contracts and amortize the amount over a certain period. Prior to the adoption of this new standard, we expensed the commission related to these service contracts. Our sales and marketing expense would have increased by $26.6 million or 16% under the old accounting standard. Refer to Note 2 in our notes to the condensed consolidated financial statement for more information. Travel and entertainment expense increased by $2.2 million. In addition, depreciation expense and other occupancy-related expense increased by $1.3 million. As a percentage of total revenue, sales and marketing expense decreased primarily due to the benefit from the new accounting standard on deferred contract costs. Excluding this benefit, sales and marketing expense as a percentage of revenue would have been 49% of revenue. We intend to continue to make investments in our sales resources and infrastructure and marketing strategy, which are critical to support growth, and expect sales and marketing expense to increase in absolute dollars in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General and administrative expense increased by $2.4 million, or 11%, during the three months ended March 31, 2018 compared to the same period last year. Personnel costs increased by $3.5 million as we continued to increase headcount in order to support our expanding business. Professional fees increased by $0.9 million, primarily due to the implementation of a new revenue recognition system to support the new accounting rules. The increase in expense was partially offset by a decrease in depreciation and other occupancy-related costs of $1.5 million. We expect general and administrative expense to increase in absolute dollars in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generated operating income of $32.4 million during the three months ended March 31, 2018, an increase of $27.0 million, or 500%, compared to $5.4 million in the same period last year. The improvement in operating income generated was primarily due to the benefit from the adoption of the new accounting standard. As a percentage of total revenue, sales and marketing expenses decreased to 46% in the three months ended March 31,</w:t>
      </w:r>
    </w:p>
    <w:p>
      <w:pPr>
        <w:ind w:right="220"/>
        <w:spacing w:after="0" w:line="323" w:lineRule="auto"/>
        <w:rPr>
          <w:sz w:val="20"/>
          <w:szCs w:val="20"/>
          <w:color w:val="auto"/>
        </w:rPr>
      </w:pPr>
      <w:r>
        <w:rPr>
          <w:rFonts w:ascii="Arial" w:cs="Arial" w:eastAsia="Arial" w:hAnsi="Arial"/>
          <w:sz w:val="16"/>
          <w:szCs w:val="16"/>
          <w:color w:val="auto"/>
        </w:rPr>
        <w:t>2018 from 50% in the same period last year. Excluding the benefit from the adoption of Topic 606, sales and marketing expense as a percentage of revenue would have been 49% of revenue. The adoption of this new standard resulted in an improvement of 4.1 percentage points in our operating margin.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340" w:type="dxa"/>
            <w:vAlign w:val="bottom"/>
          </w:tcPr>
          <w:p>
            <w:pPr>
              <w:jc w:val="center"/>
              <w:ind w:left="357"/>
              <w:spacing w:after="0"/>
              <w:rPr>
                <w:sz w:val="20"/>
                <w:szCs w:val="20"/>
                <w:color w:val="auto"/>
              </w:rPr>
            </w:pPr>
            <w:r>
              <w:rPr>
                <w:rFonts w:ascii="Arial" w:cs="Arial" w:eastAsia="Arial" w:hAnsi="Arial"/>
                <w:sz w:val="16"/>
                <w:szCs w:val="16"/>
                <w:b w:val="1"/>
                <w:bCs w:val="1"/>
                <w:color w:val="auto"/>
                <w:w w:val="94"/>
              </w:rPr>
              <w:t>March 31,</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340" w:type="dxa"/>
            <w:vAlign w:val="bottom"/>
          </w:tcPr>
          <w:p>
            <w:pPr>
              <w:jc w:val="right"/>
              <w:ind w:right="177"/>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55"/>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6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4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500" w:type="dxa"/>
            <w:vAlign w:val="bottom"/>
          </w:tcPr>
          <w:p>
            <w:pPr>
              <w:spacing w:after="0"/>
              <w:rPr>
                <w:sz w:val="21"/>
                <w:szCs w:val="21"/>
                <w:color w:val="auto"/>
              </w:rPr>
            </w:pPr>
          </w:p>
        </w:tc>
        <w:tc>
          <w:tcPr>
            <w:tcW w:w="1780" w:type="dxa"/>
            <w:vAlign w:val="bottom"/>
          </w:tcPr>
          <w:p>
            <w:pPr>
              <w:jc w:val="right"/>
              <w:ind w:right="293"/>
              <w:spacing w:after="0"/>
              <w:rPr>
                <w:sz w:val="20"/>
                <w:szCs w:val="20"/>
                <w:color w:val="auto"/>
              </w:rPr>
            </w:pPr>
            <w:r>
              <w:rPr>
                <w:rFonts w:ascii="Arial" w:cs="Arial" w:eastAsia="Arial" w:hAnsi="Arial"/>
                <w:sz w:val="18"/>
                <w:szCs w:val="18"/>
                <w:color w:val="auto"/>
              </w:rPr>
              <w:t>(0.5)</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(167)</w:t>
            </w:r>
          </w:p>
        </w:tc>
      </w:tr>
    </w:tbl>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Interest income increased during the three months ended March 31, 2018 as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The change in other income (expense)—net during the three months ended March 31, 2018 as compared to the same period last year was primarily due to higher foreign currency exchange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920" w:type="dxa"/>
            <w:vAlign w:val="bottom"/>
            <w:gridSpan w:val="4"/>
          </w:tcPr>
          <w:p>
            <w:pPr>
              <w:jc w:val="right"/>
              <w:ind w:right="111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340" w:type="dxa"/>
            <w:vAlign w:val="bottom"/>
          </w:tcPr>
          <w:p>
            <w:pPr>
              <w:jc w:val="center"/>
              <w:ind w:left="477"/>
              <w:spacing w:after="0"/>
              <w:rPr>
                <w:sz w:val="20"/>
                <w:szCs w:val="20"/>
                <w:color w:val="auto"/>
              </w:rPr>
            </w:pPr>
            <w:r>
              <w:rPr>
                <w:rFonts w:ascii="Arial" w:cs="Arial" w:eastAsia="Arial" w:hAnsi="Arial"/>
                <w:sz w:val="16"/>
                <w:szCs w:val="16"/>
                <w:b w:val="1"/>
                <w:bCs w:val="1"/>
                <w:color w:val="auto"/>
                <w:w w:val="94"/>
              </w:rPr>
              <w:t>March 31,</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ind w:right="53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3"/>
        </w:trPr>
        <w:tc>
          <w:tcPr>
            <w:tcW w:w="3580" w:type="dxa"/>
            <w:vAlign w:val="bottom"/>
          </w:tcPr>
          <w:p>
            <w:pPr>
              <w:spacing w:after="0"/>
              <w:rPr>
                <w:sz w:val="21"/>
                <w:szCs w:val="21"/>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6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15"/>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40" w:type="dxa"/>
            <w:vAlign w:val="bottom"/>
            <w:gridSpan w:val="3"/>
          </w:tcPr>
          <w:p>
            <w:pPr>
              <w:jc w:val="right"/>
              <w:ind w:right="1073"/>
              <w:spacing w:after="0"/>
              <w:rPr>
                <w:sz w:val="20"/>
                <w:szCs w:val="20"/>
                <w:color w:val="auto"/>
              </w:rPr>
            </w:pPr>
            <w:r>
              <w:rPr>
                <w:rFonts w:ascii="Arial" w:cs="Arial" w:eastAsia="Arial" w:hAnsi="Arial"/>
                <w:sz w:val="16"/>
                <w:szCs w:val="16"/>
                <w:b w:val="1"/>
                <w:bCs w:val="1"/>
                <w:color w:val="auto"/>
              </w:rPr>
              <w:t>(in millions, except percentages)</w:t>
            </w:r>
          </w:p>
        </w:tc>
        <w:tc>
          <w:tcPr>
            <w:tcW w:w="164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134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(4.9)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(2.3)</w:t>
            </w:r>
          </w:p>
        </w:tc>
        <w:tc>
          <w:tcPr>
            <w:tcW w:w="16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4"/>
              </w:rPr>
              <w:t>88%</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19%</w:t>
            </w:r>
          </w:p>
        </w:tc>
        <w:tc>
          <w:tcPr>
            <w:tcW w:w="1640" w:type="dxa"/>
            <w:vAlign w:val="bottom"/>
          </w:tcPr>
          <w:p>
            <w:pPr>
              <w:ind w:left="1280"/>
              <w:spacing w:after="0"/>
              <w:rPr>
                <w:sz w:val="20"/>
                <w:szCs w:val="20"/>
                <w:color w:val="auto"/>
              </w:rPr>
            </w:pPr>
            <w:r>
              <w:rPr>
                <w:rFonts w:ascii="Arial" w:cs="Arial" w:eastAsia="Arial" w:hAnsi="Arial"/>
                <w:sz w:val="18"/>
                <w:szCs w:val="18"/>
                <w:color w:val="auto"/>
              </w:rPr>
              <w:t>—</w:t>
            </w:r>
          </w:p>
        </w:tc>
      </w:tr>
    </w:tbl>
    <w:p>
      <w:pPr>
        <w:spacing w:after="0" w:line="206"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Benefit from income taxes during the three months ended March 31, 2018 under Topic 606 (As Reported) and 605 (Balances Without Adoption of Topic</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606) were as follows (in millions):</w:t>
      </w:r>
    </w:p>
    <w:p>
      <w:pPr>
        <w:spacing w:after="0" w:line="15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Balances Without</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Adoption of</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Reported</w:t>
            </w:r>
          </w:p>
        </w:tc>
        <w:tc>
          <w:tcPr>
            <w:tcW w:w="220" w:type="dxa"/>
            <w:vAlign w:val="bottom"/>
          </w:tcPr>
          <w:p>
            <w:pPr>
              <w:spacing w:after="0"/>
              <w:rPr>
                <w:sz w:val="20"/>
                <w:szCs w:val="20"/>
                <w:color w:val="auto"/>
              </w:rPr>
            </w:pPr>
          </w:p>
        </w:tc>
        <w:tc>
          <w:tcPr>
            <w:tcW w:w="1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Topic 606</w:t>
            </w:r>
          </w:p>
        </w:tc>
        <w:tc>
          <w:tcPr>
            <w:tcW w:w="180" w:type="dxa"/>
            <w:vAlign w:val="bottom"/>
          </w:tcPr>
          <w:p>
            <w:pPr>
              <w:spacing w:after="0"/>
              <w:rPr>
                <w:sz w:val="20"/>
                <w:szCs w:val="20"/>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w w:val="91"/>
              </w:rPr>
              <w:t>Increase (Decrease)</w:t>
            </w: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Effective tax rate (%)</w:t>
            </w:r>
          </w:p>
        </w:tc>
        <w:tc>
          <w:tcPr>
            <w:tcW w:w="2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effective tax rate was a tax benefit of 13% for the three months ended March 31, 2018 compared to a tax benefit of 32% for the same period last year, with the primary difference being the change in the federal tax rate to 21% in 2018 from 35% in the prior year. The effective tax rate for the periods presented are comprised of the U.S. federal and state taxes, withholding taxes, and foreign taxes of $8.5 million, which are offset by a tax provision benefit of $5.6 million for stock-based compensation and release of reserve on uncertain tax position including interests of $7.8 million. The tax rate for the three months ended March 31, 2017 was comprised of the U.S. federal and state taxes, withholding taxes and foreign taxes of $2.9 million which were offset by a tax provision benefit of $5.5 million for stock-based compensation.</w:t>
      </w:r>
    </w:p>
    <w:p>
      <w:pPr>
        <w:spacing w:after="0" w:line="19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December 2017, the U.S. federal government enacted the 2017 Tax Act. The 2017 Tax Act reduced the federal corporate income tax rate from 35% to 21% effective January 1, 2018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SEC staff has issued Staff Accounting Bulletin No. 118 (</w:t>
      </w:r>
      <w:r>
        <w:rPr>
          <w:rFonts w:ascii="Arial" w:cs="Arial" w:eastAsia="Arial" w:hAnsi="Arial"/>
          <w:sz w:val="17"/>
          <w:szCs w:val="17"/>
          <w:i w:val="1"/>
          <w:iCs w:val="1"/>
          <w:color w:val="auto"/>
        </w:rPr>
        <w:t>“</w:t>
      </w:r>
      <w:r>
        <w:rPr>
          <w:rFonts w:ascii="Arial" w:cs="Arial" w:eastAsia="Arial" w:hAnsi="Arial"/>
          <w:sz w:val="17"/>
          <w:szCs w:val="17"/>
          <w:color w:val="auto"/>
        </w:rPr>
        <w:t>SAB 118”), which provides guidance on accounting for the tax effects of the 2017 Tax Act. SAB 118 provides a measurement period that should not extend beyond one year from the 2017 Tax Act enactment date for companies to complete the accounting under ASC 740. In accordance with SAB 118, a company must reflect the income tax effects of those aspects of the 2017 Tax Act for which the accounting under ASC 740 is complete. To the extent that a company’s accounting for certain income tax effects of the 2017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provisions of the tax laws that were in effect immediately before the enactment of the 2017 Tax Act. At this time, our income tax reporting for these effects is provisional using reasonable estimates.</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2017 Tax Act creates a new requirement that global intangible low-taxed income (“GILTI”) earned by controlled foreign corporations (“CFCs”) be included currently in the gross income of the CFCs’ U.S. shareholder. Because of the complexity of the new GILTI tax rules, we are continuing to evaluate this provision of the 2017 Tax Act and the application of ASC 740. Under U.S. GAAP, we are allowed to make an accounting policy choice of either (1) treating taxes due on U.S. inclusions in taxable income related to GILTI as a current-period expense when incurred (the “period cost method”) or (2) factoring such amounts into a company’s measurement of its deferred taxes. Our selection of an accounting policy for the first quarter of 2018 with respect to the GILTI tax rules was to treat GILTI tax as a current-period expense under the period cost method.</w:t>
      </w:r>
    </w:p>
    <w:p>
      <w:pPr>
        <w:spacing w:after="0" w:line="17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IRS issued Notice 2018-26 on April 2, 2018, which included allowing a deduction for foreign taxes during 2017 to be allocated to earning and profits calculated as of November 2, 2017. This deduction resulted in a decrease of our transition tax by $3.2 million. We also released unrecognized tax benefits in the first quarter of 2018, which had previously reduced our transition tax. This increased our transition tax by $2.7 million. The net tax provision benefit due to changes in the transition tax calculation was $0.5 million in the first quarter of 2018.</w:t>
      </w:r>
    </w:p>
    <w:p>
      <w:pPr>
        <w:spacing w:after="0" w:line="187"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It is our policy is to include accrued interest and penalties related to uncertain tax benefits in income tax expense. As of March 31, 2018 and December 31, 2017, accrued interest and penalties were $13.4 million and $13.5 million, respectively. It is reasonably possible that our gross unrecognized tax benefits will decrease by up to $7.0 million in the next 12 months, primarily due to the lapse of the statute of limitations and audit settlement. These adjustments, if recognized, would positively impact our effective tax rate, and would be recognized as additional tax benefits.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974"/>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538.3</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1,349.3</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706.1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689.6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2"/>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114.2</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Liquidity and capital resources may be impacted by our operating activities, as well as by our stock repurchases, real estate and other capital expenditures, proceeds associated with stock option exercises and issuances of common stock under our ESPP, payment of taxes in connection with the net settlement of equity awards and business acquisitions. In recent years, we have received significant capital resources as a result of increases in our deferred revenue and the proceeds from exercise of stock options and purchases under our ESPP. Additional increases in deferred revenue may depend on a number of factors including our billing growth rate, service contract renewal rates and length of initial and renewals service contracts. We expect proceeds from the issuance of stock options in future years to be impacted by the increased mix of restricted stock units granted versus stock options and also to vary based on our share price. As of March 31, 2018, $327.3 million remained available for future share repurchase under the Repurchase Program.</w:t>
      </w:r>
    </w:p>
    <w:p>
      <w:pPr>
        <w:spacing w:after="0" w:line="16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Construction on the new headquarters building is expected to start in the second half of 2018. We estimate 2018 spending for this project to be approximately $20 million to $30 million.</w:t>
      </w:r>
    </w:p>
    <w:p>
      <w:pPr>
        <w:spacing w:after="0" w:line="170" w:lineRule="exact"/>
        <w:rPr>
          <w:sz w:val="20"/>
          <w:szCs w:val="20"/>
          <w:color w:val="auto"/>
        </w:rPr>
      </w:pPr>
    </w:p>
    <w:p>
      <w:pPr>
        <w:jc w:val="both"/>
        <w:ind w:right="440" w:firstLine="648"/>
        <w:spacing w:after="0" w:line="286" w:lineRule="auto"/>
        <w:rPr>
          <w:sz w:val="20"/>
          <w:szCs w:val="20"/>
          <w:color w:val="auto"/>
        </w:rPr>
      </w:pPr>
      <w:r>
        <w:rPr>
          <w:rFonts w:ascii="Arial" w:cs="Arial" w:eastAsia="Arial" w:hAnsi="Arial"/>
          <w:sz w:val="17"/>
          <w:szCs w:val="17"/>
          <w:color w:val="auto"/>
        </w:rPr>
        <w:t>As of March 31, 2018, our cash, cash equivalents and investments of $1.39 billion were invested primarily in corporate debt securities, money market funds, certificate of deposits, commercial paper and U.S. government and agency securities. It is our investment policy to invest excess cash in a manner that preserves capital, provides liquidity and maximizes return without significantly increasing risk.</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March 31, 2018, $807.7 million of our cash and investments were held by our international subsidiaries. Under the 2017 Tax Act signed into law in December 2017,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were previously deemed indefinitely reinvested. We expect to be able to repatriate an additional $150.0 million over the remainder of 2018. For those investments from which we were able to make a reasonable estimate of the tax effects of such repatriation, we have recorded a provisional estimate for withholding and state taxes. Most of our off-shore cash is located in Singapore. Corporate law in Singapore only allows dividends to be paid to the extent we have retained earnings in Singapore. In Singapore our retained earnings are lower than our current cash balance.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in connection with the adoption of Topic 606, depreciation of property and equipment, amortization of intangible assets and amortization of investment premiums.</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operating activities during the three months ended March 31, 2018 provided $139.7 million in cash as a result of our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which was partially offset by an increase in accounts receivable. Our total deferred revenue balance grew 27% during the three months ended March 31, 2018 compared to the same period last year.</w:t>
      </w:r>
    </w:p>
    <w:p>
      <w:pPr>
        <w:spacing w:after="0" w:line="18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operating activities during the three months ended March 31, 2017 provided $129.7 million in cash as a result of our continued growth in the sales of FortiGuard security subscriptions and FortiCare support contracts, as well as product sales, and the ability to successfully manage our working capital. The increase in sales of our FortiGuard security subscription and FortiCare technical supports to new and existing customers was reflected in the increase in our deferred revenue. Our total deferred revenue balance grew 31% during the three months ended March 31, 2017 compared to the same period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 that purchasing rather than leasing is more in line with our long-term strategy. We expect to make similar decisions in the future.</w:t>
      </w:r>
    </w:p>
    <w:p>
      <w:pPr>
        <w:spacing w:after="0" w:line="17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During the three months ended March 31, 2018, cash used for investing activities was primarily due to the $11.6 million we spent on capital expenditures and $13.9 million due to purchases of investments, net of maturities, of our investments.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During the three months ended March 31, 2017, cash used for investing activities was primarily due to the $13.5 million we spent on capital expenditures and $17.8 million due to purchases, net of maturities, of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the ESPP, taxes paid related to net share settlement of equity awards and repurchase and retirement of common stock.</w:t>
      </w:r>
    </w:p>
    <w:p>
      <w:pPr>
        <w:spacing w:after="0" w:line="170"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During the three months ended March 31, 2018, cash used for financing activities was $89.6 million, primarily due to $115.5 million used to repurchase our common stock. This was partially offset by $25.9 million of proceeds from the issuance of common stock, net of tax withholding.</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three months ended March 31, 2017, cash provided by financing activities was $15.8 million, representing proceeds from the issuance of common stock, net of tax withholding.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three months ended March 31, 2018 to the contractual obligations and commitments disclosed in Management’s Discussion and Analysis of Financial Condition and Results of Operations, set forth in Part II, Item 7, of the Form 10-K. See Note 9 to the notes to the condensed consolidated financial statements included in Part I, Item 1 of this Quarterly Report on Form 10-Q for additional information regarding contractual obligations and commitments.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2" w:right="29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March 31,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2018 compared to the disclosures in Part II, Item 7A of the Form 10-K.</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March 31, 2018.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2018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January 2018, we implemented certain internal controls over financial reporting in connection with our adoption of ASC Topic 606, Revenue from Contracts with Customers. There were no other changes in our internal control over financial reporting (as defined in Rules 13a-15(f) or 15d-15(f) under the Exchange Act) during the three months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subscriptions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1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retain, sales personnel;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2" w:right="29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w:t>
      </w:r>
    </w:p>
    <w:p>
      <w:pPr>
        <w:spacing w:after="0" w:line="225"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cloud-based platforms on the timing of our revenue recognition, billings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122" w:right="3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7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8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and our failure for any reason to continue to capitalize on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to a lesser extent,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100" w:hanging="644"/>
        <w:spacing w:after="0" w:line="31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of complying with, and the risks and costs of non-compliance with, U.S. or other foreign laws and regulations for foreign operations, including the U.S. Foreign Corrupt Practices Act, the United Kingdom Bribery Act 2010, the General Data Protection Regulation (which will be implemented by the European Union in May 2018), import and export control laws, tariffs, trade barriers and economic sanctions;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8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Such sales are often for a longer contract term and may be at higher discount levels. We also have experienced uneven traction selling to certain government organizations and service providers,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73" w:lineRule="exact"/>
        <w:rPr>
          <w:sz w:val="20"/>
          <w:szCs w:val="20"/>
          <w:color w:val="auto"/>
        </w:rPr>
      </w:pPr>
    </w:p>
    <w:p>
      <w:pPr>
        <w:ind w:left="1300" w:right="4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700" w:hanging="644"/>
        <w:spacing w:after="0" w:line="308" w:lineRule="auto"/>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continued changes in buying behavior by larger customers within this industry could negatively impact our business. Large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and free cash flow. Mismanagement of our inventory, whether due to imprecise forecasting, employee errors or malfeasance, inaccurate information or otherwise, may adversely affect our results of operations.</w:t>
      </w:r>
    </w:p>
    <w:p>
      <w:pPr>
        <w:spacing w:after="0" w:line="1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In February 2018, we underwent a transition in senior management as Drew Del Matto resigned as our Chief Financial Officer and Keith Jensen was appointed as our Interim Chief Financial Officer, and Mr. Jensen was appointed as our Chief Financial Officer effective May 2018. The loss of the services or the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8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which distributes our solutions to a large group of resellers and end-customers, acquired Fine Tec U.S. Since the acquisition of Fine Tec U.S., Exclusive’s business with us has increased and may continue to increase in the future. The two channel partners together accounted for 34% of our total net accounts receivable as of March 31, 2018 and 29% of our total revenue during three months ended March 31, 2018. During the three months ended March 31, 2017, Exclusive Networks Group and Fine Tec Computers, which distributed our solutions to a large group of resellers and end-customers, accounted for 20% and 12% of our total revenue, respectively.</w:t>
      </w:r>
    </w:p>
    <w:p>
      <w:pPr>
        <w:spacing w:after="0" w:line="18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and subscriptions,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6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Our business and operations have experienced growth, and if we do not appropriately manage any future growth, including through the expansion of our real estate holdings, or are unable to improve our systems, processes and controls, our operating results will be negatively affected.</w:t>
      </w:r>
    </w:p>
    <w:p>
      <w:pPr>
        <w:spacing w:after="0" w:line="137" w:lineRule="exact"/>
        <w:rPr>
          <w:sz w:val="20"/>
          <w:szCs w:val="20"/>
          <w:color w:val="auto"/>
        </w:rPr>
      </w:pPr>
    </w:p>
    <w:p>
      <w:pPr>
        <w:ind w:right="40" w:firstLine="648"/>
        <w:spacing w:after="0" w:line="288" w:lineRule="auto"/>
        <w:rPr>
          <w:sz w:val="20"/>
          <w:szCs w:val="20"/>
          <w:color w:val="auto"/>
        </w:rPr>
      </w:pPr>
      <w:r>
        <w:rPr>
          <w:rFonts w:ascii="Arial" w:cs="Arial" w:eastAsia="Arial" w:hAnsi="Arial"/>
          <w:sz w:val="17"/>
          <w:szCs w:val="17"/>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our business continuity and disaster recovery plans and processes,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We purchased office buildings in Ottawa and Burnaby, Canada in 2017, and we have purchased various small buildings adjacent to our Sunnyvale headquarters as we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ERP and CRM systems.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maintenance of our ERP and CRM systems has required, and will continue to require, the investment of significant financial and human resources. In addition, we may choose to upgrade or expand the functionality of our ERP and CRM systems, leading to additional costs. We may also discover deficiencies in our design or maintenance of the ERP or CRM systems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recently implemented new systems to comply with the new revenue recognition standard and may further expand the scope of our ERP and CRM systems. Our operating results may be adversely affected if these upgrades or expansions are delayed or if the systems do not function as intended or are not sufficient to meet our revenue recognition accounting requirements.</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Additionally, in connection with adopting and implementing the new revenue accounting standard, management will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as we work toward implementing the new standard.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Micro-Star International Co., Ltd., Wistron Corporation, Senao Networks, Inc., IBASE Technology, Inc. and a number of manufacturers located in Taiwan and other countries outside the United States.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proprietary SPU, which is the key to the performance of our appliances, is built by contract manufacturers including Faraday, MegaChips Corporation and Renesas.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9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provided guidance with respect to a portion of the conflict minerals filing requirements that somewhat reduced the reporting required,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OCZ,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2" w:right="29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with respect to data privacy, in April 2016, the European Parliament approved the General Data Protection Regulation (the “GDPR”), which will come into effect in May 2018 and supersede current EU data protection regulations. The GDPR will impose stringent data handling requirements on companies that receive or process personal data of residents of the EU, and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Any noncompliance with the GDPR, whether perceived or actual, could also adversely impact our reputation, sales and operating results.</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 See Part II, Item 1 of this Quarterly Report on Form 10-Q for more information on our legal proceedings.</w:t>
      </w:r>
    </w:p>
    <w:p>
      <w:pPr>
        <w:spacing w:after="0" w:line="16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27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 Moreover, efforts to implement changes related to export or import regulations (including the imposition of new border taxes or tariffs on foreign imports), economic sanctions or related policies. For example, in March 2018, the current administration imposed a 25% tariff on steel imports and a 10% tariff on aluminum imports and announced additional tariffs on goods imported from China specifically, as well as certain other countries. We do not expect these tariffs to have a significant effect on our raw material costs. If retaliatory trade measures taken by China or other countries in response to the tariffs cause the cost of our products to increase, we may be required to raise our prices, which may result in the loss of customers and harm to our reputation and operating performance.</w:t>
      </w:r>
    </w:p>
    <w:p>
      <w:pPr>
        <w:spacing w:after="0" w:line="16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the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reengineer our products to use components compatible with these regulations. This reengineering and component substitution could result in additional costs to us or disrupt our operations or logistics.</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122" w:right="31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b w:val="1"/>
          <w:bCs w:val="1"/>
          <w:i w:val="1"/>
          <w:iCs w:val="1"/>
          <w:color w:val="auto"/>
        </w:rPr>
        <w:t>If our internal enterprise IT networks, on which we conduct internal business and interface externally, or our operational networks, through which we connect to customer systems and provide services, are compromised, public perception of our products and services will be harmed, we may become subject to liability, and our business, operating results and stock price may be adversely impacted.</w:t>
      </w:r>
    </w:p>
    <w:p>
      <w:pPr>
        <w:spacing w:after="0" w:line="166"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363"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tax laws and regulations.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Our failure to meet these commitments could adversely impact our provision for income taxes.</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have open tax years that could be subject to the examination by the Internal Revenue Service (the “IRS”) and other tax authorities. Tax authorities in France are currently examining the inter-company relationship between Fortinet, Inc., Fortinet France and Fortinet Singapore. In May 2017, we received a notice from the French tax authorities that an audit was officially opened for tax years from 2007 to 2015. We regularly assess the likelihood of adverse outcomes resulting from such examinations to determine the adequacy of our provision for income taxes.</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122" w:right="31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2017, the U.S. federal government enacted the Tax Cuts and Jobs Act (the “2017 Tax Act”). The 2017 Tax Act significantly changed the existing U.S. corporate income tax laws by, among other things, lowering the corporate tax rate, implementing a territorial tax system and imposing a one-time deemed repatriation tax on cumulative undistributed foreign earnings, for which we have not previously recognized U.S. income taxes. Given the timing, scope and magnitude of the changes enacted by the 2017 Tax Act, along with ongoing implementation efforts, guidance and other developments from U.S. regulatory and standard-setting bodies, the completion of the accounting for certain tax items included in Note 11 to the consolidated financial statements that have been reported as provisional, or where no estimate of the impact was provided as a result of us not having the necessary information, may be subject to material change. Any significant changes to our future effective tax rate, including final resolution of provisional amounts relating to effects of the 2017 Tax Act, may result in a material adverse effect on our business, financial condition, results of operations or cash flows. We will continue to monitor and assess the impact of the 2017 Tax Act and the ongoing guidance and accounting interpretations issued in response to the 2017 Tax Act.</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assets by evaluating both positive and negative evidence that may exist.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Organisation for Economic Co-operation and Development (the “OECD”) has been working on a Base Erosion and Profit Sharing Project, commonly known as BEPS. As part of this project, the OECD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intellectual property, such as patents. For any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negatively impact our ability to provide products and services and could otherwise negatively impact our business.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or the delay of the manufacture, deployment or shipment of our products, our business, financial condition and results of operations would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2" w:right="25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Check Point, Cisco, F5 Networks, FireEye, Forcepoint, Imperva, Juniper, McAfee, Palo Alto Networks, Proofpoint, SonicWALL, Sophos, Symantec and Trend Micro.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several ongoing patent lawsuits, several non-practicing entity patent holding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In either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2017, our internal controls over financial reporting were effective, we cannot predict the outcome of our testing in 2018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or new accounting pronouncements, such as changes to standards related to revenue recognition, equity investment valuation (which became effective for us beginning on January 1, 2018) and accounting for leases (which will become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have adopted the new revenue recognition standard as of January 1, 2018. Refer to Note 1 and Note 2 in the notes to our condensed consolidated financial statements included in this Quarterly Report on Form 10-Q for additional information on the new standard and its potential impact on us.</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new revenue standard is principles based and interpretation of those principles may vary from company to company based on their unique circumstances. Management will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the new equity investment valuation standard, which requires most equity investments to be measured at fair value (with subsequent changes in fair value recognized in net income),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three months ended March 31, 2018, the closing price of our common stock ranged from $43.83 to $54.68 per share.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Share repurchases under our Repurchase Program could increase the volatility of the trading price of our common stock, could diminish our cash reserves, could occur at non-optimal prices and may not result in the most effective use of our capital.</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2017, our board of directors approved the increase in the aggregate authorized repurchase amount under the Repurchase Program by $700.0 million, bringing the total authorization to $1.0 billion. Share repurchases under the Repurchase Program could affect the price of our common stock, increase stock price volatility and diminish our cash reserves. In addition, an announcement of the reduction, suspension or termination of our share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3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March 31, 2018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Number of Shares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Purchased</w:t>
            </w:r>
          </w:p>
        </w:tc>
        <w:tc>
          <w:tcPr>
            <w:tcW w:w="120" w:type="dxa"/>
            <w:vAlign w:val="bottom"/>
            <w:vMerge w:val="restart"/>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2018</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1,477,310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45.02</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1,477,310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2018</w:t>
            </w:r>
          </w:p>
        </w:tc>
        <w:tc>
          <w:tcPr>
            <w:tcW w:w="2060" w:type="dxa"/>
            <w:vAlign w:val="bottom"/>
          </w:tcPr>
          <w:p>
            <w:pPr>
              <w:jc w:val="right"/>
              <w:ind w:right="37"/>
              <w:spacing w:after="0"/>
              <w:rPr>
                <w:sz w:val="20"/>
                <w:szCs w:val="20"/>
                <w:color w:val="auto"/>
              </w:rPr>
            </w:pPr>
            <w:r>
              <w:rPr>
                <w:rFonts w:ascii="Arial" w:cs="Arial" w:eastAsia="Arial" w:hAnsi="Arial"/>
                <w:sz w:val="18"/>
                <w:szCs w:val="18"/>
                <w:color w:val="auto"/>
              </w:rPr>
              <w:t>990,008</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990,008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2018</w:t>
            </w:r>
          </w:p>
        </w:tc>
        <w:tc>
          <w:tcPr>
            <w:tcW w:w="2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45,984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49.70</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45,984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760" w:type="dxa"/>
            <w:vAlign w:val="bottom"/>
            <w:gridSpan w:val="2"/>
          </w:tcPr>
          <w:p>
            <w:pPr>
              <w:spacing w:after="0"/>
              <w:rPr>
                <w:rFonts w:ascii="Arial" w:cs="Arial" w:eastAsia="Arial" w:hAnsi="Arial"/>
                <w:sz w:val="14"/>
                <w:szCs w:val="14"/>
                <w:color w:val="0000FF"/>
              </w:rPr>
            </w:pPr>
            <w:hyperlink w:anchor="page76">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77">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78">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rPr>
              <w:t>Amendment No. 1 to Change of Control Severance Agreement, dated as of May 1, 2018, between the Company and Keith Jensen</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400"/>
        </w:trPr>
        <w:tc>
          <w:tcPr>
            <w:tcW w:w="7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Instance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compensatory plan, contract or arrangement.</w:t>
      </w:r>
    </w:p>
    <w:p>
      <w:pPr>
        <w:spacing w:after="0" w:line="179" w:lineRule="exact"/>
        <w:rPr>
          <w:sz w:val="20"/>
          <w:szCs w:val="20"/>
          <w:color w:val="auto"/>
        </w:rPr>
      </w:pP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240" w:top="122" w:right="51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122" w:right="479" w:bottom="1440" w:gutter="0" w:footer="0" w:header="0"/>
        </w:sectPr>
      </w:pPr>
    </w:p>
    <w:bookmarkStart w:id="72" w:name="page73"/>
    <w:bookmarkEnd w:id="72"/>
    <w:p>
      <w:pPr>
        <w:ind w:left="4880"/>
        <w:spacing w:after="0"/>
        <w:rPr>
          <w:sz w:val="20"/>
          <w:szCs w:val="20"/>
          <w:color w:val="auto"/>
        </w:rPr>
      </w:pPr>
      <w:r>
        <w:rPr>
          <w:rFonts w:ascii="Arial" w:cs="Arial" w:eastAsia="Arial" w:hAnsi="Arial"/>
          <w:sz w:val="22"/>
          <w:szCs w:val="22"/>
          <w:b w:val="1"/>
          <w:bCs w:val="1"/>
          <w:color w:val="auto"/>
        </w:rPr>
        <w:t>FORTINET, INC.</w:t>
      </w: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AMENDMENT NO. 1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OF CONTROL SEVERANCE AGREEMENT</w:t>
      </w:r>
    </w:p>
    <w:p>
      <w:pPr>
        <w:spacing w:after="0" w:line="20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Amendment No. 1 to Change of Control Severance Agreement (this “Amendment”) is made and entered into by and between Keith Jensen (“Executive”) and Fortinet, Inc. (the “Company”), effective as of May 1, 2018 (the “Effective Date”).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53" w:lineRule="auto"/>
        <w:tabs>
          <w:tab w:leader="none" w:pos="105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Company and Executive previously entered into that certain Change of Control Severance Agreement, dated as of February 4, 2016 (the “Agreement”), in order to provide Executive with certain benefits upon termination of employment prior to and following a Change of Control (as defined in the Agreement).</w:t>
      </w:r>
    </w:p>
    <w:p>
      <w:pPr>
        <w:spacing w:after="0" w:line="185" w:lineRule="exact"/>
        <w:rPr>
          <w:rFonts w:ascii="Arial" w:cs="Arial" w:eastAsia="Arial" w:hAnsi="Arial"/>
          <w:sz w:val="22"/>
          <w:szCs w:val="22"/>
          <w:color w:val="auto"/>
        </w:rPr>
      </w:pPr>
    </w:p>
    <w:p>
      <w:pPr>
        <w:ind w:left="1200" w:hanging="544"/>
        <w:spacing w:after="0"/>
        <w:tabs>
          <w:tab w:leader="none" w:pos="1200"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Company and Executive wish to enter into this Amendment in order to clarify the termination date of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AGREEMENT</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NOW, THEREFORE, in consideration of the mutual covenants contained herein, the parties hereto agree as follows:</w:t>
      </w:r>
    </w:p>
    <w:p>
      <w:pPr>
        <w:spacing w:after="0" w:line="220" w:lineRule="exact"/>
        <w:rPr>
          <w:sz w:val="20"/>
          <w:szCs w:val="20"/>
          <w:color w:val="auto"/>
        </w:rPr>
      </w:pPr>
    </w:p>
    <w:p>
      <w:pPr>
        <w:ind w:firstLine="656"/>
        <w:spacing w:after="0" w:line="263" w:lineRule="auto"/>
        <w:tabs>
          <w:tab w:leader="none" w:pos="1459" w:val="left"/>
        </w:tabs>
        <w:numPr>
          <w:ilvl w:val="0"/>
          <w:numId w:val="43"/>
        </w:numPr>
        <w:rPr>
          <w:rFonts w:ascii="Arial" w:cs="Arial" w:eastAsia="Arial" w:hAnsi="Arial"/>
          <w:sz w:val="22"/>
          <w:szCs w:val="22"/>
          <w:color w:val="010000"/>
        </w:rPr>
      </w:pPr>
      <w:r>
        <w:rPr>
          <w:rFonts w:ascii="Arial" w:cs="Arial" w:eastAsia="Arial" w:hAnsi="Arial"/>
          <w:sz w:val="22"/>
          <w:szCs w:val="22"/>
          <w:u w:val="single" w:color="auto"/>
          <w:color w:val="auto"/>
        </w:rPr>
        <w:t>Amendment to Section 8 of the Agreement</w:t>
      </w:r>
      <w:r>
        <w:rPr>
          <w:rFonts w:ascii="Arial" w:cs="Arial" w:eastAsia="Arial" w:hAnsi="Arial"/>
          <w:sz w:val="22"/>
          <w:szCs w:val="22"/>
          <w:color w:val="auto"/>
        </w:rPr>
        <w:t>. Section 8 of the Agreement is hereby amended and restated in its entirety to read as follows.</w:t>
      </w:r>
    </w:p>
    <w:p>
      <w:pPr>
        <w:spacing w:after="0" w:line="175" w:lineRule="exact"/>
        <w:rPr>
          <w:sz w:val="20"/>
          <w:szCs w:val="20"/>
          <w:color w:val="auto"/>
        </w:rPr>
      </w:pPr>
    </w:p>
    <w:p>
      <w:pPr>
        <w:jc w:val="both"/>
        <w:ind w:left="1960" w:right="20" w:hanging="659"/>
        <w:spacing w:after="0" w:line="312" w:lineRule="auto"/>
        <w:tabs>
          <w:tab w:leader="none" w:pos="194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9"/>
          <w:szCs w:val="19"/>
          <w:u w:val="single" w:color="auto"/>
          <w:color w:val="auto"/>
        </w:rPr>
        <w:t>Term of Agreement</w:t>
      </w:r>
      <w:r>
        <w:rPr>
          <w:rFonts w:ascii="Arial" w:cs="Arial" w:eastAsia="Arial" w:hAnsi="Arial"/>
          <w:sz w:val="19"/>
          <w:szCs w:val="19"/>
          <w:color w:val="auto"/>
        </w:rPr>
        <w:t>. This Agreement shall terminate on August 7, 2019 (the “Termination Date”) and shall not be subject to renewal, unless a Change of Control occurs prior to the Termination Date, in which case this Agreement will continue until all payments and benefits, if any, have been made to Executive.”</w:t>
      </w:r>
    </w:p>
    <w:p>
      <w:pPr>
        <w:spacing w:after="0" w:line="134" w:lineRule="exact"/>
        <w:rPr>
          <w:sz w:val="20"/>
          <w:szCs w:val="20"/>
          <w:color w:val="auto"/>
        </w:rPr>
      </w:pPr>
    </w:p>
    <w:p>
      <w:pPr>
        <w:ind w:firstLine="656"/>
        <w:spacing w:after="0" w:line="276" w:lineRule="auto"/>
        <w:tabs>
          <w:tab w:leader="none" w:pos="990"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Full Force and Effect</w:t>
      </w:r>
      <w:r>
        <w:rPr>
          <w:rFonts w:ascii="Arial" w:cs="Arial" w:eastAsia="Arial" w:hAnsi="Arial"/>
          <w:sz w:val="22"/>
          <w:szCs w:val="22"/>
          <w:color w:val="auto"/>
        </w:rPr>
        <w:t>. Except as expressly modified by this Amendment, the terms of the Agreement shall remain in full force and effect.</w:t>
      </w:r>
    </w:p>
    <w:p>
      <w:pPr>
        <w:spacing w:after="0" w:line="160" w:lineRule="exact"/>
        <w:rPr>
          <w:rFonts w:ascii="Arial" w:cs="Arial" w:eastAsia="Arial" w:hAnsi="Arial"/>
          <w:sz w:val="22"/>
          <w:szCs w:val="22"/>
          <w:color w:val="010000"/>
        </w:rPr>
      </w:pPr>
    </w:p>
    <w:p>
      <w:pPr>
        <w:ind w:firstLine="656"/>
        <w:spacing w:after="0" w:line="276" w:lineRule="auto"/>
        <w:tabs>
          <w:tab w:leader="none" w:pos="1031"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Amendment will be governed by the laws of the State of California (with the exception of its conflict of laws provisions).</w:t>
      </w:r>
    </w:p>
    <w:p>
      <w:pPr>
        <w:spacing w:after="0" w:line="160" w:lineRule="exact"/>
        <w:rPr>
          <w:rFonts w:ascii="Arial" w:cs="Arial" w:eastAsia="Arial" w:hAnsi="Arial"/>
          <w:sz w:val="22"/>
          <w:szCs w:val="22"/>
          <w:color w:val="010000"/>
        </w:rPr>
      </w:pPr>
    </w:p>
    <w:p>
      <w:pPr>
        <w:ind w:right="20" w:firstLine="656"/>
        <w:spacing w:after="0" w:line="276" w:lineRule="auto"/>
        <w:tabs>
          <w:tab w:leader="none" w:pos="990"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Amendment, together with the Agreement, constitutes the entire agreement of the parties hereto with respect to the subject matter described herein.</w:t>
      </w:r>
    </w:p>
    <w:p>
      <w:pPr>
        <w:spacing w:after="0" w:line="160" w:lineRule="exact"/>
        <w:rPr>
          <w:rFonts w:ascii="Arial" w:cs="Arial" w:eastAsia="Arial" w:hAnsi="Arial"/>
          <w:sz w:val="22"/>
          <w:szCs w:val="22"/>
          <w:color w:val="010000"/>
        </w:rPr>
      </w:pPr>
    </w:p>
    <w:p>
      <w:pPr>
        <w:ind w:firstLine="656"/>
        <w:spacing w:after="0" w:line="276" w:lineRule="auto"/>
        <w:tabs>
          <w:tab w:leader="none" w:pos="1058" w:val="left"/>
        </w:tabs>
        <w:numPr>
          <w:ilvl w:val="0"/>
          <w:numId w:val="44"/>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Amendment will not affect the validity or enforceability of any other provision hereof, which will remain in full force and effect.</w:t>
      </w:r>
    </w:p>
    <w:p>
      <w:pPr>
        <w:sectPr>
          <w:pgSz w:w="11900" w:h="16838" w:orient="portrait"/>
          <w:cols w:equalWidth="0" w:num="1">
            <w:col w:w="11420"/>
          </w:cols>
          <w:pgMar w:left="240" w:top="625" w:right="239" w:bottom="1440" w:gutter="0" w:footer="0" w:header="0"/>
        </w:sectPr>
      </w:pPr>
    </w:p>
    <w:bookmarkStart w:id="73" w:name="page74"/>
    <w:bookmarkEnd w:id="73"/>
    <w:p>
      <w:pPr>
        <w:ind w:left="-20" w:firstLine="656"/>
        <w:spacing w:after="0" w:line="276" w:lineRule="auto"/>
        <w:tabs>
          <w:tab w:leader="none" w:pos="1011" w:val="left"/>
        </w:tabs>
        <w:numPr>
          <w:ilvl w:val="0"/>
          <w:numId w:val="45"/>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each of which will be deemed an original, but all of which together will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00"/>
          </w:cols>
          <w:pgMar w:left="260" w:top="375" w:right="239" w:bottom="1440" w:gutter="0" w:footer="0" w:header="0"/>
        </w:sectPr>
      </w:pPr>
    </w:p>
    <w:bookmarkStart w:id="74" w:name="page75"/>
    <w:bookmarkEnd w:id="74"/>
    <w:p>
      <w:pPr>
        <w:ind w:firstLine="648"/>
        <w:spacing w:after="0" w:line="287" w:lineRule="auto"/>
        <w:rPr>
          <w:sz w:val="20"/>
          <w:szCs w:val="20"/>
          <w:color w:val="auto"/>
        </w:rPr>
      </w:pPr>
      <w:r>
        <w:rPr>
          <w:rFonts w:ascii="Arial" w:cs="Arial" w:eastAsia="Arial" w:hAnsi="Arial"/>
          <w:sz w:val="21"/>
          <w:szCs w:val="21"/>
          <w:color w:val="auto"/>
        </w:rPr>
        <w:t>IN WITNESS WHEREOF, each of the parties has executed this Amendment No. 1 to Change of Control Severance Agreement, in the case of the Company by its duly authorized officer, as of the day and year set forth below.</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275"/>
        </w:trPr>
        <w:tc>
          <w:tcPr>
            <w:tcW w:w="6140" w:type="dxa"/>
            <w:vAlign w:val="bottom"/>
          </w:tcPr>
          <w:p>
            <w:pPr>
              <w:spacing w:after="0"/>
              <w:rPr>
                <w:sz w:val="20"/>
                <w:szCs w:val="20"/>
                <w:color w:val="auto"/>
              </w:rPr>
            </w:pPr>
            <w:r>
              <w:rPr>
                <w:rFonts w:ascii="Arial" w:cs="Arial" w:eastAsia="Arial" w:hAnsi="Arial"/>
                <w:sz w:val="22"/>
                <w:szCs w:val="22"/>
                <w:color w:val="auto"/>
              </w:rPr>
              <w:t>COMPANY</w:t>
            </w:r>
          </w:p>
        </w:tc>
        <w:tc>
          <w:tcPr>
            <w:tcW w:w="4620" w:type="dxa"/>
            <w:vAlign w:val="bottom"/>
          </w:tcPr>
          <w:p>
            <w:pPr>
              <w:ind w:left="20"/>
              <w:spacing w:after="0"/>
              <w:rPr>
                <w:sz w:val="20"/>
                <w:szCs w:val="20"/>
                <w:color w:val="auto"/>
              </w:rPr>
            </w:pPr>
            <w:r>
              <w:rPr>
                <w:rFonts w:ascii="Arial" w:cs="Arial" w:eastAsia="Arial" w:hAnsi="Arial"/>
                <w:sz w:val="22"/>
                <w:szCs w:val="22"/>
                <w:color w:val="auto"/>
              </w:rPr>
              <w:t>FORTINET, INC.</w:t>
            </w:r>
          </w:p>
        </w:tc>
      </w:tr>
      <w:tr>
        <w:trPr>
          <w:trHeight w:val="908"/>
        </w:trPr>
        <w:tc>
          <w:tcPr>
            <w:tcW w:w="6140" w:type="dxa"/>
            <w:vAlign w:val="bottom"/>
          </w:tcPr>
          <w:p>
            <w:pPr>
              <w:ind w:left="5400"/>
              <w:spacing w:after="0"/>
              <w:rPr>
                <w:sz w:val="20"/>
                <w:szCs w:val="20"/>
                <w:color w:val="auto"/>
              </w:rPr>
            </w:pPr>
            <w:r>
              <w:rPr>
                <w:rFonts w:ascii="Arial" w:cs="Arial" w:eastAsia="Arial" w:hAnsi="Arial"/>
                <w:sz w:val="18"/>
                <w:szCs w:val="18"/>
                <w:color w:val="auto"/>
              </w:rPr>
              <w:t>By:</w:t>
            </w:r>
          </w:p>
        </w:tc>
        <w:tc>
          <w:tcPr>
            <w:tcW w:w="4620" w:type="dxa"/>
            <w:vAlign w:val="bottom"/>
          </w:tcPr>
          <w:p>
            <w:pPr>
              <w:ind w:left="20"/>
              <w:spacing w:after="0"/>
              <w:rPr>
                <w:sz w:val="20"/>
                <w:szCs w:val="20"/>
                <w:color w:val="auto"/>
              </w:rPr>
            </w:pPr>
            <w:r>
              <w:rPr>
                <w:rFonts w:ascii="Arial" w:cs="Arial" w:eastAsia="Arial" w:hAnsi="Arial"/>
                <w:sz w:val="18"/>
                <w:szCs w:val="18"/>
                <w:color w:val="auto"/>
              </w:rPr>
              <w:t>/s/ Ken Xie</w:t>
            </w:r>
          </w:p>
        </w:tc>
      </w:tr>
      <w:tr>
        <w:trPr>
          <w:trHeight w:val="27"/>
        </w:trPr>
        <w:tc>
          <w:tcPr>
            <w:tcW w:w="614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70"/>
        </w:trPr>
        <w:tc>
          <w:tcPr>
            <w:tcW w:w="6140" w:type="dxa"/>
            <w:vAlign w:val="bottom"/>
          </w:tcPr>
          <w:p>
            <w:pPr>
              <w:ind w:left="5400"/>
              <w:spacing w:after="0"/>
              <w:rPr>
                <w:sz w:val="20"/>
                <w:szCs w:val="20"/>
                <w:color w:val="auto"/>
              </w:rPr>
            </w:pPr>
            <w:r>
              <w:rPr>
                <w:rFonts w:ascii="Arial" w:cs="Arial" w:eastAsia="Arial" w:hAnsi="Arial"/>
                <w:sz w:val="18"/>
                <w:szCs w:val="18"/>
                <w:color w:val="auto"/>
              </w:rPr>
              <w:t>Title:</w:t>
            </w:r>
          </w:p>
        </w:tc>
        <w:tc>
          <w:tcPr>
            <w:tcW w:w="4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699"/>
        </w:trPr>
        <w:tc>
          <w:tcPr>
            <w:tcW w:w="6140" w:type="dxa"/>
            <w:vAlign w:val="bottom"/>
          </w:tcPr>
          <w:p>
            <w:pPr>
              <w:spacing w:after="0"/>
              <w:rPr>
                <w:sz w:val="20"/>
                <w:szCs w:val="20"/>
                <w:color w:val="auto"/>
              </w:rPr>
            </w:pPr>
            <w:r>
              <w:rPr>
                <w:rFonts w:ascii="Arial" w:cs="Arial" w:eastAsia="Arial" w:hAnsi="Arial"/>
                <w:sz w:val="22"/>
                <w:szCs w:val="22"/>
                <w:color w:val="auto"/>
              </w:rPr>
              <w:t>EXECUTIVE</w:t>
            </w:r>
          </w:p>
        </w:tc>
        <w:tc>
          <w:tcPr>
            <w:tcW w:w="4620" w:type="dxa"/>
            <w:vAlign w:val="bottom"/>
          </w:tcPr>
          <w:p>
            <w:pPr>
              <w:spacing w:after="0"/>
              <w:rPr>
                <w:sz w:val="24"/>
                <w:szCs w:val="24"/>
                <w:color w:val="auto"/>
              </w:rPr>
            </w:pPr>
          </w:p>
        </w:tc>
      </w:tr>
      <w:tr>
        <w:trPr>
          <w:trHeight w:val="908"/>
        </w:trPr>
        <w:tc>
          <w:tcPr>
            <w:tcW w:w="6140" w:type="dxa"/>
            <w:vAlign w:val="bottom"/>
          </w:tcPr>
          <w:p>
            <w:pPr>
              <w:ind w:left="5400"/>
              <w:spacing w:after="0"/>
              <w:rPr>
                <w:sz w:val="20"/>
                <w:szCs w:val="20"/>
                <w:color w:val="auto"/>
              </w:rPr>
            </w:pPr>
            <w:r>
              <w:rPr>
                <w:rFonts w:ascii="Arial" w:cs="Arial" w:eastAsia="Arial" w:hAnsi="Arial"/>
                <w:sz w:val="18"/>
                <w:szCs w:val="18"/>
                <w:color w:val="auto"/>
              </w:rPr>
              <w:t>By:</w:t>
            </w:r>
          </w:p>
        </w:tc>
        <w:tc>
          <w:tcPr>
            <w:tcW w:w="4620" w:type="dxa"/>
            <w:vAlign w:val="bottom"/>
          </w:tcPr>
          <w:p>
            <w:pPr>
              <w:ind w:left="20"/>
              <w:spacing w:after="0"/>
              <w:rPr>
                <w:sz w:val="20"/>
                <w:szCs w:val="20"/>
                <w:color w:val="auto"/>
              </w:rPr>
            </w:pPr>
            <w:r>
              <w:rPr>
                <w:rFonts w:ascii="Arial" w:cs="Arial" w:eastAsia="Arial" w:hAnsi="Arial"/>
                <w:sz w:val="18"/>
                <w:szCs w:val="18"/>
                <w:color w:val="auto"/>
              </w:rPr>
              <w:t>/s/ Keith Jensen</w:t>
            </w:r>
          </w:p>
        </w:tc>
      </w:tr>
      <w:tr>
        <w:trPr>
          <w:trHeight w:val="27"/>
        </w:trPr>
        <w:tc>
          <w:tcPr>
            <w:tcW w:w="614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61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Keith Jensen</w:t>
            </w:r>
          </w:p>
        </w:tc>
      </w:tr>
      <w:tr>
        <w:trPr>
          <w:trHeight w:val="256"/>
        </w:trPr>
        <w:tc>
          <w:tcPr>
            <w:tcW w:w="6140" w:type="dxa"/>
            <w:vAlign w:val="bottom"/>
          </w:tcPr>
          <w:p>
            <w:pPr>
              <w:ind w:left="5400"/>
              <w:spacing w:after="0"/>
              <w:rPr>
                <w:sz w:val="20"/>
                <w:szCs w:val="20"/>
                <w:color w:val="auto"/>
              </w:rPr>
            </w:pPr>
            <w:r>
              <w:rPr>
                <w:rFonts w:ascii="Arial" w:cs="Arial" w:eastAsia="Arial" w:hAnsi="Arial"/>
                <w:sz w:val="18"/>
                <w:szCs w:val="18"/>
                <w:color w:val="auto"/>
              </w:rPr>
              <w:t>Title:</w:t>
            </w:r>
          </w:p>
        </w:tc>
        <w:tc>
          <w:tcPr>
            <w:tcW w:w="462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614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63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2018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7, 2018</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March 31, 2018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7, 2018</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2"/>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3"/>
    </w:lvl>
  </w:abstractNum>
  <w:abstractNum w:abstractNumId="7">
    <w:nsid w:val="71F32454"/>
    <w:multiLevelType w:val="hybridMultilevel"/>
    <w:lvl w:ilvl="0">
      <w:lvlJc w:val="left"/>
      <w:lvlText w:val="%1."/>
      <w:numFmt w:val="decimal"/>
      <w:start w:val="4"/>
    </w:lvl>
  </w:abstractNum>
  <w:abstractNum w:abstractNumId="8">
    <w:nsid w:val="2CA88611"/>
    <w:multiLevelType w:val="hybridMultilevel"/>
    <w:lvl w:ilvl="0">
      <w:lvlJc w:val="left"/>
      <w:lvlText w:val="%1."/>
      <w:numFmt w:val="decimal"/>
      <w:start w:val="5"/>
    </w:lvl>
  </w:abstractNum>
  <w:abstractNum w:abstractNumId="9">
    <w:nsid w:val="836C40E"/>
    <w:multiLevelType w:val="hybridMultilevel"/>
    <w:lvl w:ilvl="0">
      <w:lvlJc w:val="left"/>
      <w:lvlText w:val="%1."/>
      <w:numFmt w:val="decimal"/>
      <w:start w:val="6"/>
    </w:lvl>
  </w:abstractNum>
  <w:abstractNum w:abstractNumId="10">
    <w:nsid w:val="2901D82"/>
    <w:multiLevelType w:val="hybridMultilevel"/>
    <w:lvl w:ilvl="0">
      <w:lvlJc w:val="left"/>
      <w:lvlText w:val="%1."/>
      <w:numFmt w:val="decimal"/>
      <w:start w:val="7"/>
    </w:lvl>
  </w:abstractNum>
  <w:abstractNum w:abstractNumId="11">
    <w:nsid w:val="3A95F874"/>
    <w:multiLevelType w:val="hybridMultilevel"/>
    <w:lvl w:ilvl="0">
      <w:lvlJc w:val="left"/>
      <w:lvlText w:val="%1."/>
      <w:numFmt w:val="decimal"/>
      <w:start w:val="8"/>
    </w:lvl>
  </w:abstractNum>
  <w:abstractNum w:abstractNumId="12">
    <w:nsid w:val="8138641"/>
    <w:multiLevelType w:val="hybridMultilevel"/>
    <w:lvl w:ilvl="0">
      <w:lvlJc w:val="left"/>
      <w:lvlText w:val="%1."/>
      <w:numFmt w:val="decimal"/>
      <w:start w:val="9"/>
    </w:lvl>
  </w:abstractNum>
  <w:abstractNum w:abstractNumId="13">
    <w:nsid w:val="1E7FF521"/>
    <w:multiLevelType w:val="hybridMultilevel"/>
    <w:lvl w:ilvl="0">
      <w:lvlJc w:val="left"/>
      <w:lvlText w:val="%1."/>
      <w:numFmt w:val="decimal"/>
      <w:start w:val="10"/>
    </w:lvl>
  </w:abstractNum>
  <w:abstractNum w:abstractNumId="14">
    <w:nsid w:val="7C3DBD3D"/>
    <w:multiLevelType w:val="hybridMultilevel"/>
    <w:lvl w:ilvl="0">
      <w:lvlJc w:val="left"/>
      <w:lvlText w:val="%1."/>
      <w:numFmt w:val="decimal"/>
      <w:start w:val="11"/>
    </w:lvl>
  </w:abstractNum>
  <w:abstractNum w:abstractNumId="15">
    <w:nsid w:val="737B8DDC"/>
    <w:multiLevelType w:val="hybridMultilevel"/>
    <w:lvl w:ilvl="0">
      <w:lvlJc w:val="left"/>
      <w:lvlText w:val="%1."/>
      <w:numFmt w:val="decimal"/>
      <w:start w:val="12"/>
    </w:lvl>
  </w:abstractNum>
  <w:abstractNum w:abstractNumId="16">
    <w:nsid w:val="6CEAF087"/>
    <w:multiLevelType w:val="hybridMultilevel"/>
    <w:lvl w:ilvl="0">
      <w:lvlJc w:val="left"/>
      <w:lvlText w:val="%1."/>
      <w:numFmt w:val="decimal"/>
      <w:start w:val="13"/>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4"/>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2"/>
    </w:lvl>
  </w:abstractNum>
  <w:abstractNum w:abstractNumId="44">
    <w:nsid w:val="4B588F54"/>
    <w:multiLevelType w:val="hybridMultilevel"/>
    <w:lvl w:ilvl="0">
      <w:lvlJc w:val="left"/>
      <w:lvlText w:val="%1."/>
      <w:numFmt w:val="decimal"/>
      <w:start w:val="6"/>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2019-12-28T22:25:45Z</dcterms:created>
  <dcterms:modified xsi:type="dcterms:W3CDTF">2019-12-28T22:25:45Z</dcterms:modified>
</cp:coreProperties>
</file>