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UNITED STATES</w:t>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6"/>
        </w:rPr>
        <w:t>FORM 10-K</w:t>
      </w:r>
      <w:r>
        <w:rPr>
          <w:color w:val="000000"/>
        </w:rPr>
        <w:t> </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80" w:after="283"/>
        <w:jc w:val="center"/>
        <w:rPr/>
      </w:pPr>
      <w:r>
        <w:rPr>
          <w:color w:val="000000"/>
        </w:rPr>
        <w:t> </w:t>
      </w: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001-34511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28"/>
        </w:rPr>
        <w:t xml:space="preserve">FORTINET,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tbl>
      <w:tblPr>
        <w:tblW w:w="4005" w:type="dxa"/>
        <w:jc w:val="center"/>
        <w:tblInd w:w="0" w:type="dxa"/>
        <w:tblLayout w:type="fixed"/>
        <w:tblCellMar>
          <w:top w:w="28" w:type="dxa"/>
          <w:left w:w="28" w:type="dxa"/>
          <w:bottom w:w="28" w:type="dxa"/>
          <w:right w:w="28" w:type="dxa"/>
        </w:tblCellMar>
      </w:tblPr>
      <w:tblGrid>
        <w:gridCol w:w="883"/>
        <w:gridCol w:w="777"/>
        <w:gridCol w:w="785"/>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77-0560389</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(State or other jurisdiction of</w:t>
              <w:br/>
              <w:t>incorporation or organization)</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(I.R.S. Employer</w:t>
              <w:br/>
              <w:t>Identification No.)</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909 Kifer Road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Sunnyvale, California 94086 </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(408) 235-7700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0"/>
        </w:rPr>
        <w:t>Securities registered pursuant to Section 12(b) of the Act:</w:t>
      </w:r>
      <w:r>
        <w:rPr>
          <w:color w:val="000000"/>
        </w:rPr>
        <w:t> </w:t>
      </w:r>
    </w:p>
    <w:tbl>
      <w:tblPr>
        <w:tblW w:w="8467" w:type="dxa"/>
        <w:jc w:val="left"/>
        <w:tblInd w:w="0" w:type="dxa"/>
        <w:tblLayout w:type="fixed"/>
        <w:tblCellMar>
          <w:top w:w="28" w:type="dxa"/>
          <w:left w:w="28" w:type="dxa"/>
          <w:bottom w:w="28" w:type="dxa"/>
          <w:right w:w="28" w:type="dxa"/>
        </w:tblCellMar>
      </w:tblPr>
      <w:tblGrid>
        <w:gridCol w:w="1074"/>
        <w:gridCol w:w="945"/>
        <w:gridCol w:w="951"/>
        <w:gridCol w:w="109"/>
        <w:gridCol w:w="109"/>
        <w:gridCol w:w="109"/>
        <w:gridCol w:w="454"/>
        <w:gridCol w:w="454"/>
        <w:gridCol w:w="456"/>
        <w:gridCol w:w="109"/>
        <w:gridCol w:w="109"/>
        <w:gridCol w:w="109"/>
        <w:gridCol w:w="1019"/>
        <w:gridCol w:w="1019"/>
        <w:gridCol w:w="1441"/>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FTNT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if the registrant is a well-known seasoned issuer, as defined in Rule 405 of the Securities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if the registrant is not required to file reports pursuant to Section 13 or Section 15(d) of the Act.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315"/>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 </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ind w:left="0" w:right="0" w:firstLine="315"/>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0" w:after="0"/>
        <w:ind w:left="0" w:right="0" w:firstLine="315"/>
        <w:jc w:val="left"/>
        <w:rPr/>
      </w:pPr>
      <w:r>
        <w:rPr/>
      </w:r>
    </w:p>
    <w:p>
      <w:pPr>
        <w:pStyle w:val="TextBody"/>
        <w:bidi w:val="0"/>
        <w:spacing w:lineRule="auto" w:line="268" w:before="0" w:after="0"/>
        <w:ind w:left="0" w:right="0" w:firstLine="315"/>
        <w:jc w:val="left"/>
        <w:rPr/>
      </w:pPr>
      <w:r>
        <w:rPr>
          <w:rFonts w:ascii="Times New Roman;serif" w:hAnsi="Times New Roman;serif"/>
          <w:b w:val="false"/>
          <w:color w:val="000000"/>
          <w:sz w:val="20"/>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ind w:left="0" w:right="0" w:firstLine="315"/>
        <w:jc w:val="left"/>
        <w:rPr/>
      </w:pPr>
      <w:r>
        <w:rPr/>
      </w:r>
    </w:p>
    <w:p>
      <w:pPr>
        <w:pStyle w:val="TextBody"/>
        <w:bidi w:val="0"/>
        <w:spacing w:lineRule="auto" w:line="288" w:before="0" w:after="0"/>
        <w:ind w:left="0" w:right="0" w:firstLine="315"/>
        <w:jc w:val="left"/>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180" w:after="283"/>
        <w:ind w:left="0" w:right="0" w:firstLine="315"/>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The aggregate market value of voting stock held by non-affiliates of the registrant, as of June 30, 2025, the last business day of the registrant’s most recently completed second quarter, was $56,846,175,983 (based on the closing price for shares of the registrant’s common stock as reported by The Nasdaq Global Select Market on that date). Shares of common stock held by each executive officer, director, and holder of 5% or more of the registrant’s outstanding common stock have been excluded in that such persons may be deemed to be affiliates. This determination of affiliate status is not necessarily a conclusive determination for other purposes.</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As of February 20, 2026, there were 739,923,583 shares of the registrant’s common stock outstanding.</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DOCUMENTS INCORPORATED BY REFERENCE</w:t>
      </w:r>
    </w:p>
    <w:p>
      <w:pPr>
        <w:pStyle w:val="TextBody"/>
        <w:bidi w:val="0"/>
        <w:spacing w:lineRule="auto" w:line="288" w:before="18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Portions of the registrant’s definitive Proxy Statement relating to its 2026 Annual Meeting of Stockholders (“Proxy Statement”) are incorporated by reference into Part III of this Annual Report on Form 10-K where indicated. Such Proxy Statement will be filed with the United States Securities and Exchange Commission within 120 days after the end of the fiscal year to which this report relates.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FORTINET,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3"/>
        <w:gridCol w:w="257"/>
        <w:gridCol w:w="261"/>
        <w:gridCol w:w="2966"/>
        <w:gridCol w:w="2951"/>
        <w:gridCol w:w="2963"/>
        <w:gridCol w:w="149"/>
        <w:gridCol w:w="149"/>
        <w:gridCol w:w="216"/>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6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0">
              <w:r>
                <w:rPr>
                  <w:rStyle w:val="InternetLink"/>
                  <w:rFonts w:ascii="Times New Roman;serif" w:hAnsi="Times New Roman;serif"/>
                  <w:b w:val="false"/>
                  <w:color w:val="0000FF"/>
                  <w:sz w:val="20"/>
                  <w:u w:val="single"/>
                </w:rPr>
                <w:t>Risk Factor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0">
              <w:r>
                <w:rPr>
                  <w:rStyle w:val="InternetLink"/>
                  <w:rFonts w:ascii="Times New Roman;serif" w:hAnsi="Times New Roman;serif"/>
                  <w:b w:val="false"/>
                  <w:color w:val="0000FF"/>
                  <w:sz w:val="20"/>
                  <w:u w:val="single"/>
                </w:rPr>
                <w:t>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6">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6">
              <w:r>
                <w:rPr>
                  <w:rStyle w:val="InternetLink"/>
                  <w:rFonts w:ascii="Times New Roman;serif" w:hAnsi="Times New Roman;serif"/>
                  <w:b w:val="false"/>
                  <w:color w:val="0000FF"/>
                  <w:sz w:val="20"/>
                  <w:u w:val="single"/>
                </w:rPr>
                <w:t>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9">
              <w:r>
                <w:rPr>
                  <w:rStyle w:val="InternetLink"/>
                  <w:rFonts w:ascii="Times New Roman;serif" w:hAnsi="Times New Roman;serif"/>
                  <w:b w:val="false"/>
                  <w:color w:val="0000FF"/>
                  <w:sz w:val="20"/>
                  <w:u w:val="single"/>
                </w:rPr>
                <w:t>12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2">
              <w:r>
                <w:rPr>
                  <w:rStyle w:val="InternetLink"/>
                  <w:rFonts w:ascii="Times New Roman;serif" w:hAnsi="Times New Roman;serif"/>
                  <w:b w:val="false"/>
                  <w:color w:val="0000FF"/>
                  <w:sz w:val="20"/>
                  <w:u w:val="single"/>
                </w:rPr>
                <w:t>48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5">
              <w:r>
                <w:rPr>
                  <w:rStyle w:val="InternetLink"/>
                  <w:rFonts w:ascii="Times New Roman;serif" w:hAnsi="Times New Roman;serif"/>
                  <w:b w:val="false"/>
                  <w:color w:val="0000FF"/>
                  <w:sz w:val="20"/>
                  <w:u w:val="single"/>
                </w:rPr>
                <w:t>49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8">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3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31">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3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34">
              <w:r>
                <w:rPr>
                  <w:rStyle w:val="InternetLink"/>
                  <w:rFonts w:ascii="Times New Roman;serif" w:hAnsi="Times New Roman;serif"/>
                  <w:b w:val="false"/>
                  <w:color w:val="0000FF"/>
                  <w:sz w:val="20"/>
                  <w:u w:val="single"/>
                </w:rPr>
                <w:t>51</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40">
              <w:r>
                <w:rPr>
                  <w:rStyle w:val="InternetLink"/>
                  <w:rFonts w:ascii="Times New Roman;serif" w:hAnsi="Times New Roman;serif"/>
                  <w:b w:val="false"/>
                  <w:color w:val="0000FF"/>
                  <w:sz w:val="20"/>
                  <w:u w:val="single"/>
                </w:rPr>
                <w:t>52</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46">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46">
              <w:r>
                <w:rPr>
                  <w:rStyle w:val="InternetLink"/>
                  <w:rFonts w:ascii="Times New Roman;serif" w:hAnsi="Times New Roman;serif"/>
                  <w:b w:val="false"/>
                  <w:color w:val="0000FF"/>
                  <w:sz w:val="20"/>
                  <w:u w:val="single"/>
                </w:rPr>
                <w:t>54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49">
              <w:r>
                <w:rPr>
                  <w:rStyle w:val="InternetLink"/>
                  <w:rFonts w:ascii="Times New Roman;serif" w:hAnsi="Times New Roman;serif"/>
                  <w:b w:val="false"/>
                  <w:color w:val="0000FF"/>
                  <w:sz w:val="20"/>
                  <w:u w:val="single"/>
                </w:rPr>
                <w:t>55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58">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58">
              <w:r>
                <w:rPr>
                  <w:rStyle w:val="InternetLink"/>
                  <w:rFonts w:ascii="Times New Roman;serif" w:hAnsi="Times New Roman;serif"/>
                  <w:b w:val="false"/>
                  <w:color w:val="0000FF"/>
                  <w:sz w:val="20"/>
                  <w:u w:val="single"/>
                </w:rPr>
                <w:t>74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61">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61">
              <w:r>
                <w:rPr>
                  <w:rStyle w:val="InternetLink"/>
                  <w:rFonts w:ascii="Times New Roman;serif" w:hAnsi="Times New Roman;serif"/>
                  <w:b w:val="false"/>
                  <w:color w:val="0000FF"/>
                  <w:sz w:val="20"/>
                  <w:u w:val="single"/>
                </w:rPr>
                <w:t>75</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72">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72">
              <w:r>
                <w:rPr>
                  <w:rStyle w:val="InternetLink"/>
                  <w:rFonts w:ascii="Times New Roman;serif" w:hAnsi="Times New Roman;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75">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75">
              <w:r>
                <w:rPr>
                  <w:rStyle w:val="InternetLink"/>
                  <w:rFonts w:ascii="Times New Roman;serif" w:hAnsi="Times New Roman;serif"/>
                  <w:b w:val="false"/>
                  <w:color w:val="0000FF"/>
                  <w:sz w:val="20"/>
                  <w:u w:val="single"/>
                </w:rPr>
                <w:t>116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78">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78">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84">
              <w:r>
                <w:rPr>
                  <w:rStyle w:val="InternetLink"/>
                  <w:rFonts w:ascii="Times New Roman;serif" w:hAnsi="Times New Roman;serif"/>
                  <w:b w:val="false"/>
                  <w:color w:val="0000FF"/>
                  <w:sz w:val="20"/>
                  <w:u w:val="single"/>
                </w:rPr>
                <w:t>Disclosure Regarding Foreign Jurisdictions that Prevents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84">
              <w:r>
                <w:rPr>
                  <w:rStyle w:val="InternetLink"/>
                  <w:rFonts w:ascii="Times New Roman;serif" w:hAnsi="Times New Roman;serif"/>
                  <w:b w:val="false"/>
                  <w:color w:val="0000FF"/>
                  <w:sz w:val="20"/>
                  <w:u w:val="single"/>
                </w:rPr>
                <w:t>118</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90">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90">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93">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93">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96">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96">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199">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199">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02">
              <w:r>
                <w:rPr>
                  <w:rStyle w:val="InternetLink"/>
                  <w:rFonts w:ascii="Times New Roman;serif" w:hAnsi="Times New Roman;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02">
              <w:r>
                <w:rPr>
                  <w:rStyle w:val="InternetLink"/>
                  <w:rFonts w:ascii="Times New Roman;serif" w:hAnsi="Times New Roman;serif"/>
                  <w:b w:val="false"/>
                  <w:color w:val="0000FF"/>
                  <w:sz w:val="20"/>
                  <w:u w:val="single"/>
                </w:rPr>
                <w:t>119</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08">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08">
              <w:r>
                <w:rPr>
                  <w:rStyle w:val="InternetLink"/>
                  <w:rFonts w:ascii="Times New Roman;serif" w:hAnsi="Times New Roman;serif"/>
                  <w:b w:val="false"/>
                  <w:color w:val="0000FF"/>
                  <w:sz w:val="20"/>
                  <w:u w:val="single"/>
                </w:rPr>
                <w:t>120</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20">
              <w:r>
                <w:rPr>
                  <w:rStyle w:val="InternetLink"/>
                  <w:rFonts w:ascii="Times New Roman;serif" w:hAnsi="Times New Roman;serif"/>
                  <w:b w:val="false"/>
                  <w:color w:val="0000FF"/>
                  <w:sz w:val="20"/>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20">
              <w:r>
                <w:rPr>
                  <w:rStyle w:val="InternetLink"/>
                  <w:rFonts w:ascii="Times New Roman;serif" w:hAnsi="Times New Roman;serif"/>
                  <w:b w:val="false"/>
                  <w:color w:val="0000FF"/>
                  <w:sz w:val="20"/>
                  <w:u w:val="single"/>
                </w:rPr>
                <w:t>121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23">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23">
              <w:r>
                <w:rPr>
                  <w:rStyle w:val="InternetLink"/>
                  <w:rFonts w:ascii="Times New Roman;serif" w:hAnsi="Times New Roman;serif"/>
                  <w:b w:val="false"/>
                  <w:color w:val="0000FF"/>
                  <w:sz w:val="20"/>
                  <w:u w:val="single"/>
                </w:rPr>
                <w:t>123</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26">
              <w:r>
                <w:rPr>
                  <w:rStyle w:val="InternetLink"/>
                  <w:rFonts w:ascii="Times New Roman;serif" w:hAnsi="Times New Roman;serif"/>
                  <w:b w:val="false"/>
                  <w:color w:val="0000FF"/>
                  <w:sz w:val="20"/>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226">
              <w:r>
                <w:rPr>
                  <w:rStyle w:val="InternetLink"/>
                  <w:rFonts w:ascii="Times New Roman;serif" w:hAnsi="Times New Roman;serif"/>
                  <w:b w:val="false"/>
                  <w:color w:val="0000FF"/>
                  <w:sz w:val="20"/>
                  <w:u w:val="single"/>
                </w:rPr>
                <w:t>124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44" w:before="0" w:after="0"/>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described in Part I, Item 1A, “Risk Factors” in this Annual Report on Form 10-K. You should carefully consider these risks and uncertainties when investing in our common stock. Some of the principal risks and uncertainties include: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operating results are likely to vary significantly and be unpredictable.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Adverse economic conditions, such as a possible economic downturn or recession, and possible impacts of inflation or stagflation, tariffs, trade policies or other trade disruptions, changing interest rates, changes in government spending or regulation or reduced information technology (“IT”) spending, including firewall spending, may adversely impact our business.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been, are currently and may in the future be susceptible to supply chain constraints, supply shortages and disruptions, long or less predictable lead times for components and finished goods and supply changes because some of the key components in our products come from limited sources of supply.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During prior periods of supply chain disruption, including during the COVID-19 pandemic, we increased our purchase order commitments. Similar conditions could arise in the future, which may require us to accept or pay for components and finished goods regardless of our level of sales in a particular period, which may negatively or unpredictably impact our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real estate assets, including construction, acquisitions, improvements, leasing activity, and ongoing maintenance and management of office buildings, warehouses, data centers and points of presence (“PoPs”), as well as data center operations, expansions or enhancements, could involve significant risks to our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Any weakness in sales strategy, productivity, personnel, hiring and retention, and execution could negatively impact our results of operations.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are dependent on the continued services and performance of our senior management, as well as our ability to hire, retain and motivate qualified personnel.</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rely on third-party channel partners for substantially all of our billings, revenue, and a small number of distributors represents a large percentage of our revenue and accounts receivable.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Reliance on a concentration of shipments at the end of the quarter or changes in shipping terms could cause our billings and revenue to fall below expected levels.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rely significantly on revenue from FortiGuard and other security subscriptions and FortiCare technical support services, and revenue from these services may decline or fluctuate in manners that could adversely impact our results of operations.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face intense competition in our market and we may not maintain or improve our competitive position.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susceptible to 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to detect or prevent a security incident or to cause a disruption to operations, failure of our customers to implement preventative actions such as updates to one of our deployed solutions or failure to help secure our customers, could cause our products or services to allow unauthorized access to our customers’ networks and harm our operational results and reputation more significantly as compared to other companies. Our Product Security Incident Response Team publicly posts on our FortiGuard Labs website known product vulnerabilities, including critical vulnerabilities, and methods for customers to mitigate the risk of vulnerabilities. However, there can be no assurance that such posts will be sufficiently timely, accurate or complete or that those customers will see such posts or take steps to mitigate the risk of vulnerabilities, and certain customers may be negatively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If our internal enterprise IT networks, our operational networks, our research and development networks, our back-end labs and cloud stacks hosted in our data centers or PoPs, colocation vendors or public cloud providers are compromised, public perception of our products and services may be harmed, our customers may be breached and harmed, we may become subject to liability, and our business, operating results and stock price may be adversely impacted.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have incurred indebtedness and may incur other debt in the future, which may adversely affect our financial condition and future financial results.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generate a majority of billings, revenue and cash flow from sales outside of the United States, which may expose us to risks associated with international operations and may adversely affect our business, financial condition and results of operations.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may not be successful in executing our strategy to increase our sales to large- and medium-sized end-customers.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portion of our revenue is generated by sales to government organizations and other adjacent customers, which are subject to a number of regulatory requirements, their own supply chain constraints and contractual requirements, challenges and risks, including impacts from geopolitical dynamics.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order components and finished goods from third-party manufacturers based on our forecasts of future demand and targeted inventory levels, which exposes us to the risk of product shortages, tariffs, may result in lost sales, higher expenses and inventory excesses which may lead to inventory charges and costs related to future purchase commitments, possibly requiring us to sell our products at discounts or offer various other incentives.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depend on third parties to provide various components for our products and build our products and are susceptible to manufacturing delays, capacity constraints, cost increases, and changes in the geopolitical environment.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Investors’, activists’ and regulators’ expectations of our investments and performance relating to operational sustainability factors may impose additional costs and expose us to new risks.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exposed to fluctuations in currency exchange rates, which could negatively affect our financial condition and results of operations.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proprietary rights may be difficult to enforce and we may be subject to claims by others that we infringe their proprietary technology.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The trading price of our common stock may be volatile, which volatility may be exacerbated by share repurchases under our Share Repurchase Program (the “Repurchase Program”).</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Anti-takeover provisions contained in our certificate of incorporation and bylaws, as well as provisions of Delaware law, could impair a takeover attempt.</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Global economic uncertainty can weaken and harm our financial position.</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Weakening product demand caused by geopolitical instability, changes in trade agreements, wars and foreign conflicts, such as the war in Ukraine, tensions between China and Taiwan or conflicts in the Middle East, could adversely affect our business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Fortinet is a leader in cybersecurity, driving the convergence of networking and security. Our mission is to secure people, devices and data everywhere. Our integrated platform, the Fortinet Security Fabric, spans secure networking, unified Secure Access Service Edge (“SASE”) and artificial intelligence (“AI”)-driven security operations (“SecOps”). As of December 31, 2025, our end-customers were located in over 100 countries and included enterprises across a wide variety of market verticals, including financial services, retail, healthcare and operational technology (“OT”)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December 31, 2025, we held 1,064 U.S. patents and a total of 1,405 global patents, including 321 AI-related patents. We have been recognized in over 140 enterprise analyst reports demonstrating both our vision and execution across security and networking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competitive differentiation lies in our core technologies, which together provide performance, security, flexibility and integration across diverse environments.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FortiOS</w:t>
      </w:r>
      <w:r>
        <w:rPr>
          <w:color w:val="000000"/>
        </w:rPr>
        <w:t>—</w:t>
      </w:r>
      <w:r>
        <w:rPr>
          <w:rFonts w:ascii="Times New Roman;serif" w:hAnsi="Times New Roman;serif"/>
          <w:b w:val="false"/>
          <w:color w:val="000000"/>
          <w:sz w:val="20"/>
        </w:rPr>
        <w:t xml:space="preserve">Our unified operating system enables the convergence of networking and AI-powered security to enforce consistent policies across all form factors and edges. As the foundational engine of the Fortinet Security Fabric, FortiOS empowers organizations to unify management and analytics, providing network visibility and control at scale. FortiOS includes advanced encryption and other security technologies designed to address evolving cybersecurity threats, including emerging quantum-resistant cryptographic capabilities.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FortiASIC</w:t>
      </w:r>
      <w:r>
        <w:rPr>
          <w:color w:val="000000"/>
        </w:rPr>
        <w:t>—</w:t>
      </w:r>
      <w:r>
        <w:rPr>
          <w:rFonts w:ascii="Times New Roman;serif" w:hAnsi="Times New Roman;serif"/>
          <w:b w:val="false"/>
          <w:color w:val="000000"/>
          <w:sz w:val="20"/>
        </w:rPr>
        <w:t>Our Application-Specific Integrated Circuit (“ASIC”)-based security processing units (“SPUs”) increase the speed, scale, efficiency and value of our solutions while reducing footprint and power requirements. From branch and campus to data center solutions, SPU-powered Fortinet appliances deliver superior Security Compute Ratings versus industry alternatives.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FortiCloud</w:t>
      </w:r>
      <w:r>
        <w:rPr>
          <w:color w:val="000000"/>
        </w:rPr>
        <w:t>—</w:t>
      </w:r>
      <w:r>
        <w:rPr>
          <w:rFonts w:ascii="Times New Roman;serif" w:hAnsi="Times New Roman;serif"/>
          <w:b w:val="false"/>
          <w:color w:val="000000"/>
          <w:sz w:val="20"/>
        </w:rPr>
        <w:t>Our organically built global cloud infrastructure provides customers with global reach, flexible connectivity and cost savings. FortiCloud is our private cloud software as a service (“SaaS”) platform, powered by FortiStack, which is our secure SaaS platform operating as a private cloud service provider and leveraging software and hardware to optimize and secure all layers.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FortiAI</w:t>
      </w:r>
      <w:r>
        <w:rPr>
          <w:color w:val="000000"/>
        </w:rPr>
        <w:t>—</w:t>
      </w:r>
      <w:r>
        <w:rPr>
          <w:rFonts w:ascii="Times New Roman;serif" w:hAnsi="Times New Roman;serif"/>
          <w:b w:val="false"/>
          <w:color w:val="000000"/>
          <w:sz w:val="20"/>
        </w:rPr>
        <w:t>FortiAI provides a dual-layered defense across the Fortinet Security Fabric through the AI for Security and Security for AI framework. Within AI for Security, FortiAI-Assist uses generative and agentic AI to support Network Operations Center (“NOC”) and Security Operations Center (“SOC”) teams in monitoring, analysis and response activities across enterprise environments. Security for AI comprises of FortiAI-Protect and FortiAI-SecureAI. FortiAI-Protect utilizes AI/Machine Learnings (“ML”) to address AI-driven threats and zero-day attacks, and support governance over generative AI (“GenAI”) applications, FortiAI-SecureAI focus on protecting an organization’s AI infrastructure, including large language models (“LLMs”) and Application Programming Interface (“APIs”), and preventing data leakage into and out of LLMs. FortiAI protects the AI ecosystem, infrastructure, models, workloads, data and supply chains, while leveraging unified AI intelligence across the Fortinet Security Fabric to defend against threats.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FortiEndpoint</w:t>
      </w:r>
      <w:r>
        <w:rPr>
          <w:color w:val="000000"/>
        </w:rPr>
        <w:t>—</w:t>
      </w:r>
      <w:r>
        <w:rPr>
          <w:rFonts w:ascii="Times New Roman;serif" w:hAnsi="Times New Roman;serif"/>
          <w:b w:val="false"/>
          <w:color w:val="000000"/>
          <w:sz w:val="20"/>
        </w:rPr>
        <w:t>FortiEndpoint converges secure connectivity, endpoint protection and advanced capabilities like endpoint detection and response and Universal Zero Trust Network Access (“ZTNA”),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environments.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OT Security</w:t>
      </w:r>
      <w:r>
        <w:rPr>
          <w:color w:val="000000"/>
        </w:rPr>
        <w:t>—</w:t>
      </w:r>
      <w:r>
        <w:rPr>
          <w:rFonts w:ascii="Times New Roman;serif" w:hAnsi="Times New Roman;serif"/>
          <w:b w:val="false"/>
          <w:color w:val="000000"/>
          <w:sz w:val="20"/>
        </w:rPr>
        <w:t>The Fortinet Security Fabric enables security for OT systems and Cyber-Physical Systems (“CPS”), including converged IT/OT architectures. Our OT Security Platform is purpose-built to protect the engineered systems that underpin critical infrastructure and supply chains around the world. This includes securing energy and utilities systems, manufacturing environments, and transportation, utilizing FortiGuard OT Security Services. These offerings include security capabilities for CPS assets and tools that support centralized NOC and SOC functions.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competitive differentiators provide networking and security professionals with a cyber security platform comprised of over 50 products across three solution pillars: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Secure Networking</w:t>
      </w:r>
      <w:r>
        <w:rPr>
          <w:color w:val="000000"/>
        </w:rPr>
        <w:t>—</w:t>
      </w:r>
      <w:r>
        <w:rPr>
          <w:rFonts w:ascii="Times New Roman;serif" w:hAnsi="Times New Roman;serif"/>
          <w:b w:val="false"/>
          <w:color w:val="000000"/>
          <w:sz w:val="20"/>
        </w:rPr>
        <w:t>Our Secure Networking solutions focus on the convergence of networking and security via FortiOS, our networking and security operating system that is the foundation of our Fortinet Security Fabric platform and supports a broad range of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which can be deployed at branch, campus, data center, internal segmentation, private and public cloud to enable hybrid mesh firewall solutions, as well as encrypted applications (secure sockets layer (“SSL”) inspection, virtual private network and Internet Protocol Security connectivity). Our ability to converge networking and security also enables the ethernet to become an extension of our customers’ security infrastructure through FortiSwitch and FortiLink. FortiExtender secures 5G/LTE and remote ethernet extenders to connect and secure any branch environment. Our Secure Connectivity solution includes FortiSwitch secure ethernet switches, FortiAP wireless local area network access points and FortiExtender 5G connectivity gateways and Network Access Control (“NAC”) for securing Internet of Things (“IoT”) devices.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Unified Secure Access Service Edge (SASE)</w:t>
      </w:r>
      <w:r>
        <w:rPr>
          <w:color w:val="000000"/>
        </w:rPr>
        <w:t>—</w:t>
      </w:r>
      <w:r>
        <w:rPr>
          <w:rFonts w:ascii="Times New Roman;serif" w:hAnsi="Times New Roman;serif"/>
          <w:b w:val="false"/>
          <w:color w:val="000000"/>
          <w:sz w:val="20"/>
        </w:rPr>
        <w:t>As applications move to the cloud and hybrid workforce is now the norm, enabling secure access for users with zero trust framework becomes important. The Fortinet Unified SASE solution includes a single-vendor SASE solution that includes firewall, SD-WAN, secure web gateway, cloud access services broker, Data Loss Prevention (“DLP”), Digital Experience Monitoring (“DEM”), Remote Browser Isolation (“RBI”) and ZTNA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190 PoPs to deliver a seamless secure access experience. Leveraging this global infrastructure, we believe we are well positioned to support customers expanding from SD-WAN to a single-vendor SASE platform. We also allow our customers to deploy our FortiSASE as Sovereign SASE, which provides control over the technology elements needed for a SASE solution. FortiSASE Sovereign delivers full SASE capabilities within infrastructure environments that organizations control, including on-premises, in private data centers or trusted colocation environments. Additionally, we offer a full suite of integrated cloud security solutions that enable customers to secure their applications from code to cloud. Our solutions include application security that includes web application firewalls, cloud network security with virtualized firewalls and cloud-native firewalls, cloud-native application protection and code security. We deliver a holistic approach to cloud security, offering a single unified platform, consolidating protection across multiple disparate tools, including coding, deploying, and running applications across hybrid and multi-clouds. Additionally, we also offer flexible consumption licensing programs that enable organizations to dynamically optimize their cloud security needs and investments as well as readily meet their cloud minimum spend commitment obligations with Cloud Service Providers. We continue to develop all the core SASE capabilities in a single operating system, FortiOS, including Next-Gen Firewall, SD-WAN, ZTNA, secure web gateway, cloud access security broker and DLP. This native integration of our Next-Gen Firewall, SD-WAN and SASE has become the New-Generation SASE Firewall.</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i/>
          <w:color w:val="000000"/>
          <w:sz w:val="20"/>
        </w:rPr>
        <w:t>AI-Driven Security Operations (SecOps)</w:t>
      </w:r>
      <w:r>
        <w:rPr>
          <w:color w:val="000000"/>
        </w:rPr>
        <w:t>—</w:t>
      </w:r>
      <w:r>
        <w:rPr>
          <w:rFonts w:ascii="Times New Roman;serif" w:hAnsi="Times New Roman;serif"/>
          <w:b w:val="false"/>
          <w:color w:val="000000"/>
          <w:sz w:val="20"/>
        </w:rPr>
        <w:t>Our AI-Driven SecOps portfolio provides a suite of cybersecurity solutions that identify, protect, detect, respond and recover from threats, all integrated within the Fortinet Security Fabric. At the core is FortiAnalyzer, which serves as the central SOC platform with its unified data lake that provides: built-in security information and event management (“SIEM”); security, orchestration, automation, and response (“SOAR”); XDR and threat intelligence, enabling centralized visibility, analytics and automation with complete control. FortiSIEM delivers security information and event management for more advanced SOC requirements, while FortiSOAR enables automated orchestration and playbook-driven response. This solution set also includes FortiEndpoint,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SOC-as-a-Service (“SOCaaS”), Managed detection and response (“MDR”), Security Posture Assessment and Incident Response. Finally, FortiAI generative AI assistance streamlines operations, helping security teams stay ahead of an ever-evolving threat landscape.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FortiGuard Labs</w:t>
      </w:r>
      <w:r>
        <w:rPr>
          <w:color w:val="000000"/>
        </w:rPr>
        <w:t xml:space="preserve"> </w:t>
      </w:r>
      <w:r>
        <w:rPr>
          <w:rFonts w:ascii="Times New Roman;serif" w:hAnsi="Times New Roman;serif"/>
          <w:b w:val="false"/>
          <w:color w:val="000000"/>
          <w:sz w:val="20"/>
        </w:rPr>
        <w:t xml:space="preserve">is our cybersecurity threat intelligence and research organization comprised of experienced threat hunters, researchers, analysts, engineers and data scientists who develop and utilize ML and AI technologies to provide timely protection updates and actionable threat intelligence for the benefit of our customers. Using millions of global network sensors, FortiGuard Labs monitors the worldwide attack surface and employs AI to mine that data for new threats.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FortiGuard and Other Security Services </w:t>
      </w:r>
      <w:r>
        <w:rPr>
          <w:rFonts w:ascii="Times New Roman;serif" w:hAnsi="Times New Roman;serif"/>
          <w:b w:val="false"/>
          <w:color w:val="000000"/>
          <w:sz w:val="20"/>
        </w:rPr>
        <w:t xml:space="preserve">are a suite of AI-powered security capabilities that are natively integrated as part of the Fortinet Security Fabric to deliver coordinated detection and enforcement across the entire attack surface.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portfolio consists of FortiGuard application security services, content security services, device security services, NOC/SOC security services and web security services.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FortiCare Technical Support Service</w:t>
      </w:r>
      <w:r>
        <w:rPr>
          <w:color w:val="000000"/>
        </w:rPr>
        <w:t xml:space="preserve"> </w:t>
      </w:r>
      <w:r>
        <w:rPr>
          <w:rFonts w:ascii="Times New Roman;serif" w:hAnsi="Times New Roman;serif"/>
          <w:b w:val="false"/>
          <w:color w:val="000000"/>
          <w:sz w:val="20"/>
        </w:rPr>
        <w:t xml:space="preserve">is a technical support service, which provides customers access to experts to ensure efficient and effective operations and maintenance of their Fortinet solution. Global technical support is offered 24x7 with flexible add-ons, including enhanced service-level agreements (“SLAs”) and priority hardware replacement through in-country and local depots. Organizations have the flexibility to procure different levels of service for different solutions based on their availability needs. We offer three support options tailored to the needs of our enterprise customers: FortiCare Elite, FortiCare Premium and FortiCare Essential. The FortiCare Elite service aims to provide a 15-minute response time for key product families.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FortiCare solution based services, Advanced Support service options are available per account. These services are available for regional account support in three options: Core, Pro and Pro Plus, and can be available or provided on a global basis at the Pro and Pro Plus levels. Advanced Support brings support directly to each account, helping account holders to make their operations more effective and to plan and manage their solution lifecycle.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approximately two million certifications to date.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generated total revenue of $6.80 billion and net income of $1.85 billion. See Part II, Item 8 of this Annual Report on Form 10-K for more information on our consolidated balance sheets as of December 31, 2025 and 2024 and our consolidated statements of income, comprehensive income, stockholders’ equity (deficit), and cash flows for each of the three years ended December 31, 2025, 2024 and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were incorporated in Delaware in November 2000. Our principal executive office is located at 909 Kifer Road, Sunnyvale, California 94086, and our telephone number at that location is (408) 235-7700. </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Industry Background: The Trends Driving the Need for a Platform Approach</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0"/>
        </w:rPr>
        <w:t>Modern networks are increasingly complex, spanning many edges as well as a mix of cloud and on-premises deployments. We were</w:t>
      </w:r>
      <w:r>
        <w:rPr>
          <w:color w:val="211F22"/>
        </w:rPr>
        <w:t xml:space="preserve"> </w:t>
      </w:r>
      <w:r>
        <w:rPr>
          <w:rFonts w:ascii="Times New Roman;serif" w:hAnsi="Times New Roman;serif"/>
          <w:b w:val="false"/>
          <w:color w:val="211F22"/>
          <w:sz w:val="20"/>
        </w:rPr>
        <w:t>founded with the mission of providing a converged networking and security approach that empowers organizations to adopt new technologies without worrying about how it would impact their ability to manage and secure their environments. The escalating threat landscape has resulted in a significant increase in the demand for secure networking solutions. In fact, we believe the demand for secure networking will overtake the pure networking market by 2030. At the same time, businesses contend with an escalating threat landscape, a cybersecurity skills shortage, and siloed security tools that do not work well together. They need to consolidate point products to gain better visibility and faster threat response times.</w:t>
      </w:r>
    </w:p>
    <w:p>
      <w:pPr>
        <w:pStyle w:val="TextBody"/>
        <w:bidi w:val="0"/>
        <w:spacing w:before="0" w:after="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0"/>
        </w:rPr>
        <w:t>A platform approach</w:t>
      </w:r>
      <w:r>
        <w:rPr>
          <w:color w:val="211F22"/>
        </w:rPr>
        <w:t>–</w:t>
      </w:r>
      <w:r>
        <w:rPr>
          <w:rFonts w:ascii="Times New Roman;serif" w:hAnsi="Times New Roman;serif"/>
          <w:b w:val="false"/>
          <w:color w:val="211F22"/>
          <w:sz w:val="20"/>
        </w:rPr>
        <w:t>what we call the Fortinet Security Fabric–has emerged to address these challenges and support enterprises in reducing complexity and improving risk mitigation. The concept of an integrated cybersecurity platform that converges networking and security and consolidates point products is what guides how we design our products and advise our customers and partners</w:t>
      </w:r>
      <w:r>
        <w:rPr>
          <w:rFonts w:ascii="Times New Roman;serif" w:hAnsi="Times New Roman;serif"/>
          <w:b w:val="false"/>
          <w:color w:val="000000"/>
          <w:sz w:val="20"/>
        </w:rPr>
        <w:t>.</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211F22"/>
          <w:sz w:val="20"/>
        </w:rPr>
        <w:t>As organizations continue to modernize their cybersecurity infrastructure, we anticipate a significant firewall refresh and upgrade cycle in the coming years. Given our platform approach, this refresh presents a strategic opportunity to expand our footprint within existing customer environments. By leveraging our integrated security and networking capabilities, we can drive opportunities across our broader portfolio, including LAN, SD-WAN, SASE, Cloud-Native Application Protection Platform (</w:t>
      </w:r>
      <w:r>
        <w:rPr>
          <w:color w:val="000000"/>
        </w:rPr>
        <w:t>“</w:t>
      </w:r>
      <w:r>
        <w:rPr>
          <w:rFonts w:ascii="Times New Roman;serif" w:hAnsi="Times New Roman;serif"/>
          <w:b w:val="false"/>
          <w:color w:val="211F22"/>
          <w:sz w:val="20"/>
        </w:rPr>
        <w:t>CNAPP</w:t>
      </w:r>
      <w:r>
        <w:rPr>
          <w:color w:val="000000"/>
        </w:rPr>
        <w:t>”</w:t>
      </w:r>
      <w:r>
        <w:rPr>
          <w:rFonts w:ascii="Times New Roman;serif" w:hAnsi="Times New Roman;serif"/>
          <w:b w:val="false"/>
          <w:color w:val="211F22"/>
          <w:sz w:val="20"/>
        </w:rPr>
        <w:t>) and SecOps solutions. With a unified management console, we enable consistent security policies, simplified operations, and an improved user experience across on-premises, cloud, and hybrid deployments. This approach strengthens security effectiveness and helps reduce complexity and total cost of ownership.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end-customers are located in over 100 countries and include small, medium and large enterprises and government organizations across a wide range of industries, including financial services, government, manufacturing, retail, technology, education, healthcare and telecommunications. An end-customer deployment may involve as few as one or as many as dozens of different types of integrated products and services from across our broad portfolio that spans secure networking, unified SASE, and security operations. Depending on the solution or form factor purchased, customers may also access our products via the cloud through our data centers and PoPs, third-party colocations and cloud providers such as Amazon Web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Microsoft Azure and Google Cloud. Often, our customers also purchase our FortiGuard and other security subscription services and FortiCare technical support services. Refer to Note 15. Segment Information in Part II, Item 8 of this Annual Report on Form 10-K for distributor customers accounted for 10% or more of our revenue or net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primarily sell our products and services through a two-tier distribution model. We sell to distributors that sell to resellers and to service providers and managed security service providers (“MSSPs”), who, in turn, sell products and/or services to end-customers. In certain cases, we sell directly to large service providers, major systems integrators and large end users. We work with many technology distributors, including Arrow Electronics, Inc., Exclusive, Ingram Micro, and TD Synnex. In addition, we provide our cloud-based subscription offerings through Fortinet-owned data centers and PoPs, as well as data centers operated under colocation arrangements globally, and via public cloud providers.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support our channel partners with a dedicated team of experienced channel account managers, sales professionals and sales engineers who provide business planning, joint marketing strategy, pre-sales and operational sales support. Additionally, our sales teams help drive and support large enterprise and service provider sales through a direct touch model. Our sales professionals and engineers typically work</w:t>
      </w:r>
      <w:r>
        <w:rPr>
          <w:color w:val="000000"/>
          <w:shd w:fill="FFFFFF" w:val="clear"/>
        </w:rPr>
        <w:t xml:space="preserve"> </w:t>
      </w:r>
      <w:r>
        <w:rPr>
          <w:rFonts w:ascii="Times New Roman;serif" w:hAnsi="Times New Roman;serif"/>
          <w:b w:val="false"/>
          <w:color w:val="000000"/>
          <w:sz w:val="20"/>
          <w:shd w:fill="FFFFFF" w:val="clear"/>
        </w:rPr>
        <w:t>closely with our channel partners and directly engage with large end-customers to address their unique security and deployment requirements. To support our broadly dispersed global channel and end-customer base, we have sales professionals in over 100 countries around the world.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Our marketing strategy is focused on building our </w:t>
      </w:r>
      <w:r>
        <w:rPr>
          <w:rFonts w:ascii="Times New Roman;serif" w:hAnsi="Times New Roman;serif"/>
          <w:b w:val="false"/>
          <w:color w:val="000000"/>
          <w:sz w:val="20"/>
        </w:rPr>
        <w:t>brand, driving thought leadership with emphasis on the criticality of cybersecurity platform adoption and the convergence of security and networking as well as driving end-customer demand for our security solutions. We use a combination of internal marketing professionals and our network of regional and global channel partners. Our internal marketing organization is responsible for messaging, branding, demand generation, product marketing, channel marketing, partner incentives and promotions, event marketing, digital marketing, communications, analyst relations, public relations, and sales enablement. We focus our resources on campaigns, programs, and activities that can be leveraged by partners worldwide to extend our marketing reach, such as sales tools and collateral, product awards and technical certifications, media engagement, training, regional seminars and conferences, webinars, and various other demand-generation activities.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Manufacturing and Suppliers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outsource the manufacturing of our security appliance products to a variety of contract manufacturers and original design manufacturers. Our current manufacturing partners include Accton Technology (“Accton”), IBASE Technology, Inc. (“IBASE”), Micro-Star International Co. (“Micro-Star”), Senao Networks, Inc. (“Senao”), Wistron Corporation (“Wistron”), and a number of other manufacturers. Approximately 87% of our hardware is manufactured in Taiwan. We submit purchase orders to our contract manufacturers that describe the type and quantities of our products to be manufactured, the delivery date and other delivery terms. Once our products are manufactured, they are sent to either our warehouse in California, our warehouse in the Netherlands or to our logistics partner in Taoyuan City, Taiwan, where accessory packaging and quality-control testing are performed. We believe that outsourcing our manufacturing and a substantial portion of our logistics enables us to focus resources on our core competencies. Our proprietary ASICs, which are key to the performance of our appliances, are built by contract manufacturers including Toshiba America Electronic Components, Inc. (“Toshiba America”) and Renesas Electronics America, Inc. (“Renesas”). These contract manufacturers use foundries in Taiwan and Japan operated by either Taiwan Semiconductor Manufacturing Company Limited (“TSMC”) or by the contract manufacturer itself.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included in our products are sourced from various suppliers by us or, more frequently, by our contract manufacturers. Some of the components important to our business, including certain Central Processing Units (“CPUs”) from Intel Corporation (“Intel”) and Advanced Micro Devices, Inc. (“AMD”), network and wireless chips from Broadcom Inc. (“Broadcom”), Marvell Technology Group Ltd. (“Marvell”), Qualcomm Incorporated (“Qualcomm”) and Intel and memory devices from Intel, Micron Technology (“Micron”), ADATA Technology Co., Ltd. (“ADATA”), Toshiba Corporation (“Toshiba”), Samsung Electronics Co., Ltd. (“Samsung”), and Western Digital Technologies, Inc. (“Western Digital”), are available from limited or sole sources of supply.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long-term contracts related to the manufacturing of our ASICs or other components that guarantee any capacity or pricing terms.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manage global memory component supply through diversified sourcing arrangements, strategic inventory planning and coordination with key supply chain partners. Memory components are obtained from multiple suppliers, and we continuously monitor availability, lead times and logistics conditions to support manufacturing continuity and delivery schedules. These actions are intended to mitigate supply volatility and maintain operational flexibility.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supply chain plays a critical role in providing safety for our customers and protection for our brand. Supply chain security management begins with establishing control of a qualified supplier base, which provides qualified and trusted components for use in design, development, manufacturing and post-sale product support.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Trusted Supplier Program (“TSP”) was developed in accordance with the requirements defined in National Institute of Standards and Technology Special Publications (“NIST SP”) 800-161 Supply Chain Risk Management Practices for Federal Information Systems and Organizations and other directives as periodically established by the U.S. government for securing the Information and Communication Technology Services supply chain, in response to increasing customer demand for transparency in the security of the hardware, firmware and software that is included in our products and to comply with U.S. government directives.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 a thorough security assessment of our key TSP partners to ensure they satisfactorily comply with applicable controls established by NIST SP 800-161, and work side by side with them to remediate gaps and monitor their security posture.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our research and development efforts on developing new hardware and software products and services, and adding new features to existing products, services and operating systems. Our development strategy is to identify features, products and systems for both software and hardware that are, or are expected to be, important to our end-customers. Our success in designing, developing, manufacturing and selling new or enhanced products will depend on a variety of factors, including identification of market demand for new products or new features, components selection, timely implementation of product design and development, product performance, quality, ease of use, costs of development, bill of materials, delivery models, effective manufacturing and assembly processes and sales and marketing.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Fortinet Secure Product Development Life Cycle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that supply chain security is an increasingly important dimension of cybersecurity and enterprise risk management. We are committed to implementing a comprehensive approach to protecting the security and integrity of our products throughout the product design, development, manufacturing, delivery and support processes.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a coordinated program across our engineering, manufacturing, technical services teams, together with our suppliers and channel partners, to ensure the security of our supply chain.</w:t>
      </w:r>
    </w:p>
    <w:p>
      <w:pPr>
        <w:pStyle w:val="TextBody"/>
        <w:bidi w:val="0"/>
        <w:spacing w:before="0" w:after="0"/>
        <w:ind w:left="0" w:right="0" w:firstLine="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develop our own Network Processors, Content Processors and System-on-Chip Application-Specific Integrated Circuits technology in-house.</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Our research and development is conducted primarily in the United States and Canada. We do not perform source code development or internal research and development in Russia or China.</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operate a Trusted Supplier Program with a rigorous selection and qualification of manufacturing partners, adhering to National Institute of Standards and Technology (“NIST”) 800-161.</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implement technical measures to prevent malware and rogue components that could compromise functionality.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provide technical support from dedicated Fortinet regional centers.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leverage application of secure development best practices (including NIST 800-53, NIST 800-160, NIST 800-218, US Executive Order 14028, and UK Telecoms Security Act).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We conduct regular patch release cycles and operate a notification service to support and encourage customers to apply security patches.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pursue and maintain a broad portfolio of product and information security certifications available at the Fortinet Trust Site.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Intellectual Property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copyright and trade secrets laws, confidentiality procedures and contractual provisions to protect our technology. We periodically have discussions with third parties regarding licensing our intellectual property (“IP”) and have sometimes taken legal action against competitors to protect our IP, and as a result third parties have paid us fees in return for licenses or covenants-not-to-sue related to Fortinet IP. As of December 31, 2025, we had 1,064 U.S. and a total of 1,405 global patents, and 365 pending U.S. and foreign patent applications. We also license software from third parties for inclusion in our products, including open source software and other software.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efforts to protect our rights in our technology, unauthorized parties may attempt to copy aspects of our products or obtain and use information and technology that we regard as proprietary. We generally enter into confidentiality agreements with our employees, consultants, vendors and customers, and generally limit access to and distribution of our proprietary information. However, we cannot provide assurance that the steps we take will prevent misappropriation of our technology. In addition, the laws of some foreign countries do not protect our proprietary rights to as great an extent as the laws of the United States, and many foreign countries do not enforce these laws as diligently as government agencies and private parties in the United States.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industry is characterized by the existence of a large number of patents and frequent claims and related litigation regarding patent and other IP rights. Third parties have asserted, are currently asserting and may in the future assert patent, copyright, trademark or other IP rights against us, our channel partners or our end-customers. Successful claims of infringement by a third-party could prevent us from distributing certain products or performing certain services or require us to pay substantial damages (including treble damages if we are found to have willfully infringed patents or copyrights), royalties or other fees. Even if third parties offer a license to their technology, the terms of any offered license may not be acceptable and the failure to obtain a license or the costs associated with any license could cause our business, operating results or financial condition to be materially and adversely affected. In certain instances, we indemnify our end-customers, distributors and resellers against claims that our products infringe the IP of third parties.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Government Regulation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regulation by various federal, state, regional, local and foreign governmental agencies, including agencies responsible for monitoring and enforcing employment and labor laws, workplace safety, security and security certifications, product safety, product labeling, environmental laws, consumer protection laws, anti-bribery laws, data privacy laws, import and export controls and tariffs, securities laws and tax laws and regulations. Many of the laws and regulations that are or may be applicable to our business are changing or being tested in courts and could be interpreted in ways that could adversely impact our business and additional laws and regulations applicable to our business may be enacted. In addition, the application and interpretation of these laws and regulations often are uncertain, particularly in the industry in which we operate. We believe we take reasonable steps designed to ensure we are in compliance with current laws and regulations and do not expect continued compliance to have a material impact on our capital expenditures, earnings, or competitive position. We continue to monitor existing and pending laws and regulations and while the impact of regulatory changes cannot be predicted with certainty, we do not currently expect compliance to have a material adverse effect.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seasonality in our sales, see the section entitled “Management’s Discussion and Analysis of Financial Condition and Results of Operations—Seasonality, Cyclicality and Quarterly Revenue Trends” in Part II, Item 7 of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Competition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markets for our products are extremely competitive and are characterized by rapid technological change. The principal competitive factors in our markets include: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product security performance, throughput, features, effectiveness, interoperability and reliability;</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addition and integration of new networking and security features and technological expertise;</w:t>
      </w:r>
    </w:p>
    <w:p>
      <w:pPr>
        <w:pStyle w:val="TextBody"/>
        <w:bidi w:val="0"/>
        <w:spacing w:before="0" w:after="0"/>
        <w:ind w:left="0" w:right="0" w:firstLine="1080"/>
        <w:jc w:val="left"/>
        <w:rPr/>
      </w:pPr>
      <w:r>
        <w:rPr/>
      </w:r>
    </w:p>
    <w:p>
      <w:pPr>
        <w:pStyle w:val="TextBody"/>
        <w:bidi w:val="0"/>
        <w:spacing w:lineRule="auto" w:line="268" w:before="0" w:after="0"/>
        <w:ind w:left="0" w:right="0" w:firstLine="720"/>
        <w:jc w:val="left"/>
        <w:rPr/>
      </w:pPr>
      <w:r>
        <w:rPr>
          <w:color w:val="000000"/>
        </w:rPr>
        <w:t>•</w:t>
      </w:r>
      <w:r>
        <w:rPr>
          <w:rFonts w:ascii="Times New Roman;serif" w:hAnsi="Times New Roman;serif"/>
          <w:b w:val="false"/>
          <w:color w:val="000000"/>
          <w:sz w:val="20"/>
        </w:rPr>
        <w:t>compliance with industry standards and security and other certifications;</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price of products and services and total cost of ownership;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brand recognition;</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customer service and support across varied and complex customer segments and use cases;</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sales and distribution capabilities;</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size and financial stability;</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breadth of product line;</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form factor of the solution; and</w:t>
      </w:r>
    </w:p>
    <w:p>
      <w:pPr>
        <w:pStyle w:val="TextBody"/>
        <w:bidi w:val="0"/>
        <w:spacing w:before="0" w:after="0"/>
        <w:ind w:left="0" w:right="0" w:firstLine="1080"/>
        <w:jc w:val="left"/>
        <w:rPr/>
      </w:pPr>
      <w:r>
        <w:rPr/>
      </w:r>
    </w:p>
    <w:p>
      <w:pPr>
        <w:pStyle w:val="TextBody"/>
        <w:bidi w:val="0"/>
        <w:spacing w:lineRule="auto" w:line="288" w:before="0" w:after="0"/>
        <w:ind w:left="0" w:right="0" w:firstLine="720"/>
        <w:jc w:val="left"/>
        <w:rPr/>
      </w:pPr>
      <w:r>
        <w:rPr>
          <w:color w:val="000000"/>
        </w:rPr>
        <w:t>•</w:t>
      </w:r>
      <w:r>
        <w:rPr>
          <w:rFonts w:ascii="Times New Roman;serif" w:hAnsi="Times New Roman;serif"/>
          <w:b w:val="false"/>
          <w:color w:val="000000"/>
          <w:sz w:val="20"/>
        </w:rPr>
        <w:t>other competitive differentiators.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Among others, our competitors include Check Point Software Technologies Ltd. (“Check Point”), Cisco Systems, Inc. (“Cisco”), CrowdStrike Holdings, Inc. (“CrowdStrike”), F5 Networks, Inc. (“F5 Networks”), Hewlett-Packard Enterprise (“HPE”), Huawei Technologies Co., Ltd. (“Huawei”), Microsoft Corporation (“Microsoft”), Netskope Inc. (“Netskope”), Palo Alto Networks, Inc. (“Palo Alto Networks”), SonicWALL, Inc. (“SonicWALL”), Sophos Group Plc (“Sophos”) and Zscaler, Inc. (“Zscaler”).</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we compete favorably based on our products’ security performance, throughput, reliability, breadth and ability to work together, our ability to add and integrate new networking and security features and our technological expertise. Several competitors are significantly larger, have greater financial, technical, marketing, distribution, customer support and other resources, are more established than we are, and have significantly better brand recognition. Some of these larger competitors have substantially broader product offerings and leverage their relationships based on other products or incorporate functionality into existing products in a manner that discourages users from purchasing our products. Other, often smaller competitors, may intensely focus on a small group of point solutions and be positioned as a leader in discrete technologies that we compete with. Based in part on these competitive pressures, we may lower prices or attempt to add incremental features and functionalities to our products.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Conditions in our markets could change rapidly and significantly as a result of technological advancements, market consolidation or de-consolidation, supply chain constraints,</w:t>
      </w:r>
      <w:r>
        <w:rPr>
          <w:color w:val="000000"/>
        </w:rPr>
        <w:t xml:space="preserve"> </w:t>
      </w:r>
      <w:r>
        <w:rPr>
          <w:rFonts w:ascii="Times New Roman;serif" w:hAnsi="Times New Roman;serif"/>
          <w:b w:val="false"/>
          <w:color w:val="000000"/>
          <w:sz w:val="20"/>
        </w:rPr>
        <w:t>price list or discount changes or inflation. The development and market acceptance of alternative technologies could decrease the demand for our products or render them obsolete. Our competitors may introduce products that are less costly, provide superior performance, are better marketed, or achieve greater market acceptance than our products. Additionally, our larger competitors often have broader product lines and are better positioned to withstand a significant reduction in capital spending by end-customers, and will therefore not be as susceptible to downturns in a particular market. The above competitive pressures are likely to continue to impact our business. We may not be able to compete successfully in the future, and competition may harm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Human Capital Management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total headcount was 15,109 employees, approximately 30% of whom were employed in the United States, approximately 20% of whom were employed in Canada and approximately 50% of whom were employed outside of the United States and Canada, primarily in Europe, Middle East and Africa (“EMEA”), consistent with our customer base. We do not own any manufacturing or research and development activities in China.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We believe we offer fair, competitive compensation and benefits, and we encourage a merit-based and inclusive culture.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As a global company, we value diversity of experience, skills and backgrounds across our workforce. Such commitment </w:t>
      </w:r>
      <w:r>
        <w:rPr>
          <w:rFonts w:ascii="Times New Roman;serif" w:hAnsi="Times New Roman;serif"/>
          <w:b w:val="false"/>
          <w:color w:val="000000"/>
          <w:sz w:val="20"/>
          <w:shd w:fill="FFFFFF" w:val="clear"/>
        </w:rPr>
        <w:t xml:space="preserve">starts at the top, with a highly skilled and diverse board of directors.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women </w:t>
      </w:r>
      <w:r>
        <w:rPr>
          <w:rFonts w:ascii="Times New Roman;serif" w:hAnsi="Times New Roman;serif"/>
          <w:b w:val="false"/>
          <w:color w:val="000000"/>
          <w:sz w:val="20"/>
        </w:rPr>
        <w:t>represented approximately 40% of the members of our board of directors, and approximately 60% o</w:t>
      </w:r>
      <w:r>
        <w:rPr>
          <w:rFonts w:ascii="Times New Roman;serif" w:hAnsi="Times New Roman;serif"/>
          <w:b w:val="false"/>
          <w:color w:val="000000"/>
          <w:sz w:val="20"/>
          <w:shd w:fill="FFFFFF" w:val="clear"/>
        </w:rPr>
        <w:t xml:space="preserve">f our board of directors was from underrepresented communities.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We are also </w:t>
      </w:r>
      <w:r>
        <w:rPr>
          <w:rFonts w:ascii="Times New Roman;serif" w:hAnsi="Times New Roman;serif"/>
          <w:b w:val="false"/>
          <w:color w:val="000000"/>
          <w:sz w:val="20"/>
        </w:rPr>
        <w:t>committed to community engagement and social responsibility with regards to our employees and beyond, and our board of directors has active oversight of such initiatives. Examples of our initiatives focused on our employees include our company matching program for employee charitable contributions, paid volunteering days (where applicable) and the free security training programs we offer to help with career development for our employees, in addition to the general public.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our board of directors. In addition, our Chief Executive Officer regularly communicates the importance of our core values of openness, teamwork and innovation.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 of our U.S. employees are represented by a labor union. Our employees in certain European and Latin American countries, however, have the right to be represented by external labor organizations if they maintain up-to-date union membership. We have not experienced any work stoppages, and we consider our relations with our employees to be good.</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Corporate Sustainability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responsible corporate sustainability practices and having a positive impact on the sustainability of our society and planet. We are a member of the Dow Jones Sustainability Indices — World and North America, and report to both Carbon Disclosure Project (“CDP”) and Ecovadis. Our approach to corporate sustainability is based on a strong corporate governance structure, starting with the Governance and Social Responsibility Committee (the “GSR Committee”) of our board of directors, which provides oversight of our Corporate Social Responsibility (“CSR”) strategy, initiatives and execution related to corporate sustainability matters. Our senior leadership sponsors the integration of CSR priorities via a CSR Committee, comprised of cross-functional team of senior leaders that drives CSR initiatives and functionality across the company including engaging with internal and external stakeholders to lead CSR execution, communications and disclosure via an annual Sustainability Report.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that environmental considerations such as climate change, resource scarcity and the energy crisis are top priorities for the future of our planet. We are committed to helping address climate change impacts and minimizing the environmental footprint of our solutions, operations and our broader value chain. We have completed our validation process and have been approved by the Science Based Targets Initiatives for a near-term target. We are engaged on a decarbonization path to reach zero emissions for our Scope 1 and Scope 2 emissions by 2030. In 2025, we maintained the ISO 14001 certification we obtained in 2023 for our largest company-owned warehouse in Union City, California, and have continued to be a leader on energy efficiency with the launch of our SP5 ASIC and our FortiGate-90G model. We have been certified to Environmental Product Declarations for our FortiGate 50G family. We also disclose our Scope 3 emissions, across all 12 relevant categories, as part of our annual reporting on sustainability.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empower individuals within our organization and across the security industry to reach their full potential. We continue to focus on skilling, upskilling and reskilling individuals.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are involved in over 890 education partnerships across more than 100 countries and participates in public-private partnerships, including the World Economic Forum’s Cybersecurity Talent Framework.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approach to responsible business is based on strong corporate governance practices that aim to ensure accountability while meeting our responsibilities across our value chain, starting with our employees. Our board of directors regularly reviews our governance practices and in 2024 we formed our GSR committee which combined our Governance Committee with the Social Responsibility Committee to GSR Committee. Our Codes of Conduct apply to employees, partners and suppliers, and we have compliance trainings and controls in place. We have a risk management committee and steering committee to further enhance our anti-corruption program and we employ a thorough screening process for partners and suppliers, including continuous monitoring in high-risk zones, and resolution process for risk mitigation.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website is located at https://www.fortinet.com, and our investor relations website is located at https://investor.fortinet.com. The information posted on our website is not incorporated by reference into this Annual Report on Form 10-K. Our Annual Report on Form 10-K, Quarterly Reports on Form 10-Q, Current Reports on Form 8-K and amendments to reports filed or furnished pursuant to Sections 13(a) and 15(d) of the Securities Act of 1933, as amended (the “Securities Act”), are available free of charge on our investor relations website as soon as reasonably practicable after we electronically file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with, or furnish it to, the Securities and Exchange Commission (the “SEC”). You may also access all of our public filings through the SEC’s website at https://www.sec.gov.</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and press and earnings releases, as part of our investor relations website. The contents of these websites are not intended to be incorporated by reference into this report or in any other report or document we file.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a high degree of risk. Investors should carefully consider the following risks and all other information contained in this Annual Report on Form 10-K, including our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 We have summarized risks immediately below and encourage investors to carefully read the entirety of this Risk Factors section.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Business and Financial Position</w:t>
      </w: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operating results are likely to vary significantly and be unpredictable.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results have historically varied from period to period, and we expect that they will continue to do so as a result of a number of factors, many of which are outside of our control or may be difficult to predict, including:</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adverse economic conditions, including macroeconomic and regional economic challenges resulting, for example, from a recession, tariffs, disruptions of global supply chains or other economic downturn, increased inflation or possible stagflation in certain geographies, changing interest rates, the war in Ukraine, tensions between China and Taiwan, conflicts in the Middle East or other factors;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policy changes and uncertainty with respect to immigration laws, trade policy and tariffs, including increased tariffs applicable to countries where we manufacture our products, foreign imports and tax laws related to international commerce;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sales strategy, productivity, hiring and retention, and execution, and our ability to attract and retain new end-customers or sell additional products and services to our existing end-customers, including customer demand for platform solutions like ours versus point solutions;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successfully anticipate market changes related to cloud-based solutions and to sell, support and meet service level agreements related to cloud-based solutions;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component shortages, including chips and other components, and product inventory shortages, including those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inventory management, including future inventory purchase commitments;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level of demand for our products and services, which may render forecasts inaccurate, increase backlog or future inventory purchase commitments and lead to price decreases;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supplier or regulatory cost increases and any lack of market acceptance of our price increases designed to help offset any supplier or regulatory cost increases;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of channel partner and end-customer orders and our reliance on a concentration of shipments at the end of each quarter or changes in shipping terms;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impact to our business, the global economy, disruption of global supply chains and creation of significant volatility and disruption of the financial markets due to factors such as tariffs and policy disputes, increased inflation or possible stagflation in certain geographies, changing interest rates, the war in Ukraine, tensions between China and Taiwan, conflicts in the Middle East and other factors;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defects or vulnerabilities, including critical vulnerabilities, in our products or services, as well as reputational harm from the failure or misuse of our products or services, and any actual or perceived defects or vulnerabilities, including critical vulnerabilities, in our products or services, failure of our products or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detect or prevent a security incident or to cause a disruption to operations, failure of our customers to implement preventative actions such as updates to one of our deployed solutions or failure to help secure our customers;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compromising of our internal enterprise IT networks, our operational networks, our research and development networks, our back-end labs and cloud stacks hosted in our data centers or PoPs, colocation vendors or public cloud providers, and resulting harm to public perception of our products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of shipments, which may depend on factors such as inventory levels, logistics, manufacturing or shipping delays, our ability to ship products on schedule and our ability to accurately forecast inventory requirements and our suppliers’ ability to deliver components and finished goods;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increased expenses, unforeseen liabilities or write-downs and any negative impact on results of operations from any acquisition or equity investment, as well as integration risks related to product plans and products and risks of negative impact by such acquisitions and equity investments on our financial results;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investors’ expectations of our operational performance relating to our sustainability commitments;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certain customer agreements which contain service-level agreements, under which we guarantee specified availability of our platform and solutions;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inconsistent and evolving data and other security requirements and enforcement across certain jurisdictions;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impairments as a result of certain events or changes in circumstances;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mix of products sold and the mix of revenue between products and services, as well as the degree to which products and services are bundled and sold together for a package price;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purchasing practices and budgeting cycles of our channel partners and end-customers, including the effect of the end of product lifecycles, refresh cycles or price decreases;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any decreases in demand by channel partners or end-customers, including any such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effectiveness of our sales organization, generally or in a particular geographic region, including the time it takes to hire sales personnel, the timing of hiring and our ability to hire and retain effective sales personnel, our efforts to align our sales capacity and productivity with market demand and any negative impact to our sales and the effectiveness of our sales team based on changes to sales compensation or to our sales compensation plan;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sales productivity and sales execution risk related to effectively selling to all segments of the market, including enterprise and small- and medium-sized businesses, government organizations and service providers, and to selling our broad security product and services portfolio, including, among other execution risks, risks associated with the complexity and distraction in selling to all segments, increased competition and unpredictability of timing to close larger enterprise and large organization deals, and the risk that our sales representatives do not effectively sell products and services;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execution risk associated with our efforts to capture the opportunities related to our identified growth drivers, such as risk associated with our ability to capitalize on the convergence of networking and security, vendor consolidation of various cyber security solutions, SD-WAN, infrastructure security, security operations, SASE and other cloud security solutions, endpoint protection, IoT and OT security opportunities and product refresh cycles;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seasonal buying patterns of our end-customers;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backlog may fluctuate over quarters. If we experience supply chain shortages and cannot fulfill orders or if customers cancel or delay delivery of orders, our backlog may be affected, which will negatively impact our aggregate backlog to billings conversion and revenue in such quarter. Generally, a reduction to backlog increases our aggregate billings and revenue during the quarter when delivered;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and level of our investments in sales and marketing, and the impact of such investments on our operating expenses, operating margin and the productivity, capacity, tenure and effectiveness of execution of our sales and marketing teams;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of revenue recognition for our sales, including any impacts resulting from extension of payment terms and fluctuations in backlog levels, which could result in more variability and less predictability in our quarter-to-quarter revenue and operating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level of perceived threats to network security, which may fluctuate from period to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the requirements, market needs or buying practices and patterns of our distributors, resellers or end-customers;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the growth rates of the network security market in particular and other security and networking markets, such as SD-WAN, OT, switches, access points, security operations, SASE and other cloud solutions for which we and our competitors sell products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and success of new product and service introductions or enhancements by us or our competitors, or any other change in the competitive landscape of our industry, including consolidation among our competitors, partners or end-customers;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deferral of orders from distributors, resellers or end-customers in anticipation of new products or product enhancements announced by us or our competitors, price decreases or changes in our registration policies, or the acceleration of orders in response to our announced or expected price list increases, including those related to tariffs;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increases in our expenses caused by 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compliance with existing laws and regulations;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obtain and maintain permits, clearances and certifications that are applicable to our ability to conduct business with the U.S. federal government, other foreign and local governments and other industries and sectors;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litigation, litigation fees and costs, settlements, judgments and other equitable and legal relief granted related to litigation;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impact of cloud-based and hosted security solutions, including increased demand for such services and uncertainty associated with transition to providing such services, on our billings, revenue, operating margins and free cash flow;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decisions by potential end-customers to purchase network security solutions from newer technology providers, from larger, more established security vendors or from their primary network equipment vendors;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price competition and increased competitiveness in our market, including the competitive pressure caused by product refresh cycles and inventory levels;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both increase revenue and manage and control operating expenses in order to maintain or improve our operating margins;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customer renewal rates or attach rates for our services;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the timing of our billings, collection for our contracts or the contractual term of service sold;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changes in our estimated annual effective tax rates and the tax treatment of research and development expenses and the related impact of cash from operations;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changes in circumstances and challenges in business conditions, including decreased demand, which may negatively impact our channel partners’ ability to sell the current inventory they hold and negatively impact their future purchases of products from us;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potential shift or migration from physical appliances that deliver on-premises network security to cloud and SaaS-based security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channel partners having insufficient financial resources to withstand changes and challenges in business conditions;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disruptions in our channel or termination of our relationship with important channel partners, including as a result of consolidation among distributors and resellers of security solutions;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insolvency, credit or other difficulties confronting our key suppliers and channel partners, which could affect their ability to purchase or pay for products and services and which could disrupt our supply or distribution chain;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political, economic and social instability, including geo-political instability and uncertainty, such as that caused by the war in Ukraine, tensions between China and Taiwan, conflicts in the Middle East, and any disruption or negative impact on our ability to sell to, ship product to and support customers in certain regions based on trade restrictions, embargoes and export control law restrictions;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general economic conditions, both in domestic and foreign markets;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future accounting pronouncements or changes in our accounting policies as well as the significant costs that may be incurred to adopt and comply with these new pronouncements;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possible impairments or acceleration of depreciation of our existing real estate due to our current real estate investments and future acquisition and development plans; and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legislative or regulatory changes, such as with respect to privacy, information and cybersecurity, exports, the environment, regional component bans, and requirements for local manufacturing.</w:t>
      </w:r>
    </w:p>
    <w:p>
      <w:pPr>
        <w:pStyle w:val="TextBody"/>
        <w:bidi w:val="0"/>
        <w:spacing w:before="0" w:after="0"/>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one of the factors above or the cumulative effect of some of the factors referred to above may result in significant fluctuations in our quarterly financial and other operating results. This variability and unpredictability could result in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Adverse economic conditions, such as a possible recession and possible impacts of inflation or stagflation, tariffs or other trade disruptions, changing interest rates, reduced information technology spending, including firewall and other security spending, or any economic downturn or recession, may adversely impact our business. </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based on a downturn in the economy, a possible recession and the effects of ongoing or increased inflation or possible stagflation in certain geographies, tariffs or other trade disruptions, changing interest rates, geopolitical instability and uncertainty, a reduction in information technology spending regardless of macroeconomic conditions, the effects of epidemics and pandemics and the impact of the war in Ukraine, tensions between China and Taiwan or conflicts in the Middle East could have a material adverse impacts on our financial condition and results of operations and our business, including resulting in longer sales cycles, lower prices for our products and services, increased component costs, higher default rates among our channel partners, reduced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 sales, lower prices and slower or declining growth. These can negatively impact our business by putting downward pressure on growth if we are unable to achieve the increases in product prices necessary to appropriately offset the additional costs in a manner sufficient to maintain margins. Any of these impacts may materially and adversely affect our business, financial condition, results of operations and liquidity.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existence of inflation in certain economies has resulted in, and may continue to result in, changing interest rates and capital costs, increased component or shipping costs, increased costs of labor, weakening exchange rates and other similar effects. Although we take measures to mitigate risks such as those associated with inflation, the mitigating measures may not be effective or their impact may not offset the increased cost of inflation in a timely manner. Inflation, an economic downturn, a recession and any other economic challenges may also adversely impact spending patterns by our distributors, resellers and end-customers.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Any efforts to withdraw from or materially modify international trade agreements, change tax provisions related to global manufacturing and sales or impose new tariffs, economic sanctions or related legislation, could adversely affect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international nature of our operations,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efforts to implement changes related to export or import regulations (including the imposition of new or increases in border taxes or tariff rates, changes in customs or tariffs classifications or modifications to tariff exemptions on foreign imports), trade barriers, economic sanctions and other related policies could harm our results of operations. While we do not currently expect tariffs to have a significant effect on our raw material and product import costs, if the United States expands increased tariffs, changes in customs or tariffs classifications or modifications to tariff exemptions or if retaliatory trade measures are taken by other countries in response to the U.S. tariffs, the cost of our products could increase, our operations could be disrupted or we could be required to raise our prices, which may result in the loss of customers and harm to our reputation and operating performance. U.S. tariffs, and any new or additional retaliatory tariffs that may be imposed by foreign countries, may also adversely affect our customers and, consequently, demand for our products. We are monitoring this evolving situation and there can be no assurance that we will be able to mitigate the impacts of any trade measures on our business, which could adversely impact our business, operating results, financial condition, and our stock price.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modification in these areas, any shift in the enforcement or scope of existing regulations or any change in the countries, administrations,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Our billings, revenue and free cash flow growth, including our product and service billings and revenue, may slow, and our operating margins may decline, particularly if our billings and revenue do not improve or grow as anticipated, or if customer demand, renewal rates, pricing, competitive dynamics, implementation timing, cost structure, or macroeconomic conditions adversely affect our business, which could negatively impact our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experience slowing growth or a decrease in billings, revenue, operating margin and free cash flow for a number of reasons, including a slowdown in pipeline growth or for demand for our products or services generally, a shift in demand from products to services, decrease in services revenue growth, increased competition, execution challenges including sales execution challenges and lack of optimal sales productivity, worldwide or regional economic challenges based on inflation or possible stagflation, a regional recession or a recession in the global economy, changing interest rates, as a result of regional conflicts, a decrease in the growth of our overall market or softness in demand in certain geographies or industry verticals, such as the service provider industry, changes in our strategic opportunities, execution risks, lower sales productivity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If our investments in sales and marketing and other functional areas do not result in expected billings and revenue growth, we may experience margin declines. In addition, we may not be able to sustain our historical profitability levels in future periods if we fail to increase billings, revenue or deferred revenue, and do not appropriately manage our cost structure, free cash flow, or encounter unanticipated liabilities. As a result, any failure by us to maintain profitability and margins and continue our billings, revenue and free cash flow growth could cause the price of our common stock to materially decline.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real estate investments, including construction, acquisition, development or leasing of new data centers, data center expansions or office buildings, could involve significant risks to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sustain our growth in certain of our existing and new markets, we may acquire or expand existing data centers, lease new facilities or acquire suitable land, with or without structures, to build new data centers or office buildings. These projects expose us to risks which could have an adverse effect on our results of operations and financial condition. The current global supply chain and inflation issues have exacerbated many of these construction risks and created additional risks for our business. Some of the risks associated with construction projects include:</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construction delays;</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lack of availability and delays for data center equipment, including items such as generators and switchgear;</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unexpected budget changes;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increased prices for and delays in obtaining building supplies, raw materials and data center equipment;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labor availability, labor disputes and work stoppages with contractors, subcontractors and other third parties;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unanticipated environmental or regulatory issues and geological problems;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delays related to permitting and approvals to open from public agencies and utility companies;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unexpected lack of power access or unexpected increases in power needs or connectivity;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failure or inability for any reason to meet customer requirements and service level agreements, and any resulting penalties or liabilities related thereto;</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investor expectations regarding sustainability;</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delays in site readiness leading to our failure to meet commitments made to customers;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unanticipated customer requirements that would necessitate alternative data center design, making our sites less desirable or leading to increased costs in order to make necessary modifications or retrofits.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construction-related projects require us to carefully select and rely on the experience of one or more designers, general contractors and associated subcontractors during the design and construction process. Should a designer, general contractor, significant subcontractor or key supplier experience financial problems or other problems during the design or construction process, we could experience significant delays, increased costs to complete the project and/or other negative impacts to our expected returns.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broad insurance programs covering our properties and operating activities with limits of liability, deductibles and self-insured retentions that we believe are comparable to similarly situated companies. We believe the policy specifications and insured limits of these policies are adequate and appropriate. There are, however, certain types of extraordinary losses which may not be adequately covered under our insurance program. In addition, we could sustain losses due to insurance deductibles, self-insured retention, uninsured claims or casualties or losses in excess of applicable coverage. If an uninsured loss or a loss in excess of insured limits occurs, we could lose all or a portion of the capital we have invested in a property, as well as the anticipated future revenue from the property. In such an event, we might nevertheless remain obligated for any mortgage debt or other financial obligations related to the property. Material losses in excess of insurance proceeds may occur in the future. Such events could materially and adversely affect our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under various federal, state and local environmental laws, ordinances and regulations, a current or previous owner or operator of real property may be liable for the costs of removal or remediation of hazardous or toxic substances on, under or in that property. Those laws often impose liability even if the owner or operator did not cause or know of the presence of hazardous or toxic substances and even if the storage of those substances was in violation of a customer’s lease. In addition, the presence of hazardous or toxic substances, or the failure of the owner to address their presence on the property, may adversely affect the owner’s ability to borrow using that real property as collateral. Any environmental issues related to our real estate activities could materially and adversely affect our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dependent on the continued services and performance of our senior management, the loss of any of whom could adversely affect our business, operating results and financial condition.</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rely on third-party channel partners for substantially all of our revenue. If our partners fail to perform, our ability to sell our products and services will be limited, and if we fail to optimize our channel partner model going forward, our operating results may be harmed. Additionally, a small number of distributors represents a large percentage of our revenue and accounts receivable, and one distributor accounted for 32% of our total net accounts receivable as of December 31, 2025.</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portion of our sales are generated through a limited number of distributors, and substantially all of our revenue is from sales by our channel partners, including distributors and resellers. We depend on our channel partners to 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may be harmed. The termination of our relationship with any significant channel partner may adversely impact our sales and operating results. If we change our partner strategy, such as if we start engaging in more sales directly with customers, and if we terminate partners or partners terminate or reduce selling on our behalf based on changes in our strategy or for any other reason, this could harm our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 small number of channel partners represents a large percentage of our revenue and gross accounts receivable. We are exposed to the credit and liquidity risk of some of our channel partners and to credit exposure in weakened markets, which could result in material losses. Our dependence on a limited number of key channel partners means that our billings, revenue and operating results may be harmed by the inability of these key channel partners to successfully sell our products and services, or if any of these key channel partners is unable or unwilling to pay us, terminates its relationship with us or goes out of business. Although we have programs in place that are designed to monitor and mitigate credit and liquidity risks, we cannot guarantee these programs will be effective in reducing our credit risks. If we are unable to adequately control these risks, our business, operating results, and financial condition could be harmed. If channel partners fail to pay us under the terms of our agreements or we are otherwise unable to collect on our accounts receivable from these channel partners, we may be adversely affected both from the inability to collect amounts due and the cost of enforcing the terms of our contracts, including litigation. Our channel partners may seek bankruptcy protection or other similar relief and fail to pay amounts due to us, or pay those amounts more slowly, either of which could adversely affect our operating results, financial position, and cash flow. We may be further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Six distributor customers who purchase directly from us accounted for 67% and 69% of our total net accounts receivable in the aggregate as of December 31, 2025 and 2024, respectively. See Note 15. Segment Information in Part II, Item 8 of this Annual Report on Form 10-K for distributor customers accounted for 10% or more of our revenue or net accounts receivable. Our largest distributors may experience financial difficulties, face liquidity risk or other financial challenges, which may harm our ability to collect on our accounts receivable.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channel partners with specific programs to assist them with selling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Moreover, many of our channel partners are privately held, including some of our largest partners, and we may not have sufficient information to assess their financial condition. If our channel partners’ financial condition or operations weaken, their ability to sell our products and services could be negatively impacted. Our channel partners may also market, sell and support products and services that are competitive with ours, and may devote more resources to the marketing, sales and support of such products, or may decide to cease selling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our service provider customers suffer a cyber event impacting end-users, or our channel partners violate laws or our corporate policies. Additionally, if our channel partners experience issues such as cyberattacks or other operational disruptions, it could negatively impact our ability to receive orders from them and, among other things, may adversely affect our billings and revenue.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Reliance on a concentration of shipments at the end of the quarter or changes in shipping terms could cause our billings and revenue to fall below expected levels.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of customer 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typically arrange for a logistics partner to pick up the last shipment of our products a few hours prior to the end of the quarter, and a delay in the arrival of the logistics partner or other factors such as a power outage could prevent us from shipping and billing for a material amount of products for which we have orders. Further, it is possible that the dollar value of these products intended to be shipped late on the last day of the quarter may be material. Additionally, our service billings are dependent on the completion of certain automated processes by our internal business management systems, some of which cannot be performed until after the related products have been shipped. If we do not have enough time after shipping our products for our systems to perform these processes prior to the end of the quarter, we have system issues that prevent processing in time to realize service billings in a quarter, or there are delays in deals closing or deals are lost, we will not be able to bill and realize billings for those services until possibly the following quarter at the earliest, which may materially negatively impact our billings for a particular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Our billings and revenue for any quarter could fall below our expectations or those of securities analysts and investors, resulting in a decline in our stock price, if expected orders at the end of any quarter are delayed or deals are lost for any reason or our ability to fulfill orders at the end of any quarter is hindered for any reason, including, among others: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failure of anticipated purchase orders to materialize;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logistics partners’ failure or inability to ship products prior to quarter-end to fulfill purchase orders received near the end of the quarter;</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disruption in manufacturing or shipping based on power outages, system failures, labor disputes or constraints, excessive demand, natural disasters, geopolitical matters or widespread public health problems including pandemics and epidemics;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failure to accurately forecast our inventory requirements and to appropriately manage inventory to meet demand;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inability to release new products on schedule;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any failure of our systems related to order review and processing;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any delays in shipments due to trade compliance requirements, labor disputes or logistics changes at shipping ports, airline strikes, severe weather or otherwise.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significantly on revenue from FortiGuard and other security subscriptions and FortiCare technical support services, and revenue from these services may decline or fluctuate. Because we recognize revenue from these services over the term of the relevant service period, downturns or upturns in sales of FortiGuard and other security subscriptions and FortiCare technical support services are not immediately reflected in full in our operating results.</w:t>
      </w:r>
    </w:p>
    <w:p>
      <w:pPr>
        <w:pStyle w:val="TextBody"/>
        <w:bidi w:val="0"/>
        <w:spacing w:before="0" w:after="0"/>
        <w:ind w:left="0" w:right="0" w:firstLine="54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FortiGuard and other security subscriptions and FortiCare technical support services revenue has historically accounted for a significant percentage of our total revenue. Revenue from the sale of new, or from the renewal of existing, FortiGuard and other security subscriptions and FortiCare technical support service contracts may decline and fluctuate as a result of a number of factors, including fluctuations and changes in the mix of our sales from secure networking, unified SASE and security operations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such sales. If our sales of new, or renewals of existing, FortiGuard and other security subscriptions and FortiCare technical support service contracts decline, our revenue and revenue growth may decrease and our business could suffer. In addition, in the event significant customers require payment terms for FortiGuard and other security subscriptions and FortiCare technical support services in arrears or for shorter periods of time than annually, such as monthly or quarterly, this may negatively impact our billings and revenue. Furthermore, we recognize FortiGuard and other security subscriptions and FortiCare technical support services revenue ratably over the term of the service period, which is typically from one to five years. As a result, much of the FortiGuard and other security subscriptions and FortiCare technical support services revenue we report each quarter is the recognition of deferred revenue from FortiGuard and other security subscriptions and FortiCare technical support service contracts entered into during previous quarters or years. Consequently, a decline in new or renewed FortiGuard and other security subscriptions and FortiCare technical support service contracts in any one quarter will not be fully reflected in revenue in that quarter but will negatively affect our revenue in future quarters. Accordingly, the effect of significant downturns in sales of new, or renewals of existing, FortiGuard and other security subscriptions and FortiCare technical support services is not reflected in full in our statements of income until future periods. Our FortiGuard and other security subscriptions and FortiCare technical support services revenue also makes it difficult for us to rapidly increase our revenue through additional service sales in any period, as revenue from new and renewal support services contracts must be recognized over the applicable service term.</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intense competition in our market and we may not maintain or improve our competitive position.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for network security products is intensely competitive and dynamic, and we expect competition to continue to intensify. We face many competitors across the different cybersecurity markets. Our competitors include companies such as Check Point, Cisco, CrowdStrike, F5 Networks, HPE, Huawei, Microsoft, Netskope, Palo Alto Networks, SonicWALL, Sophos, and Zscaler.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our existing and potential competitors’ competitive advantages include:</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greater name recognition and/or longer operating histories;</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larger sales and marketing budgets and resources;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broader distribution and established relationships with distribution partners and end-customers;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access to larger customer bases;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greater customer support resources;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greater expertise in certain single point solutions;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greater resources to make acquisitions;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stronger U.S. government relationships;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lower labor and development costs;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substantially greater financial, technical and other resources.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of our larger competitors may have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providing protection from a single type of security threat are often able to deliver these specialized security products to the market more quickly than we can.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Conditions in our markets could change rapidly and significantly as a result of technological advancements or continuing market consolidation. Our competitors and potential competitors may also be able to develop products or services, and leverage new business models, that are equal or superior to ours, achieve greater market acceptance of their products and services, disrupt our markets, and increase sales by utilizing different distribution channels than we do. For example, certain of our competitors are focusing on delivering security services from the cloud which include cloud-based security providers, such as CrowdStrike and Zscaler.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If we are unable to hire, retain and motivate qualified personnel, our business will suffer.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For example, in May 2025, our former Chief Financial Officer, Keith Jensen, retired after 11 years at Fortinet. None of our key employees have an employment agreement for a specific term, and any of our employees may terminate their employment at any time. Our ability to continue to attract and retain highly skilled personnel will be critical to our future success.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for highly skilled personnel is frequently intense, especially for qualified sales, support and engineering employees in network security and especially in the locations where we have a substantial presence and need for highly skilled personnel, such as the San Francisco Bay Area and the Vancouver, Canada, area. We may not be successful in attracting, assimilating or retaining qualified personnel to fulfill our current or future needs. In addition,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 Our inability to hire properly qualified and effective sales, support and engineering employees could harm our growth and our ability to effectively support growth.</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have incurred indebtedness and may incur other debt in the future, which may adversely affect our financial condition and future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an aggregate of $996.3 million of indebtedness outstanding under our Senior Notes. Under the agreements governing our indebtedness, we are permitted to incur additional debt. This debt, and any debt that we may incur in the future, may adversely affect our financial condition and future financial results by, among other things: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increasing our vulnerability to downturns in our business, to competitive pressures and to adverse economic and industry conditions;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requiring the dedication of a portion of our expected cash from operations to service our indebtedness, thereby reducing the amount of expected cash flow available for other purposes, including capital expenditures, share repurchases and acquisitions;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limiting our flexibility in planning for, or reacting to, changes in our businesses and our industries.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generate sufficient cash flow from operations in the future to service our debt, we may be required, among other things, to seek additional financing in the debt or equity markets, refinance or restructure all or a portion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indebtedness, sell selected assets or reduce or delay planned capital, operating or investment expenditures. Such measures may not be sufficient to enable us to service our debt.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agreements governing our indebtedness impose restrictions on us and require us to comply with certain covenants. If we breach any of these covenants and do not obtain a waiver from the noteholders, then, subject to applicable cure periods, any or all of our outstanding indebtedness may be declared immediately due and payable. There can be no assurance that any refinancing or additional financing would be available on terms that are favorable or acceptable to us, if at all.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our outstanding Senior Notes, we may be required to repurchase the notes for cash prior to their maturity in connection with the occurrence of certain changes of control that are accompanied by certain downgrades in the credit ratings of the notes. The repayment obligations under the notes may have the effect of discouraging, delaying or preventing a takeover of our company. If we were required to pay the notes prior to their scheduled maturity, it could have a negative impact on our cash position and liquidity and impair our ability to invest financial resources in other strategic initiatives.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changes by any rating agency to our credit rating may negatively impact the value and liquidity of both our debt and equity securities, as well as affect our ability to obtain additional financing in the future and may negatively impact the terms of any such financing.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Sales and End-Customers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generate a majority of revenue from sales to distributors, resellers and end-customers outside of the United States, and we are therefore subject to a number of risks associated with international sales and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disruption in the supply chain or in manufacturing or shipping, or decreases in demand by channel partners or end-customers, including any such disruption or decreases caused by factors outside of our control such as international trade disputes or tariffs, labor or supply chain disruptions, inflation and other cost increases, international conflicts, terrorism, wars, such as the war in Ukraine, tensions between China and Taiwan, conflicts in the Middle East, critical infrastructure attacks, natural disasters, health emergencies, epidemics and pandemics, power outages and civil unrest;</w:t>
      </w:r>
    </w:p>
    <w:p>
      <w:pPr>
        <w:pStyle w:val="TextBody"/>
        <w:bidi w:val="0"/>
        <w:spacing w:before="0" w:after="0"/>
        <w:ind w:left="0" w:right="0" w:hanging="36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fluctuations in foreign currency exchange rates or a weakening of the U.S. dollar, as a significant portion of our expenses are incurred and paid in currencies other than the U.S. dollar, and such fluctuations may negatively affect our financial condition and results of operations;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political instability, changes in trade agreements, tariffs and conflicts such as the war in Ukraine, tensions between China and Taiwan, conflicts in the Middle East and any expansions thereof, could adversely affect our business and financial performance;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economic instability in foreign markets, such as any economic instability caused by economic downturns or recessions, could adversely affect our business and financial performance;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greater difficulty in enforcing contracts and accounts receivable collection, including longer collection periods;</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longer sales processes for larger deals;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regulatory requirements;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difficulties and costs of staffing and managing foreign operations;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uncertainty of protection for IP rights in some countries;</w:t>
      </w:r>
    </w:p>
    <w:p>
      <w:pPr>
        <w:pStyle w:val="TextBody"/>
        <w:bidi w:val="0"/>
        <w:spacing w:lineRule="auto" w:line="288" w:before="0" w:after="0"/>
        <w:ind w:left="0" w:right="0" w:hanging="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costs of compliance with foreign policies, laws and regulations and the risks and costs of non-compliance with such policies, laws and regulations;</w:t>
      </w:r>
    </w:p>
    <w:p>
      <w:pPr>
        <w:pStyle w:val="TextBody"/>
        <w:bidi w:val="0"/>
        <w:spacing w:before="0" w:after="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 xml:space="preserve">protectionist policies and penalties, and local laws, requirements, policies and perceptions that may adversely impact a U.S.-headquartered business’s sales in certain countries outside of the United States; </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hanging="720"/>
        <w:jc w:val="left"/>
        <w:rPr/>
      </w:pPr>
      <w:r>
        <w:rPr>
          <w:color w:val="000000"/>
        </w:rPr>
        <w:t>•</w:t>
      </w:r>
      <w:r>
        <w:rPr>
          <w:rFonts w:ascii="Times New Roman;serif" w:hAnsi="Times New Roman;serif"/>
          <w:b w:val="false"/>
          <w:color w:val="000000"/>
          <w:sz w:val="20"/>
        </w:rPr>
        <w:t>costs of complying with, and the risks, reputational damage and other costs of non-compliance with, U.S. or other foreign laws and regulations for foreign operations, including the U.S. Foreign Corrupt Practices Act, the United Kingdom Bribery Act 2010, the General Data Protection Regulation (the “GDPR”), the Digital Operational Resilience Act (“DORA”), the EU Data Act, import and export control laws, trade laws and regulations, tariffs and retaliatory measures, trade barriers and economic sanctions;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other regulatory or contractual limitations on our ability to sell our products in certain foreign markets, and the risks and costs of non-compliance;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heightened risks of unfair or corrupt business practices in certain geographies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our ability to effectively implement and maintain adequate internal controls to properly manage our international sales and operations;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political unrest, changes and uncertainty associated with terrorism, hostilities, war or natural disasters;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management communication and integration problems resulting from cultural differences and geographic dispersion;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tax, tariff, employment and other laws.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and service sales and employee and contractor matters may be subject to foreign governmental regulations, which vary substantially from country to country. Further, we may be unable to keep up to 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not successful in continuing to execute our strategy to increase our sales to large- and medium-sized end-customers, our results of operations may suffer.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a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MSSPs, and there can be no assurance that we will be successful selling to these customers. Sales to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organizations involve risks that may not be present, or that are present to a lesser extent, with sales to smaller entities. These risks include: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increased competition from competitors that traditionally target large- and medium-sized businesses, service providers and government organizations and that may already have purchase commitments from those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increased purchasing power and leverage held by large end-customers in negotiating contractual arrangements;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more stringent support requirements in our support service contracts, including stricter support response times, more complex requirements and increased penalties for any failure to meet support requirements;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longer sales cycles and the associated risk that deals are delayed and that substantial time and resources may be spent on a potential end-customer that elects not to purchase our products and services; </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increased requirements from these customers that we have certain third-party security or other certifications, which we may not have, the lack of which may adversely affect our ability to successfully sell to such customers;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uncertainty as to timing to close large deals and any delays in closing those deals;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longer ramp-up periods for enterprise sales personnel as compared to other sales personnel.</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in light of current economic conditions and regulations in place by various government authorities, some of these sales cycles are being further extended.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do not increase the effectiveness of our sales organization, we may have difficulty adding new end-customers or increasing sales to our existing end-customers and our business may be adversely affected.</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our sales strategy, sales execution, and sales personnel selling successfully in different contexts, each of which has its own different complexities, approaches and competitive landscapes,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may not increase at anticipated levels and our ability to achieve long-term projections may be negatively impacted. If we are unable to hire and train sufficient numbers of effective sales personnel, the sales personnel are not successful in obtaining new end-customers or increasing sales to our existing customer base or sales personnel do not effectively sell our extended security products, our business, operating results and prospects may be adversely affected. If we do not hire properly qualified and effective sales employees and organize our sales team effectively to capture the opportunities in the various customer segments we are targeting, our growth and ability to effectively support growth may be harmed.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in light of macroeconomic trends and in the event of sales execution challenges for any reason, we may face excess sales capacity, low sales productivity generally, and a decline in productivity in our sales organization. If we are not able to align our sales capacity and market demand, or if the productivity of our sales organization decreases, our operating results and financial condition could be harmed.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periodically implement new sales compensation plans, which may change the method, amount and timing for sales-based compensation for our sales personnel. If we are not successful in implementing new sales compensation plans, or members of our sales team react negatively to such new plans, this may negatively impact our ability to execute and grow sales and we may be unable to hire, retain and motivate qualified sales personnel.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Unless we continue to develop better market awareness of our company and our products, and to improve lead generation and sales enablement, our revenue may not continue to grow.</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Increased market awareness of our capabilities and products and increased lead generation are essential to our continued growth and our success in all of our markets, particularly the market for sales to large businesses, service providers and government organizations.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in growing billings for our broad product suite or if we experience turnover and disruption in our sales and marketing teams, we may not be able to achieve sustained growth, and our business, financial condition and results of operations may be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Some of our sales are to government organizations, which subjects us to a number of regulatory requirements, their own supply chain constraints and contractual requirements, challenges and risks.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to U.S. and foreign federal, state and local government organizations are subject to a number of risks. Because of public sector budgetary cycles and laws or regulations governing public procurements, such sales often require significant upfront time and expense without any assurance of winning a sale.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Government demand, sales and payment for our products and services may be negatively impacted by numerous factors and requirements unique to selling to government agencies, such as:</w:t>
      </w:r>
    </w:p>
    <w:p>
      <w:pPr>
        <w:pStyle w:val="TextBody"/>
        <w:bidi w:val="0"/>
        <w:spacing w:before="0" w:after="0"/>
        <w:ind w:left="0" w:right="0" w:hanging="36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policies, laws and regulations have in the past, and may in the future, require us to obtain and maintain certain security and other certifications in order to sell our products and services into certain government organizations, and such certifications may be costly and time-consuming to obtain and maintain;</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funding authorizations and requirements unique to government agencies, with funding or purchasing reductions or delays adversely affecting public sector demand for our products. Our business operations, contract awards, and revenue streams are subject to governmental actions, which may introduce risks to our financial performance and strategic growth. In addition, these actions could eliminate or reduce the operations of an agency that we work with, terminate employees with whom we have business relations with or cancel or modify a contract with us. Any failure to comply with these actions, shifts in federal procurement strategies, or budgetary reductions imposed by the agency could adversely impact our financial results, competitive positioning, and overall business operations;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 xml:space="preserve">geopolitical matters, including tariff and trade disputes, government shutdowns, impact of the war in Ukraine, tensions between China and Taiwan, conflicts in the Middle East, trade protectionism and other geopolitical dynamics that may adversely affect our ability to sell in certain locations or obtain the requisite permits and clearances required for certain purchases by government organizations of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do not have certain certifications, this may restrict our ability to sell to certain customers until we have obtained the required certifications and we may not obtain the certifications in a timely manner or at all. For example, certain of our competitors may have decided to become certified under the U.S. Federal Risk and Authorization Management Program (“FedRAMP”), and until the time that we also certify under FedRAMP, we risk losing deals to certified competitors for deals where FedRAMP certification is a requirement.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rules and regulations applicable to sales to government organizations may also negatively impact sales to other organizations. For example, government organizations may have contractual or other legal rights to terminate contracts with our distributors and resellers for convenience or due to a default, and any such termination may adversely impact our future results of operations. If the distributor receives a significant portion of its revenue from sales to government organizations,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other review or unfavorable determination related to any government clearance or certification could result in the government’s refusing to continue buying our products and services, a limitation and reduction of government purchases of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Further, any refusal to grant certain certifications or clearances by one government agency, or any decision by one government agency that our products do not meet certain standards, may reduce business opportunities and cause reputational harm and cause concern with other government agencies, governments and businesses and cause them to not buy our products and services and/or lead to a decrease in demand for our products generally.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Finally, some governments, including the U.S. federal government, may require certain products to be manufactured in, and services to be provided from, certain identified countries which may be high-cost locations. We may not manufacture all products or provide all services in locations that meet such requirements and consequently our products and services may not be eligible for certain government purchases.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Products and Services, Industry and Customers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Actual, possible or perceived defects, errors or vulnerabilities, including critical vulnerabilities, in our products or services, the failure of our products or services to detect or prevent a security incident or the misuse of our products could harm our and our customers’ operational results and reputation.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services are complex, and they have contained and may contain defects, errors or vulnerabilities that are not detected until after their commercial release and deployment by our customers. Defects, errors or vulnerabilities may impede or block network traffic, cause our products or services to be vulnerable to electronic break-ins, cause them to fail to help secure our customers or cause our products or services to allow unauthorized access to our customers’ networks, or an unintended disruption to our customers’ operations. Additionally, any perception that our products have vulnerabilities, whether or not accurate, and any actual vulnerabilities may harm our operational results and reputation, more significantly as compared to other companies in other industries.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a review in accordance with our publicly available Product Security Incident Response Team policy, our Product Security Incident Response Team publicly posts on our FortiGuard Labs website known product vulnerabilities, including critical vulnerabilities, and methods for customers to mitigate the risk of vulnerabilities. For example, we recently discovered, and subsequently released to customers an advisory update and patch for, a critical vulnerability in our FortiManager product. We are subject to various risks due to the FortiManager vulnerability, including reputational harm, adverse impacts to customer relationships, potential litigation, and additional regulatory scrutiny, which could negatively impact our business, operating results and financial condition. There can be no assurance that posts on our FortiGuard Labs website, including with respect to the recently announced FortiManager vulnerability, will be sufficiently timely, accurate or complete or that those customers will see such posts or take steps to mitigate the risk of vulnerabilities, and certain customers may be negatively impacted.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are also susceptible to errors, defects, logic flaws, vulnerabilities and inserted vulnerabilities that may arise in, or be included in our products in, different stages of our supply chain, manufacturing and shipment processes, and a threat actor’s exploitation of these weaknesses may be difficult to anticipate, prevent, and detect. If we are unable to maintain an effective supply chain security risk management and products security program or we inadvertently release a product or an update to a product with a defect in it, then the security and integrity of our products and the updates to those products that our customers receive could be exploited by third parties or insiders, or our solutions or updates thereto could cause an unintended disruption to our customers’ operations. Different customers deploy and use our products in different ways, and certain deployments and usages may subject our products to adverse conditions that may negatively impact the effectiveness and useful lifetime of our products. Further, customers may choose not to apply patches in a timely manner for business or operational reasons, or may neglect to upgrade at all and may run unpatched or unsupported devices against our guidance and industry best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practice. Such lack of action to remediate known product vulnerabilities in the customer environment could negatively impact their own security posture, increasing the likelihood of exploitation and negatively impacting our reputation. Our networks and products, including cloud-based technology, could be targeted by attacks specifically designed to disrupt our business and harm our operational results and reputation.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ensure that our products will prevent all adverse security events or not cause disruptions to our customers’ operations. Because the techniques used by malicious adversaries to access or sabotage networks change frequently and generally are not recognized until launched against a target, we may be unable to anticipate these techniques. In addition, defects or errors in our FortiGuard and other security subscriptions or FortiCare updates or our Fortinet appliances and operating systems could result in a failure of our FortiGuard and other security subscription services to effectively or correctly update end-customers’ Fortinet appliances and cloud-based products and thereby leave customers vulnerable to attacks or to disruptions in operations. Furthermore, our solutions may also fail to detect or prevent viruses, worms, ransomware attacks or similar threats due to a number of reasons such as the evolving nature of such threats and the continual emergence of new threats that we may fail to anticipate or add to our FortiGuard databases in time to protect our end-customers’ networks.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data centers and networks and those of our hosting vendors and cloud service providers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An actual, possible or perceived security incident or infection of the network of one of our end-customers or a disruption to their operations, regardless of whether the incident is attributable to the failure of our products or services to prevent or detect the security incident or be the cause of such disruption, or any actual or perceived security risk in our supply chain, could adversely affect the market’s perception of our security products and services, cause customers and customer prospects not to buy from us and, in some instances, subject us to potential liability that is not contractually limited. We may not be able to correct any security flaws or vulnerabilities promptly, or at all. Our products may also be misused or misconfigured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including critical vulnerabilities,</w:t>
      </w:r>
      <w:r>
        <w:rPr>
          <w:color w:val="000000"/>
        </w:rPr>
        <w:t xml:space="preserve"> </w:t>
      </w:r>
      <w:r>
        <w:rPr>
          <w:rFonts w:ascii="Times New Roman;serif" w:hAnsi="Times New Roman;serif"/>
          <w:b w:val="false"/>
          <w:color w:val="000000"/>
          <w:sz w:val="20"/>
        </w:rPr>
        <w:t>in our products, or misuse of our products, could result in:</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the expenditure of significant financial and product development resources in efforts to analyze, correct, eliminate or work around errors or defects or to address and eliminate vulnerabilities;</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the loss of existing or potential end-customers or channel partners;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delayed or lost revenue;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delay or failure to attain market acceptance;</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negative publicity and harm to our reputation; and</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color w:val="000000"/>
          <w:sz w:val="20"/>
        </w:rPr>
        <w:t>disclosure requirements, litigation, regulatory inquiries or investigations that may be costly and harm our reputation and, in some instances, subject us to potential liability that is not contractually limited.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on the market’s confidence in our ability to provide effective network security protection. Despite our efforts and processes to prevent breaches of our internal networks, systems and websites, whether in our owned data centers, cloud providers or colocations, we are still vulnerable to computer viruses, break-ins, phishing attacks, ransomware attacks, attempts to overload our servers with denial-of-service, vulnerabilities in vendor hardware and software that we leverage, advanced persistent threats from sophisticated actors and other cyberattacks and similar disruptions from unauthorized access to our internal networks, systems or websites, whether in our owned data centers, cloud providers or colocations.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disclose information in order to gain access to our networks and confidential information. Third parties may also send our customers or others malware or malicious emails that falsely indicate that we are the source, potentially causing lost confidence in us and reputational harm. We cannot guarantee that the measures we have taken to protect our networks, systems and websites, whether in our owned data centers, cloud providers or colocations, will provide adequate security. Moreover, because we provide network security products, we may be a more attractive target for attacks by computer hackers and any security breaches and other security incidents involving us may result in more harm to our reputation and brand than companies that do not sell network security solutions. Hackers and malicious parties may be able to develop and deploy viruses, worms, ransomware and other malicious software programs that attack our products and customers, that impersonate our update servers in an effort to access customer networks and negatively impact customers, or otherwise exploit any security vulnerabilities of our products, or attempt to fraudulently induce our employees, customers or others to disclose passwords or other sensitive information or unwittingly provide access to our internal networks, systems or data. Moreover, the threat landscape continues to evolve as a result of new technologies, including AI, and malicious parties may use AI to help attack our solutions, systems, and our customers.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from time to time, we have discovered that unauthorized parties have targeted us using sophisticated techniques, including by stealing technical data and attempting to steal private encryption keys, in an effort to both impersonate our products and threat intelligence update services and possibly attempt other attack methodologies. Using these techniques, these unauthorized parties have tried, and may in the future try, to gain access to certain of our and our customers’ systems. We have also, for example, discovered that unauthorized parties have targeted vulnerabilities, including critical vulnerabilities, in our product software and infrastructure in an effort to gain entry into our customers’ networks. In addition, in general threat actors use dark web forums to sell organizations’ stolen credentials. If threat actors sell valid credentials used by our customers to access our services, it is possible that unauthorized third parties may use such stolen credentials to try to gain access to our services. These and other hacking efforts against us and our customers may be ongoing and may happen in the future.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take numerous measures and implement multiple layers of security to protect our networks, we cannot guarantee that our security products, processes and services will secure against all threats. Further, we cannot be sure that third parties have not been, or will not in the future be, successful in improperly accessing our systems and our customers’ systems, which could negatively impact us and our customers. An actual breach could significantly harm us and our customers, and an actual or perceived breach, or any other actual or perceived data security incident, threat or vulnerability, that involves our supply chains, networks, systems or websites and/or our customers’ supply chains, networks, systems or websites could adversely affect the market perception of our products and services and investor confidence in our company. Any breach of our networks, systems or websites could impair our ability to operate our business, including our ability to provide FortiGuard and other security subscriptions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networks, systems or websites could have an adverse effect on our business, operating results and stock price.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there has been a general increase in phishing attempts and spam emails as well as social engineering attempts from hackers, and many of our employees continue to work remotely which may pose additional data security risks in the event remote work environments are not as secure as office environments. Any security incident could negatively impact our reputation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Managing inventory of our products and product components is complex. We order components from third-party manufacturers based on our forecasts of future demand and targeted inventory levels, which exposes us to the risk of product shortages, which may result in lost sales, higher expenses and excess inventory, which may require us to sell our products at discounts and lead to inventory charges or write-offs.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Managing our inventory is complex, especially in times of supply chain disruption.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If we cannot manufacture and ship our products due to, for example, global chip shortages, excessive demand on contract manufacturers capacity, natural disasters and health emergencies such as earthquakes, fires, power outages, typhoons, floods, health pandemics and epidemics or manmade events such as civil unrest, labor disruption, tariffs, cyber events, international trade disputes, international conflicts, terrorism, wars or other foreign conflicts, such as the war in Ukraine, tensions between China and Taiwan or conflicts in the Middle East, and critical infrastructure attacks, our business and financial results could be materially and adversely impacted. Conflicts in the Middle East highlights potential risks associated with geopolitical instability in the region, including disruption to shipping routes, longer lead times for components and products, increased insurance costs for vessels passing through conflict zones,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potential increased costs for shipping and products, and potential delays and interruptions in the supply chain. We may face challenges in sourcing materials, fulfilling orders and managing logistics efficiently, which could ultimately affect our operations, financial performance and overall business continuity. For example, as a 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If we are unable to obtain sufficient quantities of memory chips on commercially reasonable terms, we have experienced, and may continue to experience,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prior periods of supply chain disruption, including during the COVID-19 pandemic we increased our purchase order commitments. Similar conditions could arise in the future, which may require us to accept or pay for components and finished goods regardless of our level of sales in a particular period, which may negatively or unpredictably impact our operating results and financial condition. For additional information and a further discussion of impacts and risks related to our purchase commitments with our suppliers, refer to Note 11. Commitments and Contingencies in Part II, Item 8 of this Annual Report on Form 10-K.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which may result in inventory charges and/or write-down of inventory, which in turn could result in lower gross margins. Alternatively, insufficient inventory levels may lead to shortages that result in delayed billings and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new products, services and enhancements do not achieve sufficient market acceptance, our results of operations and competitive position will suffer.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spend substantial amounts of time and money to develop internally and acquire new products and services and enhance versions of our existing products and services in order to incorporate additional features, improved functionality or other enhancements in order to meet our customers’ rapidly evolving demands for network security in our highly competitive industry. When we develop a new product or service, or an enhanced version of an existing product or service, we typically incur expenses and expend resources upfront to market, promote and sell the new offering. Therefore, when we develop and introduce new or enhanced products or services, they must achieve high levels of market acceptance in order to justify the amount of our investment in developing and bringing them to market.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new products, services or enhancements could fail to attain sufficient market acceptance for many reasons, including: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actual or perceived defects, vulnerabilities, errors or failures;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delays in releasing our new products, services or enhancements to the market;</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to accurately predict market demand in terms of product and service functionality and to supply products and services that meet this demand in a timely fashion;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to have the appropriate research and development expertise and focus to make our top strategic products and services successful;</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of our sales force and partners to focus on selling new products and services;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inability to interoperate effectively with the networks or applications of our prospective end-customers;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inability to protect against new types of attacks or techniques used by hackers;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negative publicity about their performance or effectiveness;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introduction or anticipated introduction of competing products and services by our competitors;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poor business conditions for our end-customers, causing them to delay IT purchases;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to the regulatory requirements around security;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reluctance of customers to purchase products or services incorporating open source software.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new products, services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service or enhancement.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network security market is rapidly evolving and the complex technology incorporated in our products makes them difficult to develop. If we do not accurately predict, prepare for and respond promptly to technological and market developments, changing end-customer needs, and expanding regulatory requirements and standards, our competitive position and prospects may be harmed.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of the requirements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time-consuming research and development processes. For example, we enter into development agreements with third parties. If our development projects are not successfully completed, or are not completed in a timely fashion, our product development could be delayed and our business generally could suffer. Costs for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releasing and making available on a timely basis new products and services or enhancements that can respond adequately to new security threats, our competitive position and business prospects may be harmed.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business models based on a subscription cloud-based software service have become increasingly in demand by our end-customers and adopted by other providers, including our competitors. While we have introduced additional cloud-based solutions and will continue to do so, most of our platform is currently deployed on premise, and therefore, as customers demand that solutions be provided through a subscription cloud-based business model, we are making additional investments in our infrastructure and personnel to be able to more fully provide our platform through a subscription cloud-based model in order to maintain the competitiveness of our platform. Such investments involve expanding our data centers, servers and networks, and increasing our technical operations and engineering teams and this results in added cost and risks associated with managing new business models, such as obligations to deliver certain functionality and features and to meet certain service level agreements related to cloud-based solutions. There is also a risk that we are slower to offer these solutions than competitors. The risks are compounded by the uncertainty concerning the future success of any of our particular subscription cloud-based business models and the future demand for our subscription cloud-based models by customers. Additionally, if we are unable to meet the demand to provide our services effectively through a subscription cloud-based model, we may lose customers to competitors.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Demand for our products may be limited by market perception that individual products from one vendor that provide multiple layers of security protection in one product are inferior to point products from multiple vendors.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functionality similar to that offered by our products is incorporated into existing network infrastructure products, organizations may decide against adding our appliances to their network, which would have an adverse effect on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Large, well-established providers of networking equipment, such as Cisco,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we depend on several third-party manufacturers to build our products, we are susceptible to manufacturing delays that could prevent us from shipping customer orders on time, if at all, and may result in the loss of sales and customers; additionally third-party manufacturing cost increases and changes in the geopolitical environment could result in lower gross margins and free cash flow.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outsource the manufacturing of our security appliance products to contract manufacturing partners and original design manufacturing partners, including manufacturers with facilities located in Taiwan and other countries outside the United States such as Accton, IBASE, Micro-Star, Senao and Wistron. Our reliance on our third-party manufacturers reduces our control over the manufacturing process, exposing us to risks, including reduced control over quality assurance, costs, supply and timing and possible tariffs. Any manufacturing disruption related to our third-party manufacturers or their component suppliers for any reason, including global chip shortages, natural disasters and health emergencies such as earthquakes, fires, power outages, typhoons, floods, health pandemics and epidemics and manmade events such as civil unrest, labor disruption, cyber events, international trade disputes, tariffs, international conflicts, terrorism, wars or other foreign conflicts, such as the war in Ukraine, tensions between China and Taiwan or conflicts in the Middle East, and critical infrastructure attacks,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 Further, certain components for our products come from Taiwan and the majority of our hardware is manufactured in Taiwan. Any increase in tensions between China and Taiwan, including threats of military actions or escalation of military activities, could adversely affect our manufacturing operations in Taiwan, which, given the large percentage of our hardware that is manufactured in Taiwan, could have significant impacts on our business and operations. Any new restrictions that negatively impact our ability to receive supply of hardware components from Taiwan would negatively impact our business and financial results.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epidemics, pandemics,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proprietary ASIC, which are key to the performance of our appliances, are built by contract manufacturers including Renesas and Toshiba America. These contract manufacturers use foundries operated by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inventory shortages of our ASIC as well as increased costs. In addition to our proprietary ASIC,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some of the key components in our products come from limited sources of supply, we are susceptible to supply shortages, long or uncertain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contract manufacturers currently purchase several key parts and components used in the manufacture of our products from limited sources of supply. We are therefore subject to the risk of shortages and long or uncertain lead times in the supply of these components and the risk that component suppliers may discontinue or modify components used in our products. We have in the past experienced shortages and long or uncertain lead times for certain components. Our limited source components for particular appliances and suppliers of those components include specific types of CPUs from Intel and AMD, network and wireless chips from Broadcom, Marvell, Qualcomm and Intel, and memory devices from Intel, Micron, ADATA, Toshiba, Samsung and Western Digital. We also may face shortages in the supply of the capacitors and resistors that are used in the manufacturing of our products, which may persist for an indefinite period of time.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obtain sufficient quantities of any of these components on commercially reasonable terms or in a timely manner, or if we are unable to obtain alternative sources for these components, shipments of our products could be delayed or halted entirely or we may be required to redesign our products. Any of these events could result in a cancellation of orders, lost sales, reduced gross margins or damage to our end customer relationships, which would adversely impact our business, financial condition, results of operations and prospects. Additionally, if actual demand does not directly match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demand forecasts, due to our purchase order commitments, we in some instances have been required to and may in the future be required to accept or pay for components and finished goods. This may result in us discounting our products or excess or obsolete inventory, which we would be required to write down to its estimated realizable value, which in turn could result in lower gross margins. Our reliance on a limited number of suppliers involves several additional risks, including:</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 potential inability to obtain an adequate supply of required parts or components when required;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financial or other difficulties faced by our suppliers;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infringement or misappropriation of our IP;</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price increases;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of a component to meet environmental or other regulatory requirements;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to meet delivery obligations in a timely fashion;</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failure in component quality;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inability to ship products on a timely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offer retroactive price protection to certain of our major distributors in North America, and if we fail to balance their inventory with end-customer demand for our products, our allowance for price protection may be inadequate,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certain of our major distributors in North America with price protection rights for inventories of our products held by them. If we reduce the list price of our products, as we have recently done, certain distributors in North America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certain of our major distributors’ inventories in North America. If future price protection adjustments are higher than expected, our future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sales prices of our products and services may decrease, which may reduce our gross profits and operating margin and may adversely impact our financial results and the trading price of our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We have recently conducted such price decreases.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Additionally, while our U.S distribution agreements contain price protections, our international distribution agreements do not contain such protections.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i/>
          <w:color w:val="000000"/>
          <w:sz w:val="20"/>
        </w:rPr>
        <w:t>Our uniform resource locator (“URL”) database for our web filtering service may fail to keep pace with the rapid growth of URLs and may not categorize websites in accordance with our end-customers</w:t>
      </w:r>
      <w:r>
        <w:rPr>
          <w:color w:val="000000"/>
        </w:rPr>
        <w:t xml:space="preserve">’ </w:t>
      </w:r>
      <w:r>
        <w:rPr>
          <w:rFonts w:ascii="Times New Roman;serif" w:hAnsi="Times New Roman;serif"/>
          <w:b/>
          <w:i/>
          <w:color w:val="000000"/>
          <w:sz w:val="20"/>
        </w:rPr>
        <w:t>expectations.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False positive detection of legitimate non-malicious files as viruses or malware or false identification of legitimate emails as spam,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FortiGuard and other security subscription services may falsely detect, report and act on viruses or other threats that do not actually exist. This risk is heightened by the inclusion of heuristics, ML or AI features in our products, which attempt to identify viruses and other threats not based on any known signatures but based on characteristics or anomalies that may indicate that a particular item is a threat. With these features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and other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sell our products is dependent on our quality control processes and the quality of our technical support services, and our failure to offer high-quality technical support services could have a material adverse effect on our sales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could be adversely affected and our reputation with potential customers could be damaged. Many large end-customers, and service provider or government organization end-customers, require higher levels of support than smaller end-customers because of their more complex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Our failure to maintain high-quality support services could have a material adverse effect on our business, financial condition and results of operations and may subject us to litigation, reputational damage, loss of customers and additional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the risks of warranty claims, product returns, product liability and product defects.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disputes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generally have limitation of liability provisions in our standard terms and conditions of sale, they may not fully or effectively protect us from claims if exceptions apply or if the provisions are deemed unenforceable, and in some circumstances, we may be required to indemnify a customer in full, without limitation, for certain liabilities, including liabilities that are not contractually limited. The sale and support of our products also entail the risk of product liability claims. We maintain insurance to protect against certain claims associated with the use of our products, but our insurance coverage may not adequately cover any claim asserted against us, if at all, and in some instances may subject us to potential liability that is not contractually limited. In addition, even claims that ultimately are unsuccessful could result in our expenditure of funds in litigation and divert management’s time and other resources. Changes to our warranty reserve estimates could materially impact our gross margins and operating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If the availability of our cloud-based subscription services does not meet our service-level commitments to our customers, our current and future revenue may be negatively impacted.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commit to our customers that our cloud-based subscription services will maintain a minimum service-level of availability. If we are unable to meet these commitments, this could negatively impact our business. We rely on public cloud providers, such as Amazon Web Services, Microsoft Azure and Google Cloud colocation providers, such as Equinix, and our own data centers and PoPs, and any availability interruption in any of these cloud solutions could result in us not meeting our service-level commitments to our customers. In some cases, we may not have a contractual right with our public cloud or colocation providers that compensates us for any losses due to availability interruptions in our cloud-based subscription services. Further, any failure to meet our service-level commitments could damage our reputation and adoption of our cloud-based subscription services, and we could face loss of revenue from reduced future subscriptions and reduced sales and face additional costs associated with any failure to meet service-level agreements. Any service-level failures could adversely affect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our Systems and Technology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do not appropriately manage any future growth, including through the expansion of our real estate facilities, or are unable to improve our systems, processes and controls, our operating results will be negatively affected.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color w:val="000000"/>
          <w:sz w:val="20"/>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our order processing relies on both manual data entry</w:t>
      </w:r>
      <w:r>
        <w:rPr>
          <w:color w:val="1F497D"/>
        </w:rPr>
        <w:t xml:space="preserve"> </w:t>
      </w:r>
      <w:r>
        <w:rPr>
          <w:rFonts w:ascii="Times New Roman;serif" w:hAnsi="Times New Roman;serif"/>
          <w:b w:val="false"/>
          <w:color w:val="000000"/>
          <w:sz w:val="20"/>
        </w:rPr>
        <w:t>of customer purchase orders received through email and electronic data interchange. Due to the use of manual processes and the fact that we may receive a large volume of our orders in the last few weeks of any given quarter, an interruption in our email service or other systems could result in delayed order fulfillment and decreased billings and revenue for that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manage any future growth effectively, we must continue to improve and expand our information technology and financial, operating, security and administrative systems and controls, and our business continuity and disaster recovery plans and processes. We must also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 In addition, our existing systems, processes, and controls may not prevent or detect all errors, omissions, or fraud.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expanded our office real estate holdings to meet our projected growing need for office space.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or increase in work from home)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experience difficulties maintaining and expanding our internal business management systems.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maintenance of our internal business management systems, such as our Enterprise Resource Planning (“ERP”) and Customer Relationship Management (“CRM”) systems, has required, and will continue to require, the investment of significant financial and human resources. In addition, we may choose to upgrade or expand the functionality of our internal systems, leading to additional costs. Deficiencies in our design or maintenance of our internal systems may adversely affect our ability to sell products and services,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may expand the scope of our ERP and CRM systems. Our operating results may be adversely affected if these upgrades or expansions are delayed or if the systems do not function as intended or are not sufficient to meet our operating requirements.</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We may not be successful in our artificial intelligence initiatives, which could adversely affect our business, reputation, or financial results.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AI presents new risks and challenges that may affect our business. We have made, and expect to continue to make investments to integrate AI and ML technology into our solutions, as evidenced by our acquisition of Lacework. AI presents risks, challenges, and potentially</w:t>
      </w:r>
      <w:r>
        <w:rPr>
          <w:color w:val="000000"/>
        </w:rPr>
        <w:t xml:space="preserve"> </w:t>
      </w:r>
      <w:r>
        <w:rPr>
          <w:rFonts w:ascii="Times New Roman;serif" w:hAnsi="Times New Roman;serif"/>
          <w:b w:val="false"/>
          <w:color w:val="000000"/>
          <w:sz w:val="20"/>
        </w:rPr>
        <w:t>unintended consequences that could impact our ability to effectively use AI successfully in our business. Given the nature of AI technology, we face an evolving regulatory landscape and significant competition from other companies. Our AI efforts may not be successful and our competitors may incorporate AI into their products more quickly or more successfully than us, which could impair our ability to compete effectively, reduce demand for our products and services and adversely affect our financial results. Increased competition from other companies implementing AI more effectively or rapidly could impact customer preferences and reduce demand for our products or services. Data practices by us or others, AI governance, AI development and validation practices that result in controversy could also impair the acceptance of AI solutions. This in turn could undermine confidence in the decisions, predictions, analysis, and effectiveness of our AI-related initiatives. In addition, vulnerabilities within our AI systems or solutions may be identified by competitors, researchers, or malicious actors before we detect or remediate them, which could result in security incidents, reputational damage, or loss of customer confidence.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rapid evolution of AI, including potential government regulation of AI, may require significant additional resources related to AI in our solutions. Our AI-related initiatives may result in new or enhanced governmental or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scrutiny, including regarding the use of AI in our solutions and the marketing of products using AI, litigation, customer reporting or documentation requirements, ethical or social concerns, or other complications. For example, AI technologies, including generative AI, may create content that appears correct but is factually inaccurate (hallucinations) or flawed, or contains copyrighted or other protected material, and if our customers or others use this flawed content to their detriment, or use our AI solutions outside of their intended use cases with an adverse impact to their operations, we may be exposed to brand or reputational harm, competitive harm, or legal liability. If customer data is used to train AI based systems and such data is not adequately anonymized, this may lead to breach of sensitive information and loss of customer trust. The use of AI also brings ethical issues related to privacy, surveillance and consent of use, as well as potential for bias and discrimination. Any of the foregoing could adversely affect our business, reputation, or financial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use of AI technology in our IT infrastructure could improve internal process but poses security and privacy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adoption of AI in internal processes presents an opportunity to bolster decision making, productivity and customer satisfaction, but the new technology poses risks. AI can be exploited by hackers and malicious actors to develop advanced cyberattacks, bypass security measures, and exploit system vulnerabilities including potentially identifying weaknesses in our systems before we become aware of or can remediate them. The use of AI involves handling large amounts of data. If the security measures around the usage of AI are insufficient, there’s risk of data breaches, leading to unauthorized access to sensitive information. Failure to comply with data protection regulations (such as GDPR or the California Consumer Privacy Act (the “CCPA”) and DORA) can result in legal consequences. The intellectual property risks associated with AI include uncertainties around the ownership of AI-generated works, potential infringement of existing patents and copyrights, unauthorized use of third-party data, and exposure of proprietary algorithms or trade secrets. Dependence on AI systems or AI vendors means that any downtime or outages can disrupt business operations. Usage of our confidential data to train AI models by us or our vendors could result in legal risk, especially if it involves customer data. Other risks that have been observed in AI models and documentation, include risks related to bias, discrimination, job displacements and violating human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proprietary rights may be difficult to enforce and we may be subject to claims by others that we infringe their propriety technology.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IP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products contain third-party open-source software components, and failure to comply with the terms of the underlying open-source software licenses could restrict our ability to sell our products or result in loss of IP.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products contain software modules licensed to us by third-party authors under “open source” licenses, including but not limited to, the GNU Public License, the GNU Lesser Public License, the BSD License, the Apache License, the MIT X License and the Mozilla Public License. From time to time, there have been claims against companies that distribute or use open-source software in their products and services, asserting that open-source software infringes the claimants’ IP rights. We could be subject to suits by parties claiming infringement of IP rights in what we believe to be licensed open-source software. Use and distribution of open-source software may entail greater risks than use of third-party commercial software, as, for example, open-source licensors generally do not provide warranties or other contractual protections regarding infringement claims or the quality of the code.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This would allow our competitors to create similar products with lower development effort and time and ultimately could result in a loss of product sales for us.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Claims by others that we infringe their proprietary technology or other litigation matters could harm our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Patent and other IP disputes are common in the network security industry. Third parties are currently asserting, have asserted and may in the future assert claims of infringement of IP rights against us. Third parties have also asserted such claims against our end-customers or channel partners whom we may indemnify against claims that our products infringe the IP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several ongoing patent lawsuits, certain companies have sent us demand letters proposing that we license certain of their patents, and organizations have sent letters demanding that we provide indemnification for patent claims.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defend such lawsuits and any settlement payment or adverse result in such lawsuits could have a material adverse effect on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the availability of third-party licenses.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products include software or other IP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IP or that we cannot utilize such software or IP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IP licensed from third parties on a non-exclusive basis could limit our ability to differentiate our products from those of our competitors.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 acceptable to us or at all or may be costly. In any such case, or if we were required to redesign our internal operations to function with new technologies,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Risks Related to Our Business and Financial Position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inability to successfully acquire and integrate other businesses, products or technologies, or to successfully invest in and form successful strategic alliances with other businesses, could seriously harm our competitive position and could negatively affect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In order to remain competitive, we may seek to acquire additional businesses, products, technologies or IP, such as patents, and to make equity investments in businesses coupled with strategic alliances. F</w:t>
      </w:r>
      <w:r>
        <w:rPr>
          <w:rFonts w:ascii="Times New Roman;serif" w:hAnsi="Times New Roman;serif"/>
          <w:b w:val="false"/>
          <w:color w:val="000000"/>
          <w:sz w:val="20"/>
        </w:rPr>
        <w:t>or any possible future acquisitions or investments, we may not be successful in negotiating the terms of the acquisition or investment or financing the acquisition or investment. For both our prior and future acquisitions, we may not be successful in effectively integrating the acquired business, product, technology, IP or sales force into our existing business and operations, and the acquisitions may negatively impact our financial results. We may have difficulty incorporating acquired technologies, IP or products with our existing product lines, integrating reporting systems and procedures, and maintaining uniform standards, controls, development practices, procedures and policies. For example, we may experience difficulties integrating an acquired company’s ERP or CRM systems, SaaS delivery systems, sales support, cyber risk management and compliance and other processes and systems, with our current systems and processes. We may also find that the personnel of the companies we acquire do not adequately adhere to our corporate policies and it may take time to bring them in line with our policies and standards. If we are unable to do so efficiently or effectively, our reputation and business, operating results and financial condition could be adversely impacted.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results of certain businesses that we invest in are, or may in the future, be reflected in our operating results, and we depend on these companies to provide us financial information in a timely manner in order to meet our financial reporting requirements.</w:t>
      </w:r>
      <w:r>
        <w:rPr>
          <w:color w:val="000000"/>
        </w:rPr>
        <w:t xml:space="preserve"> </w:t>
      </w:r>
      <w:r>
        <w:rPr>
          <w:rFonts w:ascii="Times New Roman;serif" w:hAnsi="Times New Roman;serif"/>
          <w:b w:val="false"/>
          <w:color w:val="000000"/>
          <w:sz w:val="20"/>
        </w:rPr>
        <w:t>We may experience difficulty in timely obtaining financial information from the companies in which we have invested in order to meet our financial reporting requirements. Further, we are required to record goodwill and intangible assets that are subject to impairment testing on a regular basis and potential periodic impairment charges, which may adversely affect our financial condition and results of operations. Our due diligence for acquisitions and investments may fail to identify all of the problems, liabilities or other shortcomings or challenges of an acquired business, product or technology, including issues with IP, product quality or product architecture, regulatory compliance practices, environmental and sustainability compliance practices, revenue recognition or other accounting practices or employee or customer issues. We also may not accurately forecast the financial impact of an acquisition or an investment and alliance. In addition, any acquisitions and significant investments we are able to complete may be dilutive to revenue growth and earnings and may not result in any synergies or other benefits we had expected to achieve, which could negatively impact our operating results and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or investments during a quarter may result in increased operating expenses and adversely affect our cash flows or our results of operations for that period and future periods compared to the results that we have previously forecasted or achieved. Further, completing a potential acquisition or investment and alliance and integrating acquired businesses, products, technologies or IP are challenging to do successfully and could significantly divert management time and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Failure to comply with laws and regulations applicable to our business could subject us to fines and penalties and could also cause us to lose end-customers or negatively impact our ability to contract.</w:t>
      </w:r>
    </w:p>
    <w:p>
      <w:pPr>
        <w:pStyle w:val="TextBody"/>
        <w:bidi w:val="0"/>
        <w:spacing w:before="0" w:after="0"/>
        <w:ind w:left="0" w:right="0" w:firstLine="585"/>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example, the GDPR imposes stringent data handling requirements on companies that operate in the EU or receive or process personal data about individuals in the EU in certain contexts. Non-compliance with the GDPR could result in data protection audits and significant penalties, heavy fines imposed on us and bans on other businesses’ use of our services. Compliance with, and the other burdens imposed by, the GDPR and local regulatory authorities may limit our ability to operate or expand our business in the EU and could adversely impact our operating results. In July 2020, the European Court of Justice issued a judgment declaring invalid the EU-U.S. Privacy Shield Framework (the “Privacy Shield”) as a mechanism for the transfer of GDPR-regulated personal data to recipients in the United States and calling into question the validity of certain popular alternative mechanisms for addressing GDPR restrictions on transfers to the United States and other areas where we operate. The Privacy Shield has now been replaced with the EU-U.S. Data Privacy Framework, the UK Extension to the EU-U.S. Data Privacy Framework and the Swiss-U.S. Data Privacy Framework (collectively, the “Framework”) following certain changes to U.S. law intended to address the concerns underlying that court decision with respect to transfers of personal data to the United States. We are an active participant in the Framework. However, there remains a possibility that our business could be negatively impacted by restrictions on transfers of GDPR-regulated personal data (including transfers made by our customers) to other areas we operate. In addition, it is possible that the Framework may ultimately be deemed insufficient in a court case similar to the one that invalidated Privacy Shield. The mere possibility of this outcome, and our reliance on global data transfers within our corporate family and between us and our service providers, may create challenges for us to compete with companies that may be able to offer services in which personal data never exits the EU, thereby avoiding risks of noncompliance with GDPR data transfer restrictions.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GDPR, the EU has also enacted legislation that would regulate non-personal data and establish new cybersecurity standards, and other countries, including the U.K., may similarly do so in the future. In particular, the EU Data Act went into effect in 2024 and imposes certain data and cloud service interoperability and switching obligations to enable users to switch between cloud service providers (as well as certain requirements concerning cross-border international transfers of non-personal data outside the EEA).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DORA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may be subject to other legal regimes throughout the world governing data handling, protection and privacy. For example, in June 2018, California passed the CCPA, which provides new data privacy rights for consumers and new operational requirements for companies and became effective on January 1, 2020. The CCPA was expanded pursuant to the California Privacy Rights Act, which was passed in 2020 and became effective in 2023. Other states have since passed similar laws, adding to the complexity of compliance with overlapping and sometimes conflicting requirements. The costs of compliance with and the penalties for violations of the GDPR, the CCPA and other laws, along with other burdens imposed by these regulations, may limit the use and adoption of our products and services and could have an adverse impact on our business. For example, our sales cycles may lengthen and face an increased risk of failure as customers take more time to vet our services for compliance with these legal requirements and to negotiate data-related contract terms with us, causing delays or loss of revenue.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our solutions to governments, both within the U.S and internationally, whether directly or through channel partners, also subjects us to certain regulatory and contractual requirements, government permit and clearance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risks. Failure to comply with these requirements or to obtain and maintain government permits and clearances required to do certain business, by either us or our channel partners, could subject us to investigations, fines, suspension, limitations on business or debarment from doing business with such governments, as well as other penalties, damages and reputational harms, which could have an adverse effect on our business, operating results, financial condition and prospects. Any violations of regulatory and contractual requirements could result in us being suspended or debarred from future government contracting. Any of these outcomes could have an adverse effect on our revenue, operating results, financial condition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landscape of laws, regulations, and industry standards related to cybersecurity is evolving globally. We may be subject to increased compliance burdens by regulators and customers with respect to our products and services, as well as additional costs to oversee and monitor security risks. Additionally, this evolving global landscape could impact on our ability to conduct business in certain jurisdictions if the laws, regulation and industry standards in such jurisdictions changed in a manner that is adverse to our business. Many jurisdictions have enacted laws mandating companies to inform individuals, stockholders, regulatory authorities, and others of security incidents. For example, the SEC recently adopted cybersecurity risk management and disclosure rules, which require the disclosure of information pertaining to cybersecurity incidents and cybersecurity risk management, strategy, and governance. In addition, certain of our customer agreements may require us to promptly report security incidents involving their data on our systems or those of subcontractors processing such data on our behalf. This mandatory disclosure can be costly, harm our reputation, erode customer trust, reduce demand, and require significant resources to mitigate issues stemming from actual or perceived security incidents.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These laws, regulations and other requirements</w:t>
      </w:r>
      <w:r>
        <w:rPr>
          <w:color w:val="008080"/>
        </w:rPr>
        <w:t xml:space="preserve"> </w:t>
      </w:r>
      <w:r>
        <w:rPr>
          <w:rFonts w:ascii="Times New Roman;serif" w:hAnsi="Times New Roman;serif"/>
          <w:b w:val="false"/>
          <w:color w:val="000000"/>
          <w:sz w:val="20"/>
        </w:rPr>
        <w:t>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IP and temporary suspension, permanent debarment from government contracting, or other limitations on doing business. Any such damages, penalties, disruptions or limitations in our ability to do business could have an adverse effect on our business and operating results.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We are currently, and may in the future become, involved in litigation that may adversely affect us.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regularly subject to claims, suits and government investigations and other proceedings including patent, product liability, class action, personal injury, property damage, labor and employment, commercial disputes, securities litigation, compliance with laws and regulatory requirements and other matters, and we may become subject to additional types of claims, suits, investigations and proceedings as our business expands.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 For additional information regarding our litigation, claims and related contingencies, see Note 11. Commitments and Contingencies, of our consolidated financial statements in Part II, Item 8 of this Annual Report on Form 10-K.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are subject to governmental export and import controls that could subject us to liability or restrictions on sales, and that could impair our ability to compete in international markets.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we incorporate encryption technology into our products, certain of our products are subject to U.S. export controls and may be exported outside the United States only with the required export license or through an export license exception, or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U.S. export control laws and economic sanctions prohibit the shipment of certain products to U.S. embargoed or sanctioned countries, governments and persons, such as the sanctions and trade restrictions that have been implemented against Russia and Belarus.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fail to comply with environmental requirements, our business, financial condition, operating results and reputation could be adversely affected.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are subject to various environmental laws and regulations, including laws governing the hazardous material content of our products, laws relating to our real property and future expansion plans and laws concerning the recycling and packaging of Electrical and Electronic Equipment. The laws and regulations to which we are subject include the EU RoHS Directive, EU Regulation 1907/2006 – Registration, Evaluation, Authorization and Restriction of Chemicals (the “REACH” Regulation) and the EU Waste Electrical and Electronic Equipment Directive (the “WEEE Directive”), as well as the implementing legislation of the EU member states. Similar laws and regulations have been passed or are pending in China, South Korea, Taiwan, Japan, Norway, Saudi Arabia and the UAE and may be enacted in other regions, including in the United States, and we are, or may in the future be, subject to these laws and regulations. These legal and regulatory regimes, including the laws, rules and regulations thereunder, evolve frequently and may be modified, interpreted and applied in an inconsistent manner from one jurisdiction to another, and may conflict with one another. Moreover, the timing and effect of these laws and regulations on our business may be uncertain. To the extent we have not complied with such laws, rules and regulations, we could be subject to significant fines, revocation of licenses, limitations on our products and services, reputational harm and other regulatory consequences, each of which may be significant and could adversely affect our business, operating results and financial condition. These laws and regulations may also impact our suppliers, which could have, among other things, an adverse impact on the costs of components in our products.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RoHS Directive and the similar laws of other jurisdictions ban or restrict the presence of certain hazardous substances such as lead, mercury, cadmium, hexavalent chromium and certain fire-retardant plastic additives in electrical equipment, including our products. We have incurred costs to comply with these laws, including research and development costs and costs associated with assuring the supply of compliant components. We expect to continue to incur costs related to environmental laws and regulations in the future. With respect to the EU RoHS, we and our competitors rely on exemptions for lead and other substances in network infrastructure equipment. It is possible one or more of these use exemptions will be revoked in the future. Additionally, although some of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and/or disrupt our operations or logistics.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Circular Economy Action Plan, the European Commission amended the EU Waste Framework Directive (“WFD”) to include a number of measures related to waste prevention and recycling, whereby we are responsible for submitting product data to a Substances of Concern In articles as such or in complex objects (Products) (“SCIP”) database containing information on Substances of Very High Concern in articles and in complex objects. The SCIP database is established under the WFD and managed by the European Chemicals Agency. We have incurred costs in order to comply with this new requirement. Similar laws and regulations have been passed or are pending in the European Economic Area and the UK.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EU’s WEEE Directive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 including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regulations involving single-use plastics in packaging resulting in import taxes in certain countries in the EU have resulted in additional costs to source appropriate packaging for hardware. Alternatively, for our cloud based systems, new EU energy efficiency laws relating to the power usage effectiveness and emerging water usage regulations of data centers will require us to source specific data centers or retrofit existing ones to meet the stringent energy efficiency requirements.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val="false"/>
          <w:color w:val="000000"/>
          <w:sz w:val="20"/>
        </w:rPr>
        <w:t xml:space="preserve">Our failure to comply with these and future environmental rules and regulations could result in decreased demand for our products and services resulting in reduced sales of our products, increased demand for competitive products and services that result in lower emissions than our products, increased costs, substantial product inventory write-offs, reputational damage, penalties and other sanctions, any of which could harm our business and financial condition. </w:t>
      </w:r>
      <w:r>
        <w:rPr>
          <w:rFonts w:ascii="Times New Roman;serif" w:hAnsi="Times New Roman;serif"/>
          <w:b w:val="false"/>
          <w:color w:val="000000"/>
          <w:sz w:val="20"/>
          <w:shd w:fill="FFFFFF" w:val="clear"/>
        </w:rPr>
        <w:t>To date, our expenditures for environmental compliance have not had a material impact on our operating results or cash flows, and, although we cannot predict the future impact of such laws or regulations, they will likely result in additional costs. New laws may result in increased penalties associated with violations or require us to change the content of our products or how they are manufactured, which could have a material adverse effect on our business, operating results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Investors’ expectations of our performance relating to corporate responsibility and sustainability factors may impose additional costs and expose us to new risks.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Certain investors, employees, customers and other stakeholders have a focus on corporate responsibility. Some investors may use these non-financial performance factors to guide their investment strategies and, in some cases, may choose not to invest in us if they believe our policies and actions relating to corporate responsibility are inadequate. Investor demand for measurement of non-financial performance is addressed by third-party providers of sustainability assessment and ratings on companies. The criteria by which our corporate responsibility practices are assessed may change due to the constant evolution of the global sustainability landscape, which could result in greater expectations of us and cause us to undertake costly initiatives to satisfy such new criteria. If we elect not to or are unable to satisfy such new criteria, investors may conclude that our policies and/or actions with respect to corporate social responsibility are inadequate and we may be subject to fines from regulatory authorities. We may face reputational damage in the event that we do not meet the standards set by various constituencies.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the event that we communicate certain initiatives and goals regarding corporate responsibility and sustainability matters, we could fail, or be perceived to fail, in our achievement of such initiatives or goals, or we could be criticized for the scope, target and timelines of such initiatives or goals. If we fail to satisfy the expectations of investors, customers, employees, and other stakeholders or our initiatives are not executed as planned, our reputation and business, operating results and financial condition could be adversely impacted.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Risks Related to Finance, Accounting and Tax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Annual Report on Form 10-K,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accounting for business combinations, contingent liabilities and accounting for income taxes.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exposed to fluctuations in currency exchange rates, which could negatively affect our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A significant portion of our operating expenses are incurred outside the United States. These expenses are denominated in foreign currencies and are subject to fluctuations due to changes in foreign currency exchange rates, particularly changes in the Euro, Japanese yen, Canadian dollar and British pound. A weakening of the U.S. dollar compared to foreign currencies would negatively affect our expenses and operating results, which are expressed in U.S. dollars.</w:t>
      </w:r>
      <w:r>
        <w:rPr>
          <w:color w:val="008080"/>
        </w:rPr>
        <w:t xml:space="preserve"> </w:t>
      </w:r>
      <w:r>
        <w:rPr>
          <w:rFonts w:ascii="Times New Roman;serif" w:hAnsi="Times New Roman;serif"/>
          <w:b w:val="false"/>
          <w:color w:val="000000"/>
          <w:sz w:val="20"/>
        </w:rPr>
        <w:t xml:space="preserve">While we are not currently engaged in material hedging activities, we have been hedging currency exposures relating to certain balance sheet accounts through the use of forward exchange contracts. If we stop hedging against any of these risks or if our attempts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could be subject to changes in our tax rates, the adoption of new U.S. or international tax legislation, exposure to additional tax liabilities or impacts from the timing of tax payments.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mix of earnings in countries with differing statutory tax rates or withholding taxes;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transfer pricing adjustments;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increases to corporate tax rates;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an increase in non-deductible expenses for tax purposes, including certain stock-based compensation expense;</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availability of tax credits and/or tax deductions;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timing of tax payments;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tax costs related to intercompany realignments;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tax assessments resulting from income tax audits or any related tax interest or penalties that could significantly affect our provision for income taxes for the period in which the settlement takes place;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changes in accounting principles, court decisions, tax rulings, and interpretations of or changes to tax laws, and regulations by international, federal or local governmental authorities.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open tax years that could be subject to the examination by the Internal Revenue Service (the “IRS”) and other tax authorities. We currently have ongoing tax audits in the United Kingdom, Canada, Germany and several other foreign jurisdictions. The focus of all of these audits is the allocation of profits among our legal entities. We regularly assess the likelihood of adverse outcomes resulting from such examinations to determine the adequacy of our provision for income taxes. Although we believe that our estimates are reasonable, the ultimate tax outcome may differ from the amounts recorded in our consolidated financial statements and may materially affect our financial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reasonably ensures that we are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Forecasting our estimated annual effective tax rate is complex and subject to uncertainty, and there may be material differences between our forecasted and actual tax rates.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our effective tax rate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Organisation for Economic Co-operation and Development (the “OECD”), an international association comprised of 38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As a public company, we are subject to compliance initiatives that will require substantial time from our management and result in significantly increased costs that may adversely affect our operating results and financial condition.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2025, our internal controls over financial reporting were effective, we cannot predict the outcome of our testing in 2026 or future periods and there can be no assurance that, in the future, our internal controls over financial reporting will be effective or deemed effective. We may incur additional expenses and commitment of management’s time in connection with further evaluations, both of which could materially increase our operating expenses and accordingly reduce our operating results.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equity research or industry analysts stop publishing research or reports about our business, issue unfavorable commentary, downgrade our shares of common stock or publish inaccurate information, our stock price and trading volume could decline.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influenced in part by the research and reports that equity research and industry analysts publish about us or our business. If one or more of these analysts ceases coverage of our company or fails to publish reports on us regularly, we could lose visibility in the financial markets, which in turn could cause our stock price or trading volume to decline. Furthermore, if one or more of these analysts downgrades our stock or issues unfavorable commentary about our business, the price of our stock could decline. We have in the past experienced downgrades and may in the future experience downgrades. In addition, these analysts may publish their own financial projections, which may vary widely and may not accurately predict the results we actually achieve, which in turn could cause our stock price to decline if our actual results do not match their projections. If one of these analysts were to publish inaccurate negative information about us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our stock price could decline. Moreover, if securities analysts publish inaccurate positive information, stockholders could buy our stock and the stock price may later decline.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trading price of our common stock may be volatile, which may be exacerbated by share repurchases under our Share Repurchase Program.</w:t>
      </w:r>
    </w:p>
    <w:p>
      <w:pPr>
        <w:pStyle w:val="TextBody"/>
        <w:bidi w:val="0"/>
        <w:spacing w:lineRule="auto" w:line="288" w:before="0" w:after="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2025, the closing price of our common stock ranged from $74.39 to $114.57 per share.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0"/>
        </w:rPr>
        <w:t>Furthermore,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geopolitical and market conditions, such as recessions, interest rate changes or international currency fluctuations, may negatively affect the market price of our common stock.</w:t>
      </w:r>
    </w:p>
    <w:p>
      <w:pPr>
        <w:pStyle w:val="TextBody"/>
        <w:bidi w:val="0"/>
        <w:spacing w:lineRule="auto" w:line="288" w:before="0" w:after="0"/>
        <w:ind w:left="0" w:right="0" w:firstLine="54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many companies that have experienced volatility in the market price of their stock have been subject to securities class action litigation. We currently are, and may be in the future, the target of this type of litigation in the future. Securities litigation against us could result in substantial costs and divert our management’s attention from other business concerns, which could seriously harm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 repurchases under the Repurchase Program could increase the volatility of the trading price of our common stock, could diminish our cash reserves, could occur at non-optimal prices and may not result in the most effective use of our capital.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2025, our board of directors approved a $1.0 billion increase in the authorized stock repurchase amount under the Repurchase Program and extended the term of the Repurchase Program to February 28, 2027, and in January 2026, our board of directors approved an additional $1.0 billion increase in the authorized stock repurchase amount under the Repurchase Program, bringing the aggregate amount authorized to be repurchased to $10.25 billion of our outstanding common stock through February 28, 2027. As of February 24, 2026, approximately $1.27 billion remained available for future share repurchases.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the most effective uses of our cash and cash equivalents, and there may be alternative uses of our cash and cash equivalents that would be more effective, such as investing in growing our business organically or through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Anti-takeover provisions contained in our certificate of incorporation and bylaws, as well as provisions of Delaware law, could impair a takeover attempt.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authorizing “blank check” preferred stock, which could be issued by the board without stockholder approval and may contain voting, liquidation, dividend and other rights superior to our common stock;</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limiting the liability of, and providing indemnification to, our directors and officers;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requiring advance notice of stockholder proposals for business to be conducted at meetings of our stockholders and for nominations of candidates for election to our board of directors;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providing that certain litigation matters may only be brought against us in state or federal courts in the State of Delaware;</w:t>
      </w:r>
    </w:p>
    <w:p>
      <w:pPr>
        <w:pStyle w:val="TextBody"/>
        <w:bidi w:val="0"/>
        <w:spacing w:lineRule="auto" w:line="288" w:before="0" w:after="0"/>
        <w:ind w:left="0" w:right="0" w:hanging="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controlling the procedures for the conduct and scheduling of board and stockholder meetings; and</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providing the board of directors with the express power to postpone previously scheduled annual meetings and to cancel previously scheduled special meetings.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management.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our amended and restated bylaws provide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Any person or entity purchasing or otherwise acquiring any interest in any of our securities shall be deemed to have notice of and consented to this provision. This provision, as well as provisions providing that certain litigation matters may only be brought against us in state or federal courts in the State of Delaware, may limit a stockholder’s ability to bring a claim in a judicial forum that it finds favorable for disputes with us or any of our directors, officers or other employees, which may discourage lawsuits against us and our directors, officers and other employees.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Global economic uncertainty, an economic downturn, the possibility of a recession, inflation, changing interest rates, changes to government spending and regulations, and weakening product demand could adversely affect our business and financial performance.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Economic challenges caused by economic downturn, any resulting recession, inflation, GDP impact (both domestically and internationally) or change in interest rates can weaken and harm our financial position. The U.S. capital markets have experienced and continue to experience extreme volatility and disruption. Further deterioration of the macroeconomic environment and regulatory action may adversely affect our business, operating results and financial condition.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Political instability, changes in trade policies and agreements and conflicts could adversely affect our business and financial performance.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Economic uncertainty in various global markets caused by political instability and conflict, such as the war in Ukraine, tensions between China and Taiwan or conflicts in the Middle East has resulted, and may continue to result in weakened demand for our products and services and difficulty in forecasting our financial results and managing inventory levels. Geopolitical developments impacting government spending and international trade, including potential government shutdowns and trade disputes and tariffs may negatively impact markets and cause weaker macroeconomic conditions. The effects of these events may continue due to potential U.S. government shutdowns, the transition in administrations, changing in the U.S. government’s trade policy and the United States’ ongoing trade disputes with Russia, China and other countries, including the United States’ tariffs, and any new or additional retaliatory tariffs from foreign countries. For example, the Chinese government recently instructed domestic companies in certain industries not to use cybersecurity products manufactured by the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based in the United States or Israel, including us and certain of our competitors. The continuing effect of any or all of these events could adversely impact demand for our products, harm our operations and weaken our financial results.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business is subject to the risks of earthquakes, drought, fire, power outages, typhoon, floods, virus outbreaks and other broad health-related challenges, cyber events and other catastrophic events, and to interruption by manmade problems such as civil unrest, war, labor disruption, critical infrastructure attack and terrorism.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drought, fire, power outage, typhoon, flood, viral outbreak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and other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performing or assisting with shipments, on a timely basis, as well as our customers’ ability to order from us and our employees’ ability to perform their duties. For example, a typhoon in Taiwan could materially negatively impact our ability to manufacture and ship products and could result in delays and reductions in billings and revenue, or the effects of epidemics and pandemics may negatively impact our ability to manufacture and ship products, possibly in a material way, and could result in delays and reductions in billings and revenue, also possibly in a material way. The impact of climate change could affect economies in ways that negatively impact us and our results of operations.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international disputes, wars, such as the war in Ukraine, tensions between China and Taiwan or conflicts in the Middle East and any expansion thereof, and other acts of aggression, civil and political unrest, labor disruptions, rebellions, acts of terrorism and other geo-political unrest could cause disruptions in our business or the business of our manufacturers, suppliers, logistics providers, partners or end-customers, or of the economy as a whole. Given our typical concentration of sales at the end of each quarter, any disruption in the business of our manufacturers, logistics providers, channel partners or end-customers that impacts sales at the end of our quarter could have a significant adverse impact on our quarterly results. For example, if one of our channel partners experiences issues such as cyberattacks or other operational disruptions at the end of a quarter, it could negatively impact our ability to receive orders from them and, among other things, may adversely affect our billings and revenue.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Changes in financial accounting standards may cause adverse unexpected fluctuations and affect our reported results of operations.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change in accounting standards or practices, and varying interpretations of existing or new accounting pronouncements, as well as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could have an adverse effect on our business, our ability to meet our reporting obligations and compliance with internal control requirements.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will continue to make judgments and assumptions based on our interpretation of new standards. If our circumstances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 Further, marketable equity investments are required to be measured at fair value (with subsequent changes in fair value recognized in net income), which may increase the volatility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221E1F"/>
          <w:sz w:val="20"/>
        </w:rPr>
        <w:t xml:space="preserve">Our board of directors recognizes the critical importance of maintaining the trust and confidence of our customers, end users, business partners, governmental entities, stockholders and employees. Our board of directors is actively involved in oversight of our risk management program, and information and product security represent an important component of our overall approach to enterprise risk management (“ERM”). Our risks from cybersecurity threats are considered in conjunction with other risks in our ERM program. In addition, </w:t>
      </w:r>
      <w:r>
        <w:rPr>
          <w:rFonts w:ascii="Times New Roman;serif" w:hAnsi="Times New Roman;serif"/>
          <w:b w:val="false"/>
          <w:color w:val="000000"/>
          <w:sz w:val="20"/>
          <w:shd w:fill="FFFFFF" w:val="clear"/>
        </w:rPr>
        <w:t xml:space="preserve">we leverage a cybersecurity-specific risk assessment process and strategy based on the </w:t>
      </w:r>
      <w:r>
        <w:rPr>
          <w:rFonts w:ascii="Times New Roman;serif" w:hAnsi="Times New Roman;serif"/>
          <w:b w:val="false"/>
          <w:color w:val="000000"/>
          <w:sz w:val="20"/>
        </w:rPr>
        <w:t>NIST</w:t>
      </w:r>
      <w:r>
        <w:rPr>
          <w:color w:val="000000"/>
          <w:shd w:fill="FFFFFF" w:val="clear"/>
        </w:rPr>
        <w:t xml:space="preserve"> </w:t>
      </w:r>
      <w:r>
        <w:rPr>
          <w:rFonts w:ascii="Times New Roman;serif" w:hAnsi="Times New Roman;serif"/>
          <w:b w:val="false"/>
          <w:color w:val="000000"/>
          <w:sz w:val="20"/>
          <w:shd w:fill="FFFFFF" w:val="clear"/>
        </w:rPr>
        <w:t xml:space="preserve">Cybersecurity Framework to manage risks to organizational operations and assets, individuals and other organizations associated with the operation and use of systems. Risk assessments are periodically conducted to identify threats and vulnerabilities, and then used to determine the likelihood and impact for each risk using a qualitative risk assessment methodology. </w:t>
      </w:r>
      <w:r>
        <w:rPr>
          <w:rFonts w:ascii="Times New Roman;serif" w:hAnsi="Times New Roman;serif"/>
          <w:b w:val="false"/>
          <w:color w:val="221E1F"/>
          <w:sz w:val="20"/>
        </w:rPr>
        <w:t>In general, we seek to address cybersecurity risks through a broad,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221E1F"/>
          <w:sz w:val="20"/>
        </w:rPr>
      </w:pPr>
      <w:r>
        <w:rPr>
          <w:rFonts w:ascii="Times New Roman;serif" w:hAnsi="Times New Roman;serif"/>
          <w:b/>
          <w:color w:val="221E1F"/>
          <w:sz w:val="20"/>
        </w:rPr>
        <w:t>Governance</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global cybersecurity provider, cybersecurity risk management is integral to our company. Historically, the Audit Committee of our board of directors (the “Audit Committee”) was responsible for reviewing with management our cybersecurity and other information technology risks, controls and processes, including the processes used to prevent or mitigate cybersecurity risks and respond to cybersecurity events. However, due to the importance of cybersecurity to our company, in July 2024, our board of directors formed Cybersecurity Committee of our board of directors (the “Cybersecurity Committee”), which is solely dedicated to cybersecurity risk management. Our executives with responsibility over cybersecurity, including our Chief Information Security Officer, provide quarterly reports to the Cybersecurity Committee as well as to the Chief Executive Officer and other members of our senior management as appropriate. Each member of our board of directors is invited to attend all meetings of the committees of our board of directors, including the Cybersecurity Committee, and thus all of the members of our board of directors are apprised of cybersecurity developments. The quarterly reports to the Cybersecurity Committee include updates on cyber risks and threats, the status of projects to strengthen our information security systems, assessments of the information security program and the emerging threat landscape. Our cybersecurity program is regularly evaluated by internal and external experts with the results of those reviews reported to senior management and the Cybersecurity Committee. We also actively engage with key vendors and intelligence and law enforcement communities as part of our continuing efforts to evaluate and enhance the effectiveness of our information security policies and procedures. The Cybersecurity Committee also receives prompt and timely information regarding any cybersecurity threat or incident that meets established reporting thresholds, as well as ongoing updates regarding any such threat or incident until it has been mitigated, resolved or otherwise addressed.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We believe our systems and processes with respect to the management of risks associated with cybersecurity threats are adequate. We have experienced, and may in the future experience, adverse impacts to our operations as a result of cybersecurity incidents. However, to date, cybersecurity threats, including as a result of any previous cybersecurity incidents, have not materially affected our business strategy, operating results, and/or financial condition. If we were to experience a material cybersecurity incident in the future, such incident may have a material effect, including on our business strategy, operating results or financial condition. For more information regarding cybersecurity risks that we face and potential impacts on our business related thereto, see our risk factors, including our risk factor titled </w:t>
      </w:r>
      <w:r>
        <w:rPr>
          <w:color w:val="000000"/>
          <w:shd w:fill="FFFFFF" w:val="clear"/>
        </w:rPr>
        <w:t>“</w:t>
      </w:r>
      <w:r>
        <w:rPr>
          <w:rFonts w:ascii="Times New Roman;serif" w:hAnsi="Times New Roman;serif"/>
          <w:b w:val="false"/>
          <w:i/>
          <w:color w:val="000000"/>
          <w:sz w:val="20"/>
        </w:rPr>
        <w:t>If our internal enterprise IT networks, on which we conduct internal business and interface externally, our operational networks, through which we connect to customers, vendors and partners systems and provide services, or our research and development networks, our back-end labs and cloud stacks hosted in our data centers or PoPs, colocation vendors or public cloud providers, through which we research, develop and host products and services, are compromised, public perception of our products and services may be harmed, our customers may be breached and harmed, we may become subject to liability, and our business, operating results and stock price may be adversely impacted.</w:t>
      </w:r>
      <w:r>
        <w:rPr>
          <w:color w:val="000000"/>
          <w:shd w:fill="FFFFFF" w:val="clear"/>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21E1F"/>
          <w:sz w:val="20"/>
        </w:rPr>
      </w:pPr>
      <w:r>
        <w:rPr>
          <w:rFonts w:ascii="Times New Roman;serif" w:hAnsi="Times New Roman;serif"/>
          <w:b/>
          <w:color w:val="221E1F"/>
          <w:sz w:val="20"/>
        </w:rPr>
        <w:t>Risk Management and Strategy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one of the critical elements of our overall ERM approach, our cybersecurity program is focused on the following key areas: </w:t>
      </w:r>
    </w:p>
    <w:p>
      <w:pPr>
        <w:pStyle w:val="TextBody"/>
        <w:bidi w:val="0"/>
        <w:spacing w:before="0" w:after="0"/>
        <w:jc w:val="left"/>
        <w:rPr/>
      </w:pPr>
      <w:r>
        <w:rPr/>
      </w:r>
    </w:p>
    <w:p>
      <w:pPr>
        <w:pStyle w:val="TextBody"/>
        <w:bidi w:val="0"/>
        <w:spacing w:lineRule="auto" w:line="256" w:before="0" w:after="0"/>
        <w:ind w:left="0" w:right="0" w:firstLine="720"/>
        <w:jc w:val="left"/>
        <w:rPr/>
      </w:pPr>
      <w:r>
        <w:rPr>
          <w:rFonts w:ascii="Times New Roman;serif" w:hAnsi="Times New Roman;serif"/>
          <w:b/>
          <w:color w:val="000000"/>
          <w:sz w:val="20"/>
        </w:rPr>
        <w:t xml:space="preserve">Governance: </w:t>
      </w:r>
      <w:r>
        <w:rPr>
          <w:rFonts w:ascii="Times New Roman;serif" w:hAnsi="Times New Roman;serif"/>
          <w:b w:val="false"/>
          <w:color w:val="000000"/>
          <w:sz w:val="20"/>
        </w:rPr>
        <w:t xml:space="preserve">As discussed in more detail above under the heading, “Governance,” our board of directors’ oversight of cybersecurity risk management is supported by the Cybersecurity Committee, which regularly interacts with executives with responsibility for cybersecurity, our Chief Executive Officer, Chief Technology Officer and President, Chief Financial Officer, Chief Operating Officer/General Counsel, our CISO, and other members of management. Our CISO is primarily responsible for our cybersecurity risk management program and partners with our legal team on data privacy matters at the management level. Our CISO, Dr. Carl Windsor, has over 26 years of experience in various technology and cybersecurity leadership positions, including over 19 years at our company driving product security and strategy and reports to the board Cybersecurity Committee. The CISO’s leadership team members are all seasoned information security professionals, covering a wide range of security disciplines, who have worked at some of the largest well-known brand names and are experts in their fields. Our CISO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monitors, and participates in, our various cybersecurity policies and procedures, and our cybersecurity team regularly updates our CISO on the current status.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is promptly updated regarding any significant security events and the Cybersecurity Committee regularly reviews updates from our CISO, information security and product security leaders about cyber threat response preparedness, security controls and procedures, security program maturity milestones, risk and approaches to risk mitigation and the current and emerging threat landscape. In addition, all members of our board of directors receive management’s cybersecurity updates to the Cybersecurity Committee as part of their regular attendance at meetings of our board of directors.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Collaborative Approach: </w:t>
      </w:r>
      <w:r>
        <w:rPr>
          <w:rFonts w:ascii="Times New Roman;serif" w:hAnsi="Times New Roman;serif"/>
          <w:b w:val="false"/>
          <w:color w:val="000000"/>
          <w:sz w:val="20"/>
        </w:rPr>
        <w:t xml:space="preserve">We have implemented a broad,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w:t>
      </w:r>
      <w:r>
        <w:rPr>
          <w:rFonts w:ascii="Times New Roman;serif" w:hAnsi="Times New Roman;serif"/>
          <w:b w:val="false"/>
          <w:color w:val="000000"/>
          <w:sz w:val="20"/>
          <w:shd w:fill="FFFFFF" w:val="clear"/>
        </w:rPr>
        <w:t xml:space="preserve">In addition, we manage a cross-functional program across our engineering, manufacturing and technical services teams, together with our suppliers and channel partners, designed to ensure the proper security of our products from design through manufacture and shipment.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Information Security: </w:t>
      </w:r>
      <w:r>
        <w:rPr>
          <w:rFonts w:ascii="Times New Roman;serif" w:hAnsi="Times New Roman;serif"/>
          <w:b w:val="false"/>
          <w:color w:val="000000"/>
          <w:sz w:val="20"/>
        </w:rPr>
        <w:t>We implement organizational, administrative and technical measures based on commercially reasonable procedures using: (i) industry standard information security measures prescribed for use by NIST; (ii) security measures aligned with the ISO/IEC 27000 series of standards, (iii) 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Technical Safeguards: </w:t>
      </w:r>
      <w:r>
        <w:rPr>
          <w:rFonts w:ascii="Times New Roman;serif" w:hAnsi="Times New Roman;serif"/>
          <w:b w:val="false"/>
          <w:color w:val="000000"/>
          <w:sz w:val="20"/>
        </w:rPr>
        <w:t xml:space="preserve">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Incident Response and Recovery Planning: </w:t>
      </w:r>
      <w:r>
        <w:rPr>
          <w:rFonts w:ascii="Times New Roman;serif" w:hAnsi="Times New Roman;serif"/>
          <w:b w:val="false"/>
          <w:color w:val="000000"/>
          <w:sz w:val="20"/>
        </w:rPr>
        <w:t>We have established and maintain broad incident response and recovery plans that help enable its 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Third-Party Risk Management: </w:t>
      </w:r>
      <w:r>
        <w:rPr>
          <w:rFonts w:ascii="Times New Roman;serif" w:hAnsi="Times New Roman;serif"/>
          <w:b w:val="false"/>
          <w:color w:val="000000"/>
          <w:sz w:val="20"/>
        </w:rPr>
        <w:t>We maintain a broad,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 NIST 800-161.</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 xml:space="preserve">Education and Awareness: </w:t>
      </w:r>
      <w:r>
        <w:rPr>
          <w:rFonts w:ascii="Times New Roman;serif" w:hAnsi="Times New Roman;serif"/>
          <w:b w:val="false"/>
          <w:color w:val="000000"/>
          <w:sz w:val="20"/>
        </w:rPr>
        <w:t xml:space="preserve">We provide regular, mandatory training for personnel and contractors regarding cybersecurity threats as a means to equip our personnel with effective tools to address cybersecurity threats and to communicate our evolving information security policies, standards, processes and practices.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221E1F"/>
          <w:sz w:val="20"/>
        </w:rPr>
        <w:t>Risk and Readiness Assessments:</w:t>
      </w:r>
      <w:r>
        <w:rPr>
          <w:color w:val="221E1F"/>
        </w:rPr>
        <w:t xml:space="preserve"> </w:t>
      </w:r>
      <w:r>
        <w:rPr>
          <w:rFonts w:ascii="Times New Roman;serif" w:hAnsi="Times New Roman;serif"/>
          <w:b w:val="false"/>
          <w:color w:val="221E1F"/>
          <w:sz w:val="20"/>
        </w:rPr>
        <w:t>We engage in the periodic assessment and testing of our policies, standards, process</w:t>
      </w:r>
      <w:r>
        <w:rPr>
          <w:rFonts w:ascii="Times New Roman;serif" w:hAnsi="Times New Roman;serif"/>
          <w:b w:val="false"/>
          <w:color w:val="000000"/>
          <w:sz w:val="20"/>
        </w:rPr>
        <w:t>es and practices that are designed to identify vulnerabilities and weaknesses, address cybersecurity threats and test its readiness to respond to cyber security incidents. These efforts include a wide range of activities, including threat modeling, a variety of vulnerability and configuration scans, penetration testing, audits, tabletop exercises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and penetration tests. The results of such assessments, audits and reviews are reported to the Cybersecurity Committee and our board of directors and to our management, and we adjust its cybersecurity policies, standards, processes and practices as necessary based on the information provided by these assessments, audits and reviews</w:t>
      </w:r>
      <w:r>
        <w:rPr>
          <w:rFonts w:ascii="Times New Roman;serif" w:hAnsi="Times New Roman;serif"/>
          <w:b w:val="false"/>
          <w:color w:val="221E1F"/>
          <w:sz w:val="20"/>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Insurance:</w:t>
      </w:r>
      <w:r>
        <w:rPr>
          <w:color w:val="000000"/>
        </w:rPr>
        <w:t xml:space="preserve"> </w:t>
      </w:r>
      <w:r>
        <w:rPr>
          <w:rFonts w:ascii="Times New Roman;serif" w:hAnsi="Times New Roman;serif"/>
          <w:b w:val="false"/>
          <w:color w:val="000000"/>
          <w:sz w:val="20"/>
          <w:shd w:fill="FFFFFF" w:val="clear"/>
        </w:rPr>
        <w:t>We maintain information security risk insurance coverage.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Our corporate headquarters is located in Sunnyvale, California, and comprises approximately 395,000 square feet of building space on 21 acres of land</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operated the facilities in the following geographies (square feet in thousands): </w:t>
      </w:r>
    </w:p>
    <w:tbl>
      <w:tblPr>
        <w:tblW w:w="10205" w:type="dxa"/>
        <w:jc w:val="center"/>
        <w:tblInd w:w="0" w:type="dxa"/>
        <w:tblLayout w:type="fixed"/>
        <w:tblCellMar>
          <w:top w:w="28" w:type="dxa"/>
          <w:left w:w="28" w:type="dxa"/>
          <w:bottom w:w="28" w:type="dxa"/>
          <w:right w:w="28" w:type="dxa"/>
        </w:tblCellMar>
      </w:tblPr>
      <w:tblGrid>
        <w:gridCol w:w="499"/>
        <w:gridCol w:w="438"/>
        <w:gridCol w:w="441"/>
        <w:gridCol w:w="109"/>
        <w:gridCol w:w="109"/>
        <w:gridCol w:w="109"/>
        <w:gridCol w:w="689"/>
        <w:gridCol w:w="689"/>
        <w:gridCol w:w="691"/>
        <w:gridCol w:w="109"/>
        <w:gridCol w:w="109"/>
        <w:gridCol w:w="109"/>
        <w:gridCol w:w="1826"/>
        <w:gridCol w:w="1787"/>
        <w:gridCol w:w="2491"/>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Location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Owned Square Footage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 of Use</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headquarters, data centers, research and development, warehousing and operations, sales and support functions, and PoP</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Data center and office space, sales and support, research and development functions, and PoP</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Data center and office space, warehousing and operations, sales and support functions, and PoP</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 Pacific (“APAC”)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 and PoP</w:t>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additional leased offices throughout the world, predominantly used as sales and support offices and PoP, and leased data center spaces throughout the world operated under colocation arrangements. We believe that our existing properties are sufficient and suitable to meet our current needs. We intend to expand our facilities, develop unoccupied space, or add new facilities to support our future growth and enter new product markets, and we believe that suitable additional space will be available or can be developed as needed to accommodate ongoing operations and any such growth. However, we expect to incur additional operating expenses and capital expenditures in connection with such new or expanded facilities.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the geographical location of our property and equipment, refer to Note 15. of our consolidated financial statements in Part II, Item 8 of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various claims, complaints and legal actions that arise from time to time in the ordinary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 Refer to Note 11. Commitments and Contingencies in Part II, Item 8 of this Annual Report on Form 10-K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Mine Safety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ind w:left="0" w:right="0" w:hanging="14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traded on The Nasdaq Global Select Market under the symbol “FTNT.”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Holders of Record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20, 2026, there were 51 holders of record of our common stock. A substantially greater number of holders of our common stock are “street name” or beneficial holders, whose shares are held by banks, brokers and other financial institutions.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do not anticipate paying any cash dividends in the foreseeable future. Any future determination to declare cash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2025 Annual Meeting of Stockholders to be filed with the Securities and Exchange Commission (the “SEC”) within 120 days after the end of the fiscal year covered by this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Stock Performance Graph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This performance graph shall not be deemed “filed” for purposes of Section 18 of the Securities Exchange Act of 1934 </w:t>
      </w:r>
      <w:r>
        <w:rPr>
          <w:rFonts w:ascii="Times New Roman;serif" w:hAnsi="Times New Roman;serif"/>
          <w:b w:val="false"/>
          <w:color w:val="000000"/>
          <w:sz w:val="20"/>
        </w:rPr>
        <w:t>(</w:t>
      </w:r>
      <w:r>
        <w:rPr>
          <w:rFonts w:ascii="Times New Roman;serif" w:hAnsi="Times New Roman;serif"/>
          <w:b w:val="false"/>
          <w:i/>
          <w:color w:val="000000"/>
          <w:sz w:val="20"/>
        </w:rPr>
        <w:t>the “Exchange Act”), or incorporated by reference into any filing of Fortinet under the Securities Act of 1933, as amended (the “Securities Act”), or the Exchange Act, except as shall be expressly set forth by specific reference in such filing.</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graph compares the cumulative five-year total return for our common stock, the Standard &amp; Poor’s 500 Stock Index (the “S&amp;P 500 Index”) and the NASDAQ Computer Index. Such returns are based on historical results and are not intended to suggest future performance. Data for the S&amp;P 500 Index and the NASDAQ Computer Index assume reinvestment of dividends. </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COMPARISON OF CUMULATIVE TOTAL RETURN*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Among Fortinet, Inc., the S&amp;P 500 Index and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NASDAQ Computer Index</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009900"/>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6515100" cy="3009900"/>
                    </a:xfrm>
                    <a:prstGeom prst="rect">
                      <a:avLst/>
                    </a:prstGeom>
                  </pic:spPr>
                </pic:pic>
              </a:graphicData>
            </a:graphic>
          </wp:inline>
        </w:drawing>
      </w:r>
      <w:bookmarkStart w:id="0" w:name="i-1"/>
      <w:bookmarkEnd w:id="0"/>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76"/>
        <w:gridCol w:w="353"/>
        <w:gridCol w:w="355"/>
        <w:gridCol w:w="120"/>
        <w:gridCol w:w="120"/>
        <w:gridCol w:w="120"/>
        <w:gridCol w:w="314"/>
        <w:gridCol w:w="696"/>
        <w:gridCol w:w="164"/>
        <w:gridCol w:w="120"/>
        <w:gridCol w:w="120"/>
        <w:gridCol w:w="120"/>
        <w:gridCol w:w="300"/>
        <w:gridCol w:w="665"/>
        <w:gridCol w:w="157"/>
        <w:gridCol w:w="120"/>
        <w:gridCol w:w="120"/>
        <w:gridCol w:w="120"/>
        <w:gridCol w:w="300"/>
        <w:gridCol w:w="665"/>
        <w:gridCol w:w="157"/>
        <w:gridCol w:w="120"/>
        <w:gridCol w:w="120"/>
        <w:gridCol w:w="120"/>
        <w:gridCol w:w="300"/>
        <w:gridCol w:w="665"/>
        <w:gridCol w:w="157"/>
        <w:gridCol w:w="120"/>
        <w:gridCol w:w="120"/>
        <w:gridCol w:w="120"/>
        <w:gridCol w:w="300"/>
        <w:gridCol w:w="665"/>
        <w:gridCol w:w="157"/>
        <w:gridCol w:w="120"/>
        <w:gridCol w:w="120"/>
        <w:gridCol w:w="120"/>
        <w:gridCol w:w="297"/>
        <w:gridCol w:w="657"/>
        <w:gridCol w:w="245"/>
      </w:tblGrid>
      <w:tr>
        <w:trPr/>
        <w:tc>
          <w:tcPr>
            <w:tcW w:w="4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2020 *</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2021</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2022</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2023</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2024</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2025</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Fortinet, Inc.</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S&amp;P 500 Index</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NASDAQ Computer</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Assumes that $100 was invested on December 31, 2020 in stock or index, including reinvestment of dividends. Stockholder returns over the indicated period should not be considered indicative of future stockholder returns.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of Unregistered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 Repurchase Program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2016, our board of directors approved our Share Repurchase Program, which authorized the repurchase of up to $200.0 million of our outstanding common stock through December 31, 2017. From 2016 through 2024, our board of directors approved increases to our Repurchase Program by various amounts and extended the term to February 28, 2026. In August 2025, our board of directors approved a $1.0 billion increase in the authorized stock repurchase amount under the Repurchase Program and extended the term of the Repurchase Program to February 28, 2027, bringing the aggregate amount authorized for repurchases to $9.25 billion of our outstanding common stock through February 28, 2027. Under the Repurchase Program, we may repurchase common stock from time to time in privately negotiated transactions or in open market transactions. The Repurchase Program does not require us to purchase a minimum number of shares, and may be suspended, modified or discontinued at any time without prior notice. Since its inception through December 31, 2025, we have repurchased 267.3 million shares of our common stock under the Repurchase Program for an aggregate purchase price of $8.51 billion.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the shares of common stock we repurchased under the Repurchase Program during the three months ended December 31, 2025 (in millions, except average price paid per share amounts):</w:t>
      </w:r>
    </w:p>
    <w:tbl>
      <w:tblPr>
        <w:tblW w:w="10205" w:type="dxa"/>
        <w:jc w:val="left"/>
        <w:tblInd w:w="0" w:type="dxa"/>
        <w:tblLayout w:type="fixed"/>
        <w:tblCellMar>
          <w:top w:w="28" w:type="dxa"/>
          <w:left w:w="28" w:type="dxa"/>
          <w:bottom w:w="28" w:type="dxa"/>
          <w:right w:w="28" w:type="dxa"/>
        </w:tblCellMar>
      </w:tblPr>
      <w:tblGrid>
        <w:gridCol w:w="639"/>
        <w:gridCol w:w="433"/>
        <w:gridCol w:w="441"/>
        <w:gridCol w:w="109"/>
        <w:gridCol w:w="109"/>
        <w:gridCol w:w="109"/>
        <w:gridCol w:w="433"/>
        <w:gridCol w:w="433"/>
        <w:gridCol w:w="434"/>
        <w:gridCol w:w="109"/>
        <w:gridCol w:w="109"/>
        <w:gridCol w:w="109"/>
        <w:gridCol w:w="285"/>
        <w:gridCol w:w="834"/>
        <w:gridCol w:w="147"/>
        <w:gridCol w:w="109"/>
        <w:gridCol w:w="109"/>
        <w:gridCol w:w="109"/>
        <w:gridCol w:w="742"/>
        <w:gridCol w:w="742"/>
        <w:gridCol w:w="744"/>
        <w:gridCol w:w="109"/>
        <w:gridCol w:w="109"/>
        <w:gridCol w:w="109"/>
        <w:gridCol w:w="553"/>
        <w:gridCol w:w="1621"/>
        <w:gridCol w:w="416"/>
      </w:tblGrid>
      <w:tr>
        <w:trPr/>
        <w:tc>
          <w:tcPr>
            <w:tcW w:w="63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rPr/>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 October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 November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our board of directors approved a $1.0 billion increase in the authorized stock repurchase amount under the Repurchase Program, bringing the aggregate amount authorized to be repurchased to $10.25 billion of our outstanding common stock through February 28, 2027. As of February 24, 2026, approximately $1.27 billion remained available for future share repurchases.</w:t>
      </w:r>
    </w:p>
    <w:p>
      <w:pPr>
        <w:pStyle w:val="TextBody"/>
        <w:bidi w:val="0"/>
        <w:spacing w:before="0" w:after="1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 addition to historical information, this Annual Report on Form 10-K contains forward-looking statements within the meaning of Section 27A of the Securities Act and Section 21E of the Exchange Act. These statements include, among other things, statements concerning our expectations regarding:</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continued growth and market share gains;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variability in sales in certain product and service categories from year to year and between quarters;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expected impact of sales from certain products and services;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increasing or decreasing inflation or stagflation, and changing interest rates in many geographies and changes in currency exchange rates and currency regulations;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competition in our markets;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macroeconomic, geopolitical factors and other disruption on our manufacturing or sales, including tariffs or other trade disruptions, public health issues, wars, natural disasters and economic growth;</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government regulation and other policies;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drivers of long-term growth and operating leverage, such as pricing of our products and services, sales productivity, pipeline and capacity, functionality, value and technology improvements in our product and service offerings;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growing our solution sales through channel partners to businesses, service providers and government organizations, our ability to execute these sales and the complexity of providing solutions to all segments (including the increased competition and unpredictability of timing associated with sales to larger enterprises), the impact of sales to these organizations on our long-term growth, expansion and operating results, and the effectiveness of our sales organization;</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our ability to successfully anticipate market changes, including those related to cloud-based and AI solutions and to sell, support and meet service level agreements related to cloud-based solutions;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growth expectations for the secure networking market;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supply chain constraints, component availability and other factors affecting our manufacturing capacity, delivery, cost and inventory management;</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forecasts of future demand and targeted inventory levels, including changing market drivers and demands;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the effect of backlog from current or prior quarters, including its effect on growth of in-quarter billings and revenue;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our ability to hire properly qualified and effective sales, support and engineering employees;</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 xml:space="preserve">risks and expectations related to acquisitions and equity interests in private and public companies, including integration issues related to go-to-market plans, product plans, employees of such companies, controls and processes and the acquired technology, and risks of negative impact by such acquisitions and equity investments on our financial results;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trends in revenue, cost of revenue and gross margin, including product revenue, service revenue and inventory related charges;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trends in our operating expenses, including sales and marketing expenses, research and development expenses, general and administrative expenses;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expected impact of plans and strategy for the acceleration of our data center footprint and our PoP deployment;</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our gross margins and operating expenses for 2026;</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expectations that proceeds from the exercise of stock options in future years will be adversely impacted by the increased mix of restricted stock units and performance stock units versus stock options granted or a decline in our stock price;</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uncertain tax benefits and our effective domestic and global tax rates, the impact of interpretations of or changes to tax law, and the timing of tax payments;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spending related to real estate assets, acquisitions and development, including data centers and points of presence, office building and warehouse investments, as well as other capital expenditures and to the impact on free cash flow and expenses;</w:t>
      </w:r>
    </w:p>
    <w:p>
      <w:pPr>
        <w:pStyle w:val="TextBody"/>
        <w:bidi w:val="0"/>
        <w:spacing w:before="0" w:after="0"/>
        <w:ind w:left="0" w:right="0" w:hanging="36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i/>
          <w:color w:val="000000"/>
          <w:sz w:val="20"/>
        </w:rPr>
        <w:t>estimates of a range of 2026 spending on capital expenditures;</w:t>
      </w:r>
    </w:p>
    <w:p>
      <w:pPr>
        <w:pStyle w:val="TextBody"/>
        <w:bidi w:val="0"/>
        <w:spacing w:before="0" w:after="0"/>
        <w:ind w:left="0" w:right="0" w:hanging="360"/>
        <w:jc w:val="left"/>
        <w:rPr/>
      </w:pPr>
      <w:r>
        <w:rPr/>
      </w:r>
    </w:p>
    <w:p>
      <w:pPr>
        <w:pStyle w:val="TextBody"/>
        <w:bidi w:val="0"/>
        <w:spacing w:lineRule="auto" w:line="276" w:before="0" w:after="0"/>
        <w:ind w:left="0" w:right="0" w:hanging="720"/>
        <w:jc w:val="left"/>
        <w:rPr/>
      </w:pPr>
      <w:r>
        <w:rPr>
          <w:color w:val="000000"/>
        </w:rPr>
        <w:t>•</w:t>
      </w:r>
      <w:r>
        <w:rPr>
          <w:rFonts w:ascii="Times New Roman;serif" w:hAnsi="Times New Roman;serif"/>
          <w:b w:val="false"/>
          <w:i/>
          <w:color w:val="000000"/>
          <w:sz w:val="20"/>
        </w:rPr>
        <w:t xml:space="preserve">expansions, development, improvements, operating, subleasing and other real property holdings activities;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expected outcomes and liabilities in litigation;</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 xml:space="preserve">our intentions regarding share repurchases and the sufficiency of our existing cash, cash equivalents and investments to meet our cash needs, including our debt servicing requirements, for at least the next 12 months;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other statements regarding our future operations, financial condition and prospects and business strategies; and</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 xml:space="preserve">adoption and impact of new accounting standards.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Annual Report on Form 10-K and, in particular, the risks discussed under the heading “Risk Factors” in Part I, Item 1A of this Annual Report on Form 10-K and those discussed in other documents we file with the SEC. We undertake no obligation, and specifically disclaim any obligation, to revise or publicly release the results of any revision to these and any other forward-looking statements. Given these risks and uncertainties, readers are cautioned not to place undue reliance on such forward-looking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Business Overview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Fortinet is a leader in cybersecurity, driving the convergence of networking and security. Our mission is to secure people, devices and data everywhere. Our integrated platform, the Fortinet Security Fabric, spans secure networking, unified SASE and AI-driven security operations. As of December 31, 2025, our end-customers were located in over 100 countries and included enterprises across a wide variety of market verticals, including financial services, retail, healthcare and operational technology market verticals, communication and security service providers, and government organizations. As a global company headquartered in Sunnyvale, California, our research and development is centered in the United States and Canada with a global footprint of support and centers of excellence around the world. As of December 31, 2025, we held 1,064 U.S. patents and a total of 1,405 global patents, including 321 AI-related patents. We have been recognized in over 140 enterprise analyst reports demonstrating both our vision and execution across security and networking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competitive differentiation lies in our core technologies, which together provide performance, security, flexibility and integration across diverse environments.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FortiOS</w:t>
      </w:r>
      <w:r>
        <w:rPr>
          <w:color w:val="000000"/>
        </w:rPr>
        <w:t>—</w:t>
      </w:r>
      <w:r>
        <w:rPr>
          <w:rFonts w:ascii="Times New Roman;serif" w:hAnsi="Times New Roman;serif"/>
          <w:b w:val="false"/>
          <w:color w:val="000000"/>
          <w:sz w:val="20"/>
        </w:rPr>
        <w:t>Our unified operating system enables the convergence of networking and AI-powered security to enforce consistent policies across all form factors and edges. As the foundational engine of the Fortinet Security Fabric, FortiOS empowers organizations to unify management and analytics, providing network visibility and control at scale. FortiOS includes advanced encryption and other security technologies designed to address evolving cybersecurity threats, including emerging quantum-resistant cryptographic capabilities.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FortiASIC</w:t>
      </w:r>
      <w:r>
        <w:rPr>
          <w:color w:val="000000"/>
        </w:rPr>
        <w:t>—</w:t>
      </w:r>
      <w:r>
        <w:rPr>
          <w:rFonts w:ascii="Times New Roman;serif" w:hAnsi="Times New Roman;serif"/>
          <w:b w:val="false"/>
          <w:color w:val="000000"/>
          <w:sz w:val="20"/>
        </w:rPr>
        <w:t>Our ASIC-based SPUs increase the speed, scale, efficiency and value of our solutions while reducing footprint and power requirements. From branch and campus to data center solutions, SPU-powered Fortinet appliances deliver superior Security Compute Ratings versus industry alternatives.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FortiCloud</w:t>
      </w:r>
      <w:r>
        <w:rPr>
          <w:color w:val="000000"/>
        </w:rPr>
        <w:t>—</w:t>
      </w:r>
      <w:r>
        <w:rPr>
          <w:rFonts w:ascii="Times New Roman;serif" w:hAnsi="Times New Roman;serif"/>
          <w:b w:val="false"/>
          <w:color w:val="000000"/>
          <w:sz w:val="20"/>
        </w:rPr>
        <w:t>Our organically built global cloud infrastructure provides customers with global reach, flexible connectivity and cost savings. FortiCloud is our private cloud SaaS platform, powered by FortiStack, which is our secure SaaS platform operating as a private cloud service provider and leveraging software and hardware to optimize and secure all layers.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FortiAI</w:t>
      </w:r>
      <w:r>
        <w:rPr>
          <w:color w:val="000000"/>
        </w:rPr>
        <w:t>—</w:t>
      </w:r>
      <w:r>
        <w:rPr>
          <w:rFonts w:ascii="Times New Roman;serif" w:hAnsi="Times New Roman;serif"/>
          <w:b w:val="false"/>
          <w:color w:val="000000"/>
          <w:sz w:val="20"/>
        </w:rPr>
        <w:t>FortiAI provides a dual-layered defense across the Fortinet Security Fabric through the AI for Security and Security for AI framework. Within AI for Security, FortiAI-Assist uses generative and agentic AI to support NOC and SOC teams in monitoring, analysis and response activities across enterprise environments. Security for AI comprises of FortiAI-Protect and FortiAI-SecureAI. FortiAI-Protect utilizes AI/ML to address AI-driven threats and zero-day attacks, and support governance over GenAI applications, FortiAI-SecureAI focus on protecting an organization’s AI infrastructure, including LLMs and APIs, and preventing data leakage into and out of LLMs. FortiAI protects the AI ecosystem, infrastructure, models, workloads, data and supply chains, while leveraging unified AI intelligence across the Fortinet Security Fabric to defend against threats.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FortiEndpoint</w:t>
      </w:r>
      <w:r>
        <w:rPr>
          <w:color w:val="000000"/>
        </w:rPr>
        <w:t>—</w:t>
      </w:r>
      <w:r>
        <w:rPr>
          <w:rFonts w:ascii="Times New Roman;serif" w:hAnsi="Times New Roman;serif"/>
          <w:b w:val="false"/>
          <w:color w:val="000000"/>
          <w:sz w:val="20"/>
        </w:rPr>
        <w:t>FortiEndpoint converges secure connectivity, endpoint protection and advanced capabilities like endpoint detection and response and ZTNA, into a single agent. It simplifies management and enhances visibility while reducing costs and complexity. The solution gives IT teams the visibility and control they need, while security teams benefit from automated threat detection and response. This minimizes the need for manual intervention and provides faster remediation of threats across environments.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color w:val="000000"/>
          <w:sz w:val="20"/>
        </w:rPr>
        <w:t>OT Security</w:t>
      </w:r>
      <w:r>
        <w:rPr>
          <w:color w:val="000000"/>
        </w:rPr>
        <w:t>—</w:t>
      </w:r>
      <w:r>
        <w:rPr>
          <w:rFonts w:ascii="Times New Roman;serif" w:hAnsi="Times New Roman;serif"/>
          <w:b w:val="false"/>
          <w:color w:val="000000"/>
          <w:sz w:val="20"/>
        </w:rPr>
        <w:t>The Fortinet Security Fabric enables security for OT systems and CPS, including converged IT/OT architectures. Our OT Security Platform is purpose-built to protect the engineered systems that underpin critical infrastructure and supply chains around the world. This includes securing energy and utilities systems, manufacturing environments, and transportation, utilizing FortiGuard OT Security Services. These offerings include security capabilities for CPS assets and tools that support centralized NOC and SOC functions.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competitive differentiators provide networking and security professionals with a cyber security platform comprised of over 50 products across three solution pillars: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Secure Networking</w:t>
      </w:r>
      <w:r>
        <w:rPr>
          <w:color w:val="000000"/>
        </w:rPr>
        <w:t>—</w:t>
      </w:r>
      <w:r>
        <w:rPr>
          <w:rFonts w:ascii="Times New Roman;serif" w:hAnsi="Times New Roman;serif"/>
          <w:b w:val="false"/>
          <w:color w:val="000000"/>
          <w:sz w:val="20"/>
        </w:rPr>
        <w:t>Our Secure Networking solutions focus on the convergence of networking and security via FortiOS, our networking and security operating system that is the foundation of our Fortinet Security Fabric platform and supports a broad range of functions that can be delivered via a physical, virtual, cloud or SaaS solutions. When delivered through our network firewall appliances, functionality is accelerated through our proprietary ASIC technology. These proprietary ASICs, allow our systems to scale, run multiple applications at higher performance, lower power consumption and perform more processor-intensive operations, such as inspecting encrypted traffic, including streaming video. Our network firewall offerings consist of a FortiGate, which can be deployed at branch, campus, data center, internal segmentation, private and public cloud to enable hybrid mesh firewall solutions, as well as encrypted applications (SSL inspection, virtual private network and IPsec connectivity). Our ability to converge networking and security also enables the ethernet to become an extension of our customers’ security infrastructure through FortiSwitch and FortiLink. FortiExtender secures 5G/LTE and remote ethernet extenders to connect and secure any branch environment. Our Secure Connectivity solution includes FortiSwitch secure ethernet switches, FortiAP wireless local area network access points and FortiExtender 5G connectivity gateways and NAC for securing IoT devices.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Unified Secure Access Service Edge (SASE)</w:t>
      </w:r>
      <w:r>
        <w:rPr>
          <w:color w:val="000000"/>
        </w:rPr>
        <w:t>—</w:t>
      </w:r>
      <w:r>
        <w:rPr>
          <w:rFonts w:ascii="Times New Roman;serif" w:hAnsi="Times New Roman;serif"/>
          <w:b w:val="false"/>
          <w:color w:val="000000"/>
          <w:sz w:val="20"/>
        </w:rPr>
        <w:t xml:space="preserve">As applications move to the cloud and hybrid workforce is now the norm, enabling secure access for users with zero trust framework becomes important. The Fortinet Unified SASE solution includes a single-vendor SASE solution that includes firewall, SD-WAN, secure web gateway, cloud access services broker, DLP, DEM, RBI and ZTNA to deliver flexible secure access for all users. We are one of the few vendors to deliver consistent convergence and AI-powered security across Secure SD-WAN and SSE to enable a single-vendor SASE framework with a cloud-centric architecture powered by FortiOS. Our global and scalable cloud network includes over 190 PoPs to deliver a seamless secure access experience. Leveraging this global infrastructure, we believe we are well positioned to support customers expanding from SD-WAN to a single-vendor SASE platform. We also allow our customers to deploy our FortiSASE as Sovereign SASE, which provides control over the technology elements needed for a SASE solution. FortiSASE Sovereign delivers full SASE capabilities within infrastructure environments that organizations control, including on-premises, in private data centers or trusted colocation environments. Additionally, we offer a full suite of integrated cloud security solutions that enable customers to secure their applications from code to cloud. Our solutions include application security that includes web application firewalls, cloud network security with virtualized firewalls and cloud-native firewalls, cloud-native application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protection and code security. We deliver a holistic approach to cloud security, offering a single unified platform, consolidating protection across multiple disparate tools, including coding, deploying, and running applications across hybrid and multi-clouds. Additionally, we also offer flexible consumption licensing programs that enable organizations to dynamically optimize their cloud security needs and investments as well as readily meet their cloud minimum spend commitment obligations with Cloud Service Providers. We continue to develop all the core SASE capabilities in a single operating system, FortiOS, including Next-Gen Firewall, SD-WAN, ZTNA, secure web gateway, cloud access security broker and DLP. This native integration of our Next-Gen Firewall, SD-WAN and SASE has become the New-Generation SASE Firewall.</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i/>
          <w:color w:val="000000"/>
          <w:sz w:val="20"/>
        </w:rPr>
        <w:t>AI-Driven Security Operations (SecOps)</w:t>
      </w:r>
      <w:r>
        <w:rPr>
          <w:color w:val="000000"/>
        </w:rPr>
        <w:t>—</w:t>
      </w:r>
      <w:r>
        <w:rPr>
          <w:rFonts w:ascii="Times New Roman;serif" w:hAnsi="Times New Roman;serif"/>
          <w:b w:val="false"/>
          <w:color w:val="000000"/>
          <w:sz w:val="20"/>
        </w:rPr>
        <w:t>Our AI-Driven SecOps portfolio provides a suite of cybersecurity solutions that identify, protect, detect, respond and recover from threats, all integrated within the Fortinet Security Fabric. At the core is FortiAnalyzer, which serves as the central SOC platform with its unified data lake that provides: built-in SIEM, SOAR, XDR and threat intelligence, enabling centralized visibility, analytics and automation with complete control. FortiSIEM delivers security information and event management for more advanced SOC requirements, while FortiSOAR enables automated orchestration and playbook-driven response. This solution set also includes FortiEndpoint, FortiNDR, FortiSandbox, FortiDeceptor, FortiDLP and FortiRecon, helping organizations achieve defense in depth, ensuring attackers face multiple layers of detection and mitigation across endpoints, networks, and applications. To bolster their security posture, organizations contending with staff shortages can tap into FortiGuard services, including SOCaaS, MDR, Security Posture Assessment and Incident Response. Finally, FortiAI generative AI assistance streamlines operations, helping security teams stay ahead of an ever-evolving threat landscape.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FortiGuard Labs</w:t>
      </w:r>
      <w:r>
        <w:rPr>
          <w:color w:val="000000"/>
        </w:rPr>
        <w:t xml:space="preserve"> </w:t>
      </w:r>
      <w:r>
        <w:rPr>
          <w:rFonts w:ascii="Times New Roman;serif" w:hAnsi="Times New Roman;serif"/>
          <w:b w:val="false"/>
          <w:color w:val="000000"/>
          <w:sz w:val="20"/>
        </w:rPr>
        <w:t>is our cybersecurity threat intelligence and research organization comprised of experienced threat hunters, researchers, analysts, engineers and data scientists who develop and utilize ML and AI technologies to provide timely protection updates and actionable threat intelligence for the benefit of our customers. Using millions of global network sensors, FortiGuard Labs monitors the worldwide attack surface and employs AI to mine that data for new threats.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FortiGuard and Other Security Services</w:t>
      </w:r>
      <w:r>
        <w:rPr>
          <w:color w:val="000000"/>
        </w:rPr>
        <w:t xml:space="preserve"> </w:t>
      </w:r>
      <w:r>
        <w:rPr>
          <w:rFonts w:ascii="Times New Roman;serif" w:hAnsi="Times New Roman;serif"/>
          <w:b w:val="false"/>
          <w:color w:val="000000"/>
          <w:sz w:val="20"/>
        </w:rPr>
        <w:t>are a suite of AI-powered security capabilities that are natively integrated as part of the Fortinet Security Fabric to deliver coordinated detection and enforcement across the entire attack surface. The portfolio consists of FortiGuard application security services, content security services, device security services, NOC/SOC security services and web security services.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FortiCare Technical Support Service</w:t>
      </w:r>
      <w:r>
        <w:rPr>
          <w:color w:val="000000"/>
        </w:rPr>
        <w:t xml:space="preserve"> </w:t>
      </w:r>
      <w:r>
        <w:rPr>
          <w:rFonts w:ascii="Times New Roman;serif" w:hAnsi="Times New Roman;serif"/>
          <w:b w:val="false"/>
          <w:color w:val="000000"/>
          <w:sz w:val="20"/>
        </w:rPr>
        <w:t>is a technical support service, which provides customers access to experts to ensure efficient and effective operations and maintenance of their Fortinet solution. Global technical support is offered 24x7 with flexible add-ons, including enhanced SLAs and priority hardware replacement through in-country and local depots. Organizations have the flexibility to procure different levels of service for different solutions based on their availability needs. We offer three support options tailored to the needs of our enterprise customers: FortiCare Elite, FortiCare Premium and FortiCare Essential. The FortiCare Elite service aims to provide a 15-minute response time for key product families.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FortiCare solution based services, Advanced Support service options are available per account. These services are available for regional account support in three options: Core, Pro and Pro Plus, and can be available or provided on a global basis at the Pro and Pro Plus levels. Advanced Support brings support directly to each account, helping account holders to make their operations more effective and to plan and manage their solution lifecycle.</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are committed to addressing the cybersecurity skills shortage through training and certification programs for customers, partners and employees. The Fortinet Training Institute’s ecosystem of public and private partnerships around the world extend to industry, academia, government and nonprofits to ensure we are reaching and increasing access of our cybersecurity certifications and training to all populations. The Fortinet Training Institute has issued approximately two million certifications to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Financial Summary</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rPr>
        <w:t xml:space="preserve">Total revenue was $6.80 billion in 2025, an increase of 14% compared to $5.96 billion in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 revenue was $2.22 billion in 2025, an increase of 16% compared to $1.91 billion in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Service revenue was $4.58 billion in 2025, an increase of 13% compared to $4.05 billion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Total gross profit was $5.47 billion in 2025, an increase of 14% compared to $4.80 billion in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gross margin was 80.5% in 2025, remaining comparatively flat compared to 80.6% in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Operating income was $2.08 billion in 2025, an increase of 16% compared to $1.80 billion in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margin was 30.7% in 2025, an increase of 0.4 percentage points compared to 30.3%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cash equivalents, short-term and long-term investments were $3.92 billion as of December 31, 2025, a decrease of $144.3 million, or 4%, from December 31,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Deferred revenue was $7.12 billion as of December 31, 2025, an increase of $754.9 million, or 12%, from December 31, 2024. Short-term deferred revenue was $3.64 billion as of December 31, 2025, an increase of $359.8 million, or 11%, from December 31, 2024.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Cash flows from operating activities were $2.59 billion in 2025, an increase of $332.5 million, or 15%, compared to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continues to be diversified globally, which remains a key strength of our business. In 2025, the Americas region, the EMEA region and the APAC region contributed 40%, 42% and 18% of our total revenue, respectively, and increased 11%, 18% and 13% compared to 2024, respectively.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Product revenue grew </w:t>
      </w:r>
      <w:r>
        <w:rPr>
          <w:rFonts w:ascii="Times New Roman;serif" w:hAnsi="Times New Roman;serif"/>
          <w:b w:val="false"/>
          <w:color w:val="000000"/>
          <w:sz w:val="20"/>
          <w:shd w:fill="FFFFFF" w:val="clear"/>
        </w:rPr>
        <w:t>16%</w:t>
      </w:r>
      <w:r>
        <w:rPr>
          <w:color w:val="000000"/>
        </w:rPr>
        <w:t xml:space="preserve"> </w:t>
      </w:r>
      <w:r>
        <w:rPr>
          <w:rFonts w:ascii="Times New Roman;serif" w:hAnsi="Times New Roman;serif"/>
          <w:b w:val="false"/>
          <w:color w:val="000000"/>
          <w:sz w:val="20"/>
        </w:rPr>
        <w:t>in 2025 compared to 2024</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xml:space="preserve">We experienced product revenue growth across our hardware products and software licensing, which mainly benefited from growth in secure networking hardware products and term licenses. We expect our product revenue to continue to grow in 2026.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 xml:space="preserve">Service revenue grew 13% in 2025 compared to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primarily driven by the strength of our security subscription revenue, which grew 14% in 2025 compared to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xml:space="preserve">. The increase was primarily due to the recognition of service revenue from our growing deferred revenue balance related to FortiGuard and other security subscriptions delivered to on-premise and cloud-based environments and strength in unified SASE and SecOps. We expect our service revenue to continue to grow in 2026.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Our billings were diversified on a geographic basis. In 2025, seven countries represented approximately 50% of our billings and the remaining approximately 50% in the aggregate were from over</w:t>
      </w:r>
      <w:r>
        <w:rPr>
          <w:color w:val="000000"/>
        </w:rPr>
        <w:t xml:space="preserve"> </w:t>
      </w:r>
      <w:r>
        <w:rPr>
          <w:rFonts w:ascii="Times New Roman;serif" w:hAnsi="Times New Roman;serif"/>
          <w:b w:val="false"/>
          <w:color w:val="000000"/>
          <w:sz w:val="20"/>
        </w:rPr>
        <w:t xml:space="preserve">100 countries that each individually contributed less than 3% </w:t>
      </w:r>
      <w:r>
        <w:rPr>
          <w:rFonts w:ascii="Times New Roman;serif" w:hAnsi="Times New Roman;serif"/>
          <w:b w:val="false"/>
          <w:color w:val="000000"/>
          <w:sz w:val="20"/>
          <w:shd w:fill="FFFFFF" w:val="clear"/>
        </w:rPr>
        <w:t xml:space="preserve">of our billings.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 xml:space="preserve">Total gross margin remained comparatively flat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2024</w:t>
      </w:r>
      <w:r>
        <w:rPr>
          <w:rFonts w:ascii="Times New Roman;serif" w:hAnsi="Times New Roman;serif"/>
          <w:b w:val="false"/>
          <w:color w:val="000000"/>
          <w:sz w:val="20"/>
          <w:shd w:fill="FFFFFF" w:val="clear"/>
        </w:rPr>
        <w:t>. O</w:t>
      </w:r>
      <w:r>
        <w:rPr>
          <w:rFonts w:ascii="Times New Roman;serif" w:hAnsi="Times New Roman;serif"/>
          <w:b w:val="false"/>
          <w:color w:val="000000"/>
          <w:sz w:val="20"/>
        </w:rPr>
        <w:t>ur overall gross margin in 2026 will be impacted by service and product revenue mix and their respective gross margins.</w:t>
      </w:r>
      <w:r>
        <w:rPr>
          <w:color w:val="000000"/>
          <w:shd w:fill="FFFFFF" w:val="clear"/>
        </w:rPr>
        <w:t xml:space="preserve"> </w:t>
      </w:r>
      <w:r>
        <w:rPr>
          <w:rFonts w:ascii="Times New Roman;serif" w:hAnsi="Times New Roman;serif"/>
          <w:b w:val="false"/>
          <w:color w:val="000000"/>
          <w:sz w:val="20"/>
          <w:shd w:fill="FFFFFF" w:val="clear"/>
        </w:rPr>
        <w:t xml:space="preserve">While we are implementing price increases to mitigate higher hardware component costs, the impact on our margins will depend on the timing and market acceptance of these adjustments. Our product gross margin may decline if these pricing actions do not fully offset rising input costs. </w:t>
      </w:r>
      <w:r>
        <w:rPr>
          <w:rFonts w:ascii="Times New Roman;serif" w:hAnsi="Times New Roman;serif"/>
          <w:b w:val="false"/>
          <w:color w:val="000000"/>
          <w:sz w:val="20"/>
        </w:rPr>
        <w:t xml:space="preserve">Our service </w:t>
      </w:r>
      <w:r>
        <w:rPr>
          <w:rFonts w:ascii="Times New Roman;serif" w:hAnsi="Times New Roman;serif"/>
          <w:b w:val="false"/>
          <w:color w:val="000000"/>
          <w:sz w:val="20"/>
          <w:shd w:fill="FFFFFF" w:val="clear"/>
        </w:rPr>
        <w:t>gross margin is expected to remain relatively consistent, for full year 2026 compared to full year 2025, despite continued expansion of</w:t>
      </w:r>
      <w:r>
        <w:rPr>
          <w:color w:val="000000"/>
        </w:rPr>
        <w:t xml:space="preserve"> </w:t>
      </w:r>
      <w:r>
        <w:rPr>
          <w:rFonts w:ascii="Times New Roman;serif" w:hAnsi="Times New Roman;serif"/>
          <w:b w:val="false"/>
          <w:color w:val="000000"/>
          <w:sz w:val="20"/>
        </w:rPr>
        <w:t>our data center footprint and colocation and cloud hosting capacity to support the growth in our unified SASE and SecOps offerings. We currently do not expect the U.S. tariffs to have a meaningful impact on our gross margin. However, changes in trade policy, including increases in tariff rates, changes in customs or tariffs classifications, or modifications to tariff exemptions, could adversely affect our gross margin in the future, and we expect any resulting impact would primarily relate to our hardware sales to the U.S. customers.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as a percentage of revenue decreased 0.5 percentage points in 2025 compared to 2024, mainly because our revenue growth outpaced our personnel costs growth. Headcount increased 7% to 15,109 employees as of December 31, 2025, up from 14,138 as of December 31, 2024.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 xml:space="preserve">Operating margin increased </w:t>
      </w:r>
      <w:r>
        <w:rPr>
          <w:rFonts w:ascii="Times New Roman;serif" w:hAnsi="Times New Roman;serif"/>
          <w:b w:val="false"/>
          <w:color w:val="000000"/>
          <w:sz w:val="20"/>
        </w:rPr>
        <w:t>0.4</w:t>
      </w:r>
      <w:r>
        <w:rPr>
          <w:color w:val="000000"/>
          <w:shd w:fill="FFFFFF" w:val="clear"/>
        </w:rPr>
        <w:t xml:space="preserve"> </w:t>
      </w:r>
      <w:r>
        <w:rPr>
          <w:rFonts w:ascii="Times New Roman;serif" w:hAnsi="Times New Roman;serif"/>
          <w:b w:val="false"/>
          <w:color w:val="000000"/>
          <w:sz w:val="20"/>
          <w:shd w:fill="FFFFFF" w:val="clear"/>
        </w:rPr>
        <w:t xml:space="preserve">percentage points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rPr>
        <w:t>driven by revenue growth exceeding expense growth, resulting in improved operating leverage. For the full year 2026, we expect our operating margin to decrease compared to 2025 as we continue to make strategic investments. Total revenue is expected to increase in 2026 compared to the prior year; however, our expenses are expected to outpace revenue growth, primarily reflecting investments in sales and marketing headcount, product development and the continued capital expenditures in data centers and real estate. While these strategic investments are intended to drive long-term revenue growth and market expansion, we anticipate they may result in near-term compression of our operating margins. In addition, we may experience higher operating expenses driven in part by the weakening of the U.S. dollar relative to foreign currencies, as a portion of our expenses are incurred and paid in currencies other than the U.S. dollar.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Impact of Macroeconomic and Geopolitical and Supply Chain Developments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Our overall performance depends in part on worldwide economic and geopolitical conditions, such as trade policies and tariffs, GDP growth or contraction (both domestically and internationally), geopolitical instability and uncertainty, the war in Ukraine, tensions between China and Taiwan or conflicts in the Middle East, and their impact on customer behavior. Worsening economic conditions, including tariffs, inflation, changing interest rates and other trade disruptions, slower growth, any recession, fluctuations in foreign exchange rates and other changes in economic conditions, may result in decreased sales productivity, lower growth and adversely affect our results of operations and financial performance. We have seen, and could continue to see, certain impacts on our business, results of operations, financial condition, cash flows, liquidity and capital and financial resources such as longer sales cycles, delayed purchases and increased commitments with certain suppliers and increased inventory and inventory purchase commitment reserves.</w:t>
      </w:r>
      <w:r>
        <w:rPr>
          <w:color w:val="212529"/>
        </w:rPr>
        <w:t xml:space="preserve"> </w:t>
      </w:r>
      <w:r>
        <w:rPr>
          <w:rFonts w:ascii="Times New Roman;serif" w:hAnsi="Times New Roman;serif"/>
          <w:b w:val="false"/>
          <w:color w:val="000000"/>
          <w:sz w:val="20"/>
        </w:rPr>
        <w:t>Tariffs imposed by the United States, as well as any new or additional retaliatory tariffs that could be imposed by other countries in response, could have a material adver</w:t>
      </w:r>
      <w:r>
        <w:rPr>
          <w:rFonts w:ascii="Times New Roman;serif" w:hAnsi="Times New Roman;serif"/>
          <w:b w:val="false"/>
          <w:color w:val="212529"/>
          <w:sz w:val="20"/>
        </w:rPr>
        <w:t xml:space="preserve">se impact on global trade, supply chains and other worldwide economic and geopolitical conditions, which could increase our product costs and also affect customer sentiment in deciding whether to purchase our products. We continue to monitor the impact of tariffs on </w:t>
      </w:r>
      <w:r>
        <w:rPr>
          <w:rFonts w:ascii="Times New Roman;serif" w:hAnsi="Times New Roman;serif"/>
          <w:b w:val="false"/>
          <w:color w:val="000000"/>
          <w:sz w:val="20"/>
        </w:rPr>
        <w:t>our business. In addition, as a result of the rapid global build-out of AI infrastructure, there is currently a global shortage of memory chips, which are a component in certain of our products. As a result, we are currently experiencing, and may continue to experience, constraints on the availability of memory chips, which may lead to delays in the production and delivery of our products and increased costs to source available memory chips, any of which could harm our business, financial condition and results of operations. To mitigate increased hardware costs resulting from these shortages, we are implementing price increases, which may negatively impact demand for our products and may not be sufficient or timely to offset rising input costs, potentially resulting in margin compression and adversely affecting our business,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Worsening economic, geopolitical and supply chain developments may have a material negative impact on our results in future periods and may negatively impact our billings, revenue and costs, and may decrease growth and profitability. The extent of the impact of such conditions on our operational and financial performance will depend on ongoing developments, including those discussed above and others identified in Part I, Item 1A “Risk Factors” in this Form 10-K. Given the dynamic nature of these circumstances, the full impact of worsening economic, geopolitical and supply chain developments on our business and operations, results of operations, financial condition, cash flows, liquidity and capital and financial resources cannot be reasonably estimated at this time.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Business Model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sell our security solutions to distributors that sell to networking security focused resellers and to certain service providers and MSSPs, who, in turn, sell to end-customers or use our products and services to provide hosted solutions to other enterprises. At times, we also sell directly to enterprise customers, service providers, systems integrators and large enterprises. We also sell our software licenses and cloud delivered services via different cloud service provider platforms, both directly and through our channel partners. Our end-customers are located in over 100 countries and include small, medium and large enterprises and government organizations across a wide range of industries, including financial services, government, healthcare, manufacturing, retail, technology and telecommunications. An end-customer deployment may involve as few as one or as many as thousands of secure networking, unified SASE and security operations technology products or users, depending on the end-customer’s size and security requirements.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purchase our hardware products, software licenses, SaaS subscriptions and cloud-delivered solutions, including our FortiGuard security subscriptions and FortiCare technical support services. Depending on the solution, these may be sold in a bundle or standalone as part of a solution sale. We generally invoice at the time of our sale for the total price of the products and services. Standard payment terms are generally no more than 60 days, though we may offer extended payment terms to certain distributors or large enterprises.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offer our products hosted in our own data centers, PoPs, and through colocations and major cloud service providers, including Amazon Web Services, Microsoft Azure and Google Cloud.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Key Metrics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monitor several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“—Components of Operating Results,” and we discuss net cash provided by operating activities below under “—Liquidity and Capital Resources.” Deferred revenue, billings (non-GAAP), and free cash flow (non-GAAP) are discussed immediately below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tbl>
      <w:tblPr>
        <w:tblW w:w="7421" w:type="dxa"/>
        <w:jc w:val="center"/>
        <w:tblInd w:w="0" w:type="dxa"/>
        <w:tblLayout w:type="fixed"/>
        <w:tblCellMar>
          <w:top w:w="28" w:type="dxa"/>
          <w:left w:w="28" w:type="dxa"/>
          <w:bottom w:w="28" w:type="dxa"/>
          <w:right w:w="28" w:type="dxa"/>
        </w:tblCellMar>
      </w:tblPr>
      <w:tblGrid>
        <w:gridCol w:w="1252"/>
        <w:gridCol w:w="1104"/>
        <w:gridCol w:w="1108"/>
        <w:gridCol w:w="211"/>
        <w:gridCol w:w="766"/>
        <w:gridCol w:w="109"/>
        <w:gridCol w:w="109"/>
        <w:gridCol w:w="109"/>
        <w:gridCol w:w="109"/>
        <w:gridCol w:w="211"/>
        <w:gridCol w:w="766"/>
        <w:gridCol w:w="109"/>
        <w:gridCol w:w="109"/>
        <w:gridCol w:w="109"/>
        <w:gridCol w:w="109"/>
        <w:gridCol w:w="211"/>
        <w:gridCol w:w="76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or As of December 31,</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Deferred revenue.</w:t>
      </w:r>
      <w:r>
        <w:rPr>
          <w:color w:val="000000"/>
        </w:rPr>
        <w:t xml:space="preserve"> </w:t>
      </w:r>
      <w:r>
        <w:rPr>
          <w:rFonts w:ascii="Times New Roman;serif" w:hAnsi="Times New Roman;serif"/>
          <w:b w:val="false"/>
          <w:color w:val="000000"/>
          <w:sz w:val="20"/>
        </w:rPr>
        <w:t>Our deferred revenue consists of amounts that have been invoiced but that have not yet been recognized as revenue. The majority of our deferred revenue balance consists of the unrecognized portion of service revenue from FortiGuard and other security subscriptions and FortiCare technical support service contracts, which is recognized as revenue ratably over the service term. We monitor our deferred revenue balance, short term and total deferred revenue growth and the mix of short-term and long-term deferred revenue because deferred revenue represents a significant portion of free cash flow and of revenue to be recognized in future periods. Deferred revenue was $7.12 billion as of December 31, 2025, an increase of $754.9 million, or 12%, from December 31, 2024. Short term deferred revenue was $3.64 billion as of December 31, 2025, an increase of $359.8 million, or 11%, from December 31,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Billings (non-GAAP). </w:t>
      </w:r>
      <w:r>
        <w:rPr>
          <w:rFonts w:ascii="Times New Roman;serif" w:hAnsi="Times New Roman;serif"/>
          <w:b w:val="false"/>
          <w:color w:val="000000"/>
          <w:sz w:val="20"/>
        </w:rPr>
        <w:t>We define billings as revenue recognized in accordance with generally accepted accounting principles in the United States (“GAAP”) plus the change in deferred revenue from the beginning to the end of the period less any deferred revenue balances acquired from business combinations during the period. We consider billings to be a useful metric for management and investors because billings drive current and future revenue as well as cash flows. There are a number of limitations related to the use of billings instead of GAAP revenue. First, billings are impacted by the term of security subscription and support agreements and do not provide an indication as to the timing of revenue being recognized from these service contracts.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$7.55 billion in 2025, an increase of 16% compared to $6.53 billion in 2024.</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of revenue, the most directly comparable financial measure calculated and presented in accordance with GAAP, to billings is provided below:</w:t>
      </w:r>
    </w:p>
    <w:tbl>
      <w:tblPr>
        <w:tblW w:w="9447" w:type="dxa"/>
        <w:jc w:val="center"/>
        <w:tblInd w:w="0" w:type="dxa"/>
        <w:tblLayout w:type="fixed"/>
        <w:tblCellMar>
          <w:top w:w="28" w:type="dxa"/>
          <w:left w:w="28" w:type="dxa"/>
          <w:bottom w:w="28" w:type="dxa"/>
          <w:right w:w="28" w:type="dxa"/>
        </w:tblCellMar>
      </w:tblPr>
      <w:tblGrid>
        <w:gridCol w:w="1992"/>
        <w:gridCol w:w="1743"/>
        <w:gridCol w:w="1755"/>
        <w:gridCol w:w="211"/>
        <w:gridCol w:w="766"/>
        <w:gridCol w:w="109"/>
        <w:gridCol w:w="109"/>
        <w:gridCol w:w="109"/>
        <w:gridCol w:w="109"/>
        <w:gridCol w:w="211"/>
        <w:gridCol w:w="766"/>
        <w:gridCol w:w="109"/>
        <w:gridCol w:w="109"/>
        <w:gridCol w:w="109"/>
        <w:gridCol w:w="109"/>
        <w:gridCol w:w="211"/>
        <w:gridCol w:w="766"/>
        <w:gridCol w:w="154"/>
      </w:tblGrid>
      <w:tr>
        <w:trPr/>
        <w:tc>
          <w:tcPr>
            <w:tcW w:w="199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vMerge w:val="continue"/>
            <w:tcBorders/>
            <w:tcMar>
              <w:top w:w="0" w:type="dxa"/>
              <w:left w:w="0" w:type="dxa"/>
              <w:bottom w:w="0" w:type="dxa"/>
              <w:right w:w="0" w:type="dxa"/>
            </w:tcMar>
            <w:vAlign w:val="center"/>
          </w:tcPr>
          <w:p>
            <w:pPr>
              <w:pStyle w:val="Normal"/>
              <w:bidi w:val="0"/>
              <w:jc w:val="left"/>
              <w:rPr/>
            </w:pPr>
            <w:r>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Billings: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Revenue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 Change in deferred revenue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Deferred revenue balance acquired in business combinations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Free cash flow (non-GAAP).</w:t>
      </w:r>
      <w:r>
        <w:rPr>
          <w:color w:val="000000"/>
        </w:rPr>
        <w:t xml:space="preserve"> </w:t>
      </w:r>
      <w:r>
        <w:rPr>
          <w:rFonts w:ascii="Times New Roman;serif" w:hAnsi="Times New Roman;serif"/>
          <w:b w:val="false"/>
          <w:color w:val="000000"/>
          <w:sz w:val="20"/>
        </w:rPr>
        <w:t xml:space="preserve">We define free cash flow as net cash provided by operating activities minus purchases of property and equipment and excluding any significant non-recurring items, such as proceeds from IP matters. We believe free cash flow to be a liquidity measure that provides useful information to management and investors about the amount of cash generated by the business that, after capital expenditures and net of proceeds from IP matters,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IP matters, investing activities other than capital expenditures and cash flows from financing activities. Management accounts for this limitation by providing information about our proceeds from IP matters, our capital expenditures and other investing and financing activities on the consolidated statements of cash flows and under “Liquidity and Capital Resources”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 all of which could reduce the usefulness of free cash flow as a comparative measure. A reconciliation of net cash provided by operating activities, the most directly comparable financial measure calculated and presented in accordance with GAAP, to free cash flow is provided below:</w:t>
      </w:r>
    </w:p>
    <w:tbl>
      <w:tblPr>
        <w:tblW w:w="8097" w:type="dxa"/>
        <w:jc w:val="center"/>
        <w:tblInd w:w="0" w:type="dxa"/>
        <w:tblLayout w:type="fixed"/>
        <w:tblCellMar>
          <w:top w:w="28" w:type="dxa"/>
          <w:left w:w="28" w:type="dxa"/>
          <w:bottom w:w="28" w:type="dxa"/>
          <w:right w:w="28" w:type="dxa"/>
        </w:tblCellMar>
      </w:tblPr>
      <w:tblGrid>
        <w:gridCol w:w="1446"/>
        <w:gridCol w:w="1269"/>
        <w:gridCol w:w="1275"/>
        <w:gridCol w:w="211"/>
        <w:gridCol w:w="841"/>
        <w:gridCol w:w="109"/>
        <w:gridCol w:w="109"/>
        <w:gridCol w:w="109"/>
        <w:gridCol w:w="109"/>
        <w:gridCol w:w="211"/>
        <w:gridCol w:w="766"/>
        <w:gridCol w:w="109"/>
        <w:gridCol w:w="109"/>
        <w:gridCol w:w="109"/>
        <w:gridCol w:w="109"/>
        <w:gridCol w:w="211"/>
        <w:gridCol w:w="84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90"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90" w:type="dxa"/>
            <w:gridSpan w:val="3"/>
            <w:vMerge w:val="continue"/>
            <w:tcBorders/>
            <w:tcMar>
              <w:top w:w="0" w:type="dxa"/>
              <w:left w:w="0" w:type="dxa"/>
              <w:bottom w:w="0" w:type="dxa"/>
              <w:right w:w="0" w:type="dxa"/>
            </w:tcMar>
            <w:vAlign w:val="center"/>
          </w:tcPr>
          <w:p>
            <w:pPr>
              <w:pStyle w:val="Normal"/>
              <w:bidi w:val="0"/>
              <w:jc w:val="left"/>
              <w:rPr/>
            </w:pPr>
            <w:r>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vMerge w:val="continue"/>
            <w:tcBorders/>
            <w:tcMar>
              <w:top w:w="0" w:type="dxa"/>
              <w:left w:w="0" w:type="dxa"/>
              <w:bottom w:w="0" w:type="dxa"/>
              <w:right w:w="0" w:type="dxa"/>
            </w:tcMar>
            <w:vAlign w:val="center"/>
          </w:tcPr>
          <w:p>
            <w:pPr>
              <w:pStyle w:val="Normal"/>
              <w:bidi w:val="0"/>
              <w:jc w:val="left"/>
              <w:rPr/>
            </w:pPr>
            <w:r>
              <w:rPr/>
            </w:r>
          </w:p>
        </w:tc>
        <w:tc>
          <w:tcPr>
            <w:tcW w:w="41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Purchases of property and equipment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Proceeds from intellectual property matter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Components of Operating Results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We generate the majority of our revenue from sales of our hardware and software products and amortization of amounts included in deferred revenue related to previous sales of FortiGuard and other security subscriptions and FortiCare technical support services. We also recognize revenue from cloud security solutions, professional services, and training.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revenue is comprised of:</w:t>
      </w:r>
    </w:p>
    <w:p>
      <w:pPr>
        <w:pStyle w:val="TextBody"/>
        <w:bidi w:val="0"/>
        <w:spacing w:before="0" w:after="0"/>
        <w:ind w:left="0" w:right="0" w:firstLine="720"/>
        <w:jc w:val="left"/>
        <w:rPr/>
      </w:pPr>
      <w:r>
        <w:rPr/>
      </w:r>
    </w:p>
    <w:p>
      <w:pPr>
        <w:pStyle w:val="TextBody"/>
        <w:bidi w:val="0"/>
        <w:spacing w:lineRule="auto" w:line="256" w:before="0" w:after="0"/>
        <w:ind w:left="0" w:right="0" w:hanging="720"/>
        <w:jc w:val="left"/>
        <w:rPr/>
      </w:pPr>
      <w:r>
        <w:rPr>
          <w:color w:val="000000"/>
        </w:rPr>
        <w:t>•</w:t>
      </w:r>
      <w:r>
        <w:rPr>
          <w:rFonts w:ascii="Times New Roman;serif" w:hAnsi="Times New Roman;serif"/>
          <w:b w:val="false"/>
          <w:i/>
          <w:color w:val="000000"/>
          <w:sz w:val="20"/>
        </w:rPr>
        <w:t>Product revenue</w:t>
      </w:r>
      <w:r>
        <w:rPr>
          <w:rFonts w:ascii="Times New Roman;serif" w:hAnsi="Times New Roman;serif"/>
          <w:b w:val="false"/>
          <w:color w:val="000000"/>
          <w:sz w:val="20"/>
        </w:rPr>
        <w:t>. Product revenue is primarily generated from sales of our physical and virtual machine appliances. The majority of our product revenue continues to be generated by our secure networking product lines. Product revenue also includes revenue from sales of unified SASE and SecOps. As a percentage of total revenue, our product revenue has varied from quarter to quarter.</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i/>
          <w:color w:val="000000"/>
          <w:sz w:val="20"/>
        </w:rPr>
        <w:t>Service revenue</w:t>
      </w:r>
      <w:r>
        <w:rPr>
          <w:rFonts w:ascii="Times New Roman;serif" w:hAnsi="Times New Roman;serif"/>
          <w:b w:val="false"/>
          <w:color w:val="000000"/>
          <w:sz w:val="20"/>
        </w:rPr>
        <w:t>. Service revenue is generated primarily from FortiGuard and other security subscription services and FortiCare technical support services. We recognize revenue from FortiGuard and other security subscriptions and FortiCare technical support services ratably over the service term. Our typical contractual support and subscription term is one to five years. We also generate our revenue from other services, for which we recognize revenue as the services are provided, and cloud-based services, for which we recognize revenue as the services are delivered or on a monthly usage basis. As a percentage of total revenue, we continue to expect service revenue to be higher than product revenue. Our service revenue growth rate depends significantly on the growth of our customer base, the expansion of our service bundle offerings, the mix of our product sales, pricing actions, the expansion and introduction of new service offerings, the attach rate of service contracts to new product sales, and the renewal of service contracts by our existing customers.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total cost of revenue is comprised of:</w:t>
      </w:r>
    </w:p>
    <w:p>
      <w:pPr>
        <w:pStyle w:val="TextBody"/>
        <w:bidi w:val="0"/>
        <w:spacing w:before="0" w:after="0"/>
        <w:ind w:left="0" w:right="0" w:firstLine="54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i/>
          <w:color w:val="000000"/>
          <w:sz w:val="20"/>
        </w:rPr>
        <w:t>Cost of product revenue</w:t>
      </w:r>
      <w:r>
        <w:rPr>
          <w:rFonts w:ascii="Times New Roman;serif" w:hAnsi="Times New Roman;serif"/>
          <w:b w:val="false"/>
          <w:color w:val="000000"/>
          <w:sz w:val="20"/>
        </w:rPr>
        <w:t>. Cost of product revenue is primarily comprised of third-party contract manufacturers’ costs and the costs of materials used in production. Our cost of product revenue also includes supplies, shipping costs, personnel costs associated with logistics and quality control, facility-related costs, excess and obsolete inventory costs, charges related to excess inventory commitments and amortization of intangible assets. Personnel costs include compensation benefits and stock-based compensation.</w:t>
      </w:r>
    </w:p>
    <w:p>
      <w:pPr>
        <w:pStyle w:val="TextBody"/>
        <w:bidi w:val="0"/>
        <w:spacing w:before="0" w:after="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i/>
          <w:color w:val="000000"/>
          <w:sz w:val="20"/>
        </w:rPr>
        <w:t>Cost of service revenue</w:t>
      </w:r>
      <w:r>
        <w:rPr>
          <w:rFonts w:ascii="Times New Roman;serif" w:hAnsi="Times New Roman;serif"/>
          <w:b w:val="false"/>
          <w:color w:val="000000"/>
          <w:sz w:val="20"/>
        </w:rPr>
        <w:t>. Cost of service revenue is primarily comprised of personnel costs, replacement and repair costs, cloud services costs from owned data centers, colocation providers and cloud service providers, infrastructure depreciation and related operating costs, software and delivery costs, facility-related costs and amortization of intangible assets.</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Gross margin</w:t>
      </w:r>
      <w:r>
        <w:rPr>
          <w:rFonts w:ascii="Times New Roman;serif" w:hAnsi="Times New Roman;serif"/>
          <w:b w:val="false"/>
          <w:color w:val="000000"/>
          <w:sz w:val="20"/>
        </w:rPr>
        <w:t>. Gross profit as a percentage of revenue, or gross margin, has been and will continue to be affected by a variety of factors, including the average sales price of our products, product costs, the mix of products sold and the mix of revenue between hardware products, software licenses and services and any excess inventory or other charges. Generally, service revenue and software licenses have higher gross margins compared to hardware products. Overall gross margin is impacted by service and product revenue mix and their respective gross margins.</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ind w:left="0" w:right="0" w:firstLine="720"/>
        <w:jc w:val="left"/>
        <w:rPr/>
      </w:pPr>
      <w:r>
        <w:rPr>
          <w:rFonts w:ascii="Times New Roman;serif" w:hAnsi="Times New Roman;serif"/>
          <w:b w:val="false"/>
          <w:i/>
          <w:color w:val="000000"/>
          <w:sz w:val="20"/>
        </w:rPr>
        <w:t>Operating expenses</w:t>
      </w:r>
      <w:r>
        <w:rPr>
          <w:rFonts w:ascii="Times New Roman;serif" w:hAnsi="Times New Roman;serif"/>
          <w:b w:val="false"/>
          <w:color w:val="000000"/>
          <w:sz w:val="20"/>
        </w:rPr>
        <w:t xml:space="preserve">. Our operating expenses consist of research and development, sales and marketing and general and administrative expenses. Personnel costs are the most significant component of operating expenses and consist primarily of salaries, benefits, bonuses, sales commissions and stock-based compensation. We expect personnel costs to continue to increase in absolute dollars as we expand our workforce. </w:t>
      </w:r>
    </w:p>
    <w:p>
      <w:pPr>
        <w:pStyle w:val="TextBody"/>
        <w:bidi w:val="0"/>
        <w:spacing w:before="0" w:after="0"/>
        <w:ind w:left="0" w:right="0" w:firstLine="540"/>
        <w:jc w:val="left"/>
        <w:rPr/>
      </w:pPr>
      <w:r>
        <w:rPr/>
      </w:r>
    </w:p>
    <w:p>
      <w:pPr>
        <w:pStyle w:val="TextBody"/>
        <w:bidi w:val="0"/>
        <w:spacing w:lineRule="auto" w:line="268" w:before="0" w:after="0"/>
        <w:ind w:left="0" w:right="0" w:hanging="720"/>
        <w:jc w:val="left"/>
        <w:rPr/>
      </w:pPr>
      <w:r>
        <w:rPr>
          <w:color w:val="000000"/>
        </w:rPr>
        <w:t>•</w:t>
      </w:r>
      <w:r>
        <w:rPr>
          <w:rFonts w:ascii="Times New Roman;serif" w:hAnsi="Times New Roman;serif"/>
          <w:b w:val="false"/>
          <w:i/>
          <w:color w:val="000000"/>
          <w:sz w:val="20"/>
        </w:rPr>
        <w:t>Research and development</w:t>
      </w:r>
      <w:r>
        <w:rPr>
          <w:rFonts w:ascii="Times New Roman;serif" w:hAnsi="Times New Roman;serif"/>
          <w:b w:val="false"/>
          <w:color w:val="000000"/>
          <w:sz w:val="20"/>
        </w:rPr>
        <w:t>. Research and development expenses consist primarily of personnel costs. Additional research and development expenses include ASIC and system prototypes and certification-related expenses, depreciation of property and equipment and facility-related expenses. The majority of our research and development is focused on software and hardware development. We record research and development expenses as incurred. As of December 31, 2025, approximately 78%, 7%, 5%, 3% and 3% of our research and development teams were located in North America, India, Israel, Japan and Taiwan, respectively. We do not have research and development teams located in China. As of December 31, 2025, approximately two-thirds of our engineers worked on software development while the remainder worked on hardware development.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Sales and marketing</w:t>
      </w:r>
      <w:r>
        <w:rPr>
          <w:rFonts w:ascii="Times New Roman;serif" w:hAnsi="Times New Roman;serif"/>
          <w:b w:val="false"/>
          <w:color w:val="000000"/>
          <w:sz w:val="20"/>
        </w:rPr>
        <w:t xml:space="preserve">. Sales and marketing expenses are the largest component of our operating expenses and primarily consists of personnel costs. Additional sales and marketing expenses include product marketing, public relations, field marketing and events and channel marketing programs (e.g., partner cooperative marketing arrangements), as well as travel, depreciation of property and equipment and facility-related expenses. We intend to hire additional personnel focused on sales and marketing and expand our sales and marketing efforts worldwide in order to capture market share.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color w:val="000000"/>
        </w:rPr>
        <w:t>•</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consist of personnel costs, as well as professional fees, depreciation of property and equipment and internal-use software and facility-related expenses. General and administrative personnel include our executive, finance, human resources, information technology and legal organizations. Our professional fees principally consist of outside legal, auditing, tax, information technology and other consulting costs.</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consists primarily of interest earned on our cash equivalents and investments. Historically, our interest-bearing investments include corporate debt securities, certificates of deposit and term deposits, commercial paper, money market funds and U.S. government and agency securities.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Interest expense.</w:t>
      </w:r>
      <w:r>
        <w:rPr>
          <w:color w:val="000000"/>
        </w:rPr>
        <w:t xml:space="preserve"> </w:t>
      </w:r>
      <w:r>
        <w:rPr>
          <w:rFonts w:ascii="Times New Roman;serif" w:hAnsi="Times New Roman;serif"/>
          <w:b w:val="false"/>
          <w:color w:val="000000"/>
          <w:sz w:val="20"/>
        </w:rPr>
        <w:t>Interest expense consists of interest expense due to the senior notes and other miscellaneous interest expense.</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Other income (expense)</w:t>
      </w:r>
      <w:r>
        <w:rPr>
          <w:color w:val="000000"/>
        </w:rPr>
        <w:t>—</w:t>
      </w:r>
      <w:r>
        <w:rPr>
          <w:rFonts w:ascii="Times New Roman;serif" w:hAnsi="Times New Roman;serif"/>
          <w:b w:val="false"/>
          <w:i/>
          <w:color w:val="000000"/>
          <w:sz w:val="20"/>
        </w:rPr>
        <w:t>net</w:t>
      </w:r>
      <w:r>
        <w:rPr>
          <w:rFonts w:ascii="Times New Roman;serif" w:hAnsi="Times New Roman;serif"/>
          <w:b w:val="false"/>
          <w:color w:val="000000"/>
          <w:sz w:val="20"/>
        </w:rPr>
        <w:t>. Other income (expense)—net consists primarily of gains on bargain purchases, foreign exchange gains and losses related to foreign currency remeasurement, gains or losses due to the changes in fair value of our marketable equity securities, realized gains and losses of available-for-sale investments, net rental income from real estate, as well as the gains or losses on the sale or the impairments of investments in privately held companies without readily determinable fair values, which are not accounted for under the equity method.</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We are subject to income taxes in the United States, as well as other tax jurisdictions or countries in which we conduct business. Earnings from our non-U.S. activities are subject to income taxes in local countries and may be subject to U.S. income taxes. Our effective tax rate differs from the U.S. statutory rate primarily due to foreign income subject to different tax rates than in the U.S., federal research and development tax credit, state income taxes, withholding taxes, excess tax benefits related to stock-based compensation expense and the tax impacts of the foreign-derived intangible income (“FDII”) deduction.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Gain (loss) from equity method investments.</w:t>
      </w:r>
      <w:r>
        <w:rPr>
          <w:color w:val="000000"/>
        </w:rPr>
        <w:t xml:space="preserve"> </w:t>
      </w:r>
      <w:r>
        <w:rPr>
          <w:rFonts w:ascii="Times New Roman;serif" w:hAnsi="Times New Roman;serif"/>
          <w:b w:val="false"/>
          <w:color w:val="000000"/>
          <w:sz w:val="20"/>
        </w:rPr>
        <w:t>Gain (loss) from equity method investments consists of gain related to our acquisition of the investee, our proportionate share of the investees’ net loss, the amortization of any basis differences, as well as any other-than-temporary impairment (“OTTI”) when events or circumstances suggest that the carrying amount of the investment may be impaired.</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of the significant accounting policies described in Note 1 to our consolidated financial statements included in Part II, Item 8 of this Annual Report on Form 10-K, the following accounting policies involve a greater degree of judgment and complexity. Accordingly, we believe these are the most critical to fully understand and evaluate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 Recognition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recognized when control of goods or services is transferred to our customers, in an amount that reflects the consideration we expect to be entitled to in exchange for those goods or services.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 revenue recognition through the following steps:</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a contract or contracts with a customer;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the performance obligations in a contract, including evaluation of performance obligations as to being distinct goods or services in a contract;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determination of a transaction price;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allocation of a transaction price to the performance obligations in a contract;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recognition of revenue when, or as, we satisfy a performance obligation.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sales contracts typically contain multiple performance obligations, such as hardware, software license, security subscription, technical support services, cloud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a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Deferred Contract Costs and Commission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Costs for initial contracts that are not commensurate with commissions on renewal contracts are amortized on a straight-line basis over the period of benefit of five years. Estimates, assumptions, and judgments in accounting for deferred contract costs include, but are not limited to, identification of contract costs, anticipated billings and the expected period of benefit.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The excess of the fair values of the net assets acquired over the net purchase consideration is recorded as a gain on bargain purchase within other income </w:t>
      </w:r>
      <w:r>
        <w:rPr>
          <w:rFonts w:ascii="Times New Roman;serif" w:hAnsi="Times New Roman;serif"/>
          <w:b w:val="false"/>
          <w:color w:val="000000"/>
          <w:sz w:val="20"/>
          <w:shd w:fill="FFFFFF" w:val="clear"/>
        </w:rPr>
        <w:t>(expense)</w:t>
      </w:r>
      <w:r>
        <w:rPr>
          <w:color w:val="000000"/>
        </w:rPr>
        <w:t>—</w:t>
      </w:r>
      <w:r>
        <w:rPr>
          <w:rFonts w:ascii="Times New Roman;serif" w:hAnsi="Times New Roman;serif"/>
          <w:b w:val="false"/>
          <w:color w:val="000000"/>
          <w:sz w:val="20"/>
        </w:rPr>
        <w:t>net on the consolidated statements of income. We often continue to gather additional information throughout the measurement period, not to exceed one year from the acquisition date. Measurement period adjustments that relate to facts and circumstances that existed as of the acquisition date are generally recorded with a corresponding adjustment to goodwill, as if the accounting had been completed at the acquisition date. Adjustments identified after the measurement period are recognized in the consolidated statements of income in the period identified.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Contingent Liabilities</w:t>
      </w:r>
    </w:p>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We periodically review significant claims and litigation matters for the probability of an adverse outcome. We accrue for a loss contingency if a loss is probable and the amount of the loss can be reasonably estimated. These accruals are generally based on a range of possible outcomes that require significant judgment. Estimates can change as individual claims develop. The actual liability in any such matters may be materially different from our estimates, which could result in the need to adjust our liability and record additional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 xml:space="preserve">Accounting for Income Taxes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elected to account for the tax effect of the Global Intangible Low-Taxed Income (“GILTI”) as a current period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periods presented and as a percentage of our total revenue for those periods. The period-to-period comparison of financial results is not necessarily indicative of financial results to be achieved in future periods.</w:t>
      </w:r>
    </w:p>
    <w:p>
      <w:pPr>
        <w:pStyle w:val="TextBody"/>
        <w:bidi w:val="0"/>
        <w:spacing w:before="0" w:after="0"/>
        <w:ind w:left="0" w:right="0" w:firstLine="720"/>
        <w:jc w:val="left"/>
        <w:rPr/>
      </w:pPr>
      <w:r>
        <w:rPr/>
      </w:r>
    </w:p>
    <w:tbl>
      <w:tblPr>
        <w:tblW w:w="9717" w:type="dxa"/>
        <w:jc w:val="center"/>
        <w:tblInd w:w="0" w:type="dxa"/>
        <w:tblLayout w:type="fixed"/>
        <w:tblCellMar>
          <w:top w:w="28" w:type="dxa"/>
          <w:left w:w="28" w:type="dxa"/>
          <w:bottom w:w="28" w:type="dxa"/>
          <w:right w:w="28" w:type="dxa"/>
        </w:tblCellMar>
      </w:tblPr>
      <w:tblGrid>
        <w:gridCol w:w="2088"/>
        <w:gridCol w:w="1834"/>
        <w:gridCol w:w="1838"/>
        <w:gridCol w:w="211"/>
        <w:gridCol w:w="766"/>
        <w:gridCol w:w="109"/>
        <w:gridCol w:w="109"/>
        <w:gridCol w:w="109"/>
        <w:gridCol w:w="109"/>
        <w:gridCol w:w="211"/>
        <w:gridCol w:w="766"/>
        <w:gridCol w:w="109"/>
        <w:gridCol w:w="109"/>
        <w:gridCol w:w="109"/>
        <w:gridCol w:w="109"/>
        <w:gridCol w:w="211"/>
        <w:gridCol w:w="766"/>
        <w:gridCol w:w="154"/>
      </w:tblGrid>
      <w:tr>
        <w:trPr/>
        <w:tc>
          <w:tcPr>
            <w:tcW w:w="208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Statements of Income Data:</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equity method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tbl>
      <w:tblPr>
        <w:tblW w:w="8697" w:type="dxa"/>
        <w:jc w:val="center"/>
        <w:tblInd w:w="0" w:type="dxa"/>
        <w:tblLayout w:type="fixed"/>
        <w:tblCellMar>
          <w:top w:w="28" w:type="dxa"/>
          <w:left w:w="28" w:type="dxa"/>
          <w:bottom w:w="28" w:type="dxa"/>
          <w:right w:w="28" w:type="dxa"/>
        </w:tblCellMar>
      </w:tblPr>
      <w:tblGrid>
        <w:gridCol w:w="2080"/>
        <w:gridCol w:w="1839"/>
        <w:gridCol w:w="1841"/>
        <w:gridCol w:w="232"/>
        <w:gridCol w:w="234"/>
        <w:gridCol w:w="276"/>
        <w:gridCol w:w="111"/>
        <w:gridCol w:w="111"/>
        <w:gridCol w:w="111"/>
        <w:gridCol w:w="232"/>
        <w:gridCol w:w="234"/>
        <w:gridCol w:w="276"/>
        <w:gridCol w:w="111"/>
        <w:gridCol w:w="111"/>
        <w:gridCol w:w="111"/>
        <w:gridCol w:w="232"/>
        <w:gridCol w:w="234"/>
        <w:gridCol w:w="321"/>
      </w:tblGrid>
      <w:tr>
        <w:trPr/>
        <w:tc>
          <w:tcPr>
            <w:tcW w:w="208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57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r>
      <w:tr>
        <w:trPr/>
        <w:tc>
          <w:tcPr>
            <w:tcW w:w="5760"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60"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vMerge w:val="continue"/>
            <w:tcBorders/>
            <w:tcMar>
              <w:top w:w="0" w:type="dxa"/>
              <w:left w:w="0" w:type="dxa"/>
              <w:bottom w:w="0" w:type="dxa"/>
              <w:right w:w="0" w:type="dxa"/>
            </w:tcMar>
            <w:vAlign w:val="center"/>
          </w:tcPr>
          <w:p>
            <w:pPr>
              <w:pStyle w:val="Normal"/>
              <w:bidi w:val="0"/>
              <w:jc w:val="left"/>
              <w:rPr/>
            </w:pPr>
            <w:r>
              <w:rPr/>
            </w:r>
          </w:p>
        </w:tc>
        <w:tc>
          <w:tcPr>
            <w:tcW w:w="2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percentage of revenue)</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equity method investments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Percentages have been rounded for presentation purposes and may differ from unrounded results. </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Discussion regarding our financial condition and results of operations for 2024 as compared to 2023 can be found in Item 7 of our Annual Report on Form 10-K for the fiscal year ended December 31, 2024, filed with the SEC on February 21, 2025.</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2025 and 2024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tbl>
      <w:tblPr>
        <w:tblW w:w="9572" w:type="dxa"/>
        <w:jc w:val="left"/>
        <w:tblInd w:w="0" w:type="dxa"/>
        <w:tblLayout w:type="fixed"/>
        <w:tblCellMar>
          <w:top w:w="28" w:type="dxa"/>
          <w:left w:w="28" w:type="dxa"/>
          <w:bottom w:w="28" w:type="dxa"/>
          <w:right w:w="28" w:type="dxa"/>
        </w:tblCellMar>
      </w:tblPr>
      <w:tblGrid>
        <w:gridCol w:w="747"/>
        <w:gridCol w:w="660"/>
        <w:gridCol w:w="662"/>
        <w:gridCol w:w="211"/>
        <w:gridCol w:w="766"/>
        <w:gridCol w:w="109"/>
        <w:gridCol w:w="109"/>
        <w:gridCol w:w="109"/>
        <w:gridCol w:w="109"/>
        <w:gridCol w:w="232"/>
        <w:gridCol w:w="234"/>
        <w:gridCol w:w="426"/>
        <w:gridCol w:w="109"/>
        <w:gridCol w:w="109"/>
        <w:gridCol w:w="109"/>
        <w:gridCol w:w="211"/>
        <w:gridCol w:w="766"/>
        <w:gridCol w:w="109"/>
        <w:gridCol w:w="109"/>
        <w:gridCol w:w="109"/>
        <w:gridCol w:w="109"/>
        <w:gridCol w:w="232"/>
        <w:gridCol w:w="234"/>
        <w:gridCol w:w="426"/>
        <w:gridCol w:w="109"/>
        <w:gridCol w:w="109"/>
        <w:gridCol w:w="109"/>
        <w:gridCol w:w="211"/>
        <w:gridCol w:w="616"/>
        <w:gridCol w:w="109"/>
        <w:gridCol w:w="109"/>
        <w:gridCol w:w="109"/>
        <w:gridCol w:w="109"/>
        <w:gridCol w:w="199"/>
        <w:gridCol w:w="199"/>
        <w:gridCol w:w="578"/>
      </w:tblGrid>
      <w:tr>
        <w:trPr/>
        <w:tc>
          <w:tcPr>
            <w:tcW w:w="7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2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vMerge w:val="continue"/>
            <w:tcBorders/>
            <w:tcMar>
              <w:top w:w="0" w:type="dxa"/>
              <w:left w:w="0" w:type="dxa"/>
              <w:bottom w:w="0" w:type="dxa"/>
              <w:right w:w="0" w:type="dxa"/>
            </w:tcMar>
            <w:vAlign w:val="center"/>
          </w:tcPr>
          <w:p>
            <w:pPr>
              <w:pStyle w:val="Normal"/>
              <w:bidi w:val="0"/>
              <w:jc w:val="left"/>
              <w:rPr/>
            </w:pPr>
            <w:r>
              <w:rPr/>
            </w:r>
          </w:p>
        </w:tc>
        <w:tc>
          <w:tcPr>
            <w:tcW w:w="75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by geography:</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2" w:type="dxa"/>
            <w:gridSpan w:val="36"/>
            <w:tcBorders/>
            <w:shd w:fill="FFFFFF" w:val="clear"/>
            <w:tcMar>
              <w:top w:w="0" w:type="dxa"/>
              <w:left w:w="0" w:type="dxa"/>
              <w:bottom w:w="0" w:type="dxa"/>
              <w:right w:w="0" w:type="dxa"/>
            </w:tcMar>
            <w:vAlign w:val="center"/>
          </w:tcPr>
          <w:p>
            <w:pPr>
              <w:pStyle w:val="TableContents"/>
              <w:bidi w:val="0"/>
              <w:spacing w:lineRule="auto" w:line="240" w:before="340" w:after="283"/>
              <w:jc w:val="left"/>
              <w:rPr>
                <w:rFonts w:ascii="Times New Roman;serif" w:hAnsi="Times New Roman;serif"/>
                <w:b w:val="false"/>
                <w:color w:val="000000"/>
                <w:sz w:val="18"/>
              </w:rPr>
            </w:pPr>
            <w:r>
              <w:rPr>
                <w:rFonts w:ascii="Times New Roman;serif" w:hAnsi="Times New Roman;serif"/>
                <w:b w:val="false"/>
                <w:color w:val="000000"/>
                <w:sz w:val="18"/>
              </w:rPr>
              <w:t>Percentages have been rounded for presentation purposes and may differ from unrounded results.</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revenue increased $843.8 million, or 14%, in 2025 compared to 2024. We continued to experience geographically diversified revenue, as well as diversification across customer and industry verticals. Revenue from all regions grew, with EMEA contributing the largest portion of the increase on an absolute dollar basis and on a percentage basis.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Product revenue increased $309.7 million, or 16% in 2025 compared to 2024</w:t>
      </w:r>
      <w:r>
        <w:rPr>
          <w:rFonts w:ascii="Times New Roman;serif" w:hAnsi="Times New Roman;serif"/>
          <w:b w:val="false"/>
          <w:color w:val="008080"/>
          <w:sz w:val="24"/>
        </w:rPr>
        <w:t xml:space="preserve">. </w:t>
      </w:r>
      <w:r>
        <w:rPr>
          <w:rFonts w:ascii="Times New Roman;serif" w:hAnsi="Times New Roman;serif"/>
          <w:b w:val="false"/>
          <w:color w:val="000000"/>
          <w:sz w:val="20"/>
        </w:rPr>
        <w:t>We experienced product revenue growth across our hardware products and software licensing, mainly driven by growth in secure networking hardware products and term licenses.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Service revenue increased $534.1 million, or 13%, in 2025 compared to 2024. Security subscription revenue</w:t>
      </w:r>
      <w:r>
        <w:rPr>
          <w:color w:val="000000"/>
        </w:rPr>
        <w:t xml:space="preserve"> </w:t>
      </w:r>
      <w:r>
        <w:rPr>
          <w:rFonts w:ascii="Times New Roman;serif" w:hAnsi="Times New Roman;serif"/>
          <w:b w:val="false"/>
          <w:color w:val="000000"/>
          <w:sz w:val="20"/>
        </w:rPr>
        <w:t xml:space="preserve">increased $316.5 million, or 14%, and technical support and other services revenue increased $217.6 million, or 13%, in 2025 </w:t>
      </w:r>
      <w:r>
        <w:rPr>
          <w:rFonts w:ascii="Times New Roman;serif" w:hAnsi="Times New Roman;serif"/>
          <w:b w:val="false"/>
          <w:color w:val="000000"/>
          <w:sz w:val="20"/>
          <w:shd w:fill="FFFFFF" w:val="clear"/>
        </w:rPr>
        <w:t>compared to 2024</w:t>
      </w:r>
      <w:r>
        <w:rPr>
          <w:rFonts w:ascii="Times New Roman;serif" w:hAnsi="Times New Roman;serif"/>
          <w:b w:val="false"/>
          <w:color w:val="000000"/>
          <w:sz w:val="20"/>
        </w:rPr>
        <w:t>. The increase was primarily due to the recognition of revenue from our growing deferred revenue balance related to FortiGuard and other security subscriptions delivered to on-premise and cloud-based environments and growth in SaaS solutions, including unified SASE and SecOps.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 the service revenue recognized in 2025, 71% was included in the deferred revenue balance as of December 31, 2024. Of the service revenue recognized in 2024, 70% was included in the deferred revenue balance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revenue and gross margin</w:t>
      </w:r>
    </w:p>
    <w:tbl>
      <w:tblPr>
        <w:tblW w:w="7655" w:type="dxa"/>
        <w:jc w:val="center"/>
        <w:tblInd w:w="0" w:type="dxa"/>
        <w:tblLayout w:type="fixed"/>
        <w:tblCellMar>
          <w:top w:w="28" w:type="dxa"/>
          <w:left w:w="28" w:type="dxa"/>
          <w:bottom w:w="28" w:type="dxa"/>
          <w:right w:w="28" w:type="dxa"/>
        </w:tblCellMar>
      </w:tblPr>
      <w:tblGrid>
        <w:gridCol w:w="662"/>
        <w:gridCol w:w="583"/>
        <w:gridCol w:w="585"/>
        <w:gridCol w:w="211"/>
        <w:gridCol w:w="766"/>
        <w:gridCol w:w="271"/>
        <w:gridCol w:w="109"/>
        <w:gridCol w:w="109"/>
        <w:gridCol w:w="109"/>
        <w:gridCol w:w="211"/>
        <w:gridCol w:w="766"/>
        <w:gridCol w:w="271"/>
        <w:gridCol w:w="109"/>
        <w:gridCol w:w="109"/>
        <w:gridCol w:w="109"/>
        <w:gridCol w:w="211"/>
        <w:gridCol w:w="616"/>
        <w:gridCol w:w="109"/>
        <w:gridCol w:w="109"/>
        <w:gridCol w:w="109"/>
        <w:gridCol w:w="109"/>
        <w:gridCol w:w="207"/>
        <w:gridCol w:w="207"/>
        <w:gridCol w:w="517"/>
        <w:gridCol w:w="109"/>
        <w:gridCol w:w="109"/>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Year Ended December 31,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cMar>
              <w:top w:w="0" w:type="dxa"/>
              <w:left w:w="0" w:type="dxa"/>
              <w:bottom w:w="0" w:type="dxa"/>
              <w:right w:w="0" w:type="dxa"/>
            </w:tcMar>
            <w:vAlign w:val="center"/>
          </w:tcPr>
          <w:p>
            <w:pPr>
              <w:pStyle w:val="Normal"/>
              <w:bidi w:val="0"/>
              <w:jc w:val="left"/>
              <w:rPr/>
            </w:pPr>
            <w:r>
              <w:rPr/>
            </w:r>
          </w:p>
        </w:tc>
        <w:tc>
          <w:tcPr>
            <w:tcW w:w="534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w:t>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5825" w:type="dxa"/>
            <w:gridSpan w:val="2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Total gross margin remained comparatively flat in 2025 compared to 2024. Revenue mix shifted by 0.6 percentage points from service revenue to product revenue, as a percentage of total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gross margin increased 1.5 percentage points in 2025 compared to 2024, as inventory related reserves expense decreased and normalized as compared to the elevated levels we saw in 2024. Cost of product revenue was comprised primarily of third-party contract manufacturers’ costs and costs of materials used in production.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gross margin decreased 0.7 percentage points in 2025 compared to 2024, primarily due to an increase in cloud service costs, partially offset by service revenue growth outpacing labor, replacement, and repair costs increase. Cost of service revenue was comprised primarily of personnel-related costs, replacement and repair costs, cloud services costs from owned data centers, colocation providers and cloud service providers, infrastructure depreciation and related operating costs, software and delivery costs and facility-related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1041"/>
        <w:gridCol w:w="853"/>
        <w:gridCol w:w="859"/>
        <w:gridCol w:w="211"/>
        <w:gridCol w:w="766"/>
        <w:gridCol w:w="109"/>
        <w:gridCol w:w="109"/>
        <w:gridCol w:w="109"/>
        <w:gridCol w:w="109"/>
        <w:gridCol w:w="202"/>
        <w:gridCol w:w="204"/>
        <w:gridCol w:w="426"/>
        <w:gridCol w:w="109"/>
        <w:gridCol w:w="109"/>
        <w:gridCol w:w="109"/>
        <w:gridCol w:w="211"/>
        <w:gridCol w:w="766"/>
        <w:gridCol w:w="109"/>
        <w:gridCol w:w="109"/>
        <w:gridCol w:w="109"/>
        <w:gridCol w:w="109"/>
        <w:gridCol w:w="202"/>
        <w:gridCol w:w="204"/>
        <w:gridCol w:w="426"/>
        <w:gridCol w:w="109"/>
        <w:gridCol w:w="109"/>
        <w:gridCol w:w="109"/>
        <w:gridCol w:w="211"/>
        <w:gridCol w:w="616"/>
        <w:gridCol w:w="109"/>
        <w:gridCol w:w="109"/>
        <w:gridCol w:w="109"/>
        <w:gridCol w:w="109"/>
        <w:gridCol w:w="233"/>
        <w:gridCol w:w="233"/>
        <w:gridCol w:w="579"/>
      </w:tblGrid>
      <w:tr>
        <w:trPr/>
        <w:tc>
          <w:tcPr>
            <w:tcW w:w="104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27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753" w:type="dxa"/>
            <w:gridSpan w:val="3"/>
            <w:vMerge w:val="continue"/>
            <w:tcBorders/>
            <w:tcMar>
              <w:top w:w="0" w:type="dxa"/>
              <w:left w:w="0" w:type="dxa"/>
              <w:bottom w:w="0" w:type="dxa"/>
              <w:right w:w="0" w:type="dxa"/>
            </w:tcMar>
            <w:vAlign w:val="center"/>
          </w:tcPr>
          <w:p>
            <w:pPr>
              <w:pStyle w:val="Normal"/>
              <w:bidi w:val="0"/>
              <w:jc w:val="left"/>
              <w:rPr/>
            </w:pPr>
            <w:r>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3"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53"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vMerge w:val="continue"/>
            <w:tcBorders/>
            <w:tcMar>
              <w:top w:w="0" w:type="dxa"/>
              <w:left w:w="0" w:type="dxa"/>
              <w:bottom w:w="0" w:type="dxa"/>
              <w:right w:w="0" w:type="dxa"/>
            </w:tcMar>
            <w:vAlign w:val="center"/>
          </w:tcPr>
          <w:p>
            <w:pPr>
              <w:pStyle w:val="Normal"/>
              <w:bidi w:val="0"/>
              <w:jc w:val="left"/>
              <w:rPr/>
            </w:pPr>
            <w:r>
              <w:rPr/>
            </w:r>
          </w:p>
        </w:tc>
        <w:tc>
          <w:tcPr>
            <w:tcW w:w="74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expenses: </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7452" w:type="dxa"/>
            <w:gridSpan w:val="33"/>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Research and development expenses increased $98.7 million, or 14%, in 2025 compared to 2024, primarily due to an increase o</w:t>
      </w:r>
      <w:r>
        <w:rPr>
          <w:rFonts w:ascii="Times New Roman;serif" w:hAnsi="Times New Roman;serif"/>
          <w:b w:val="false"/>
          <w:color w:val="000000"/>
          <w:sz w:val="20"/>
          <w:shd w:fill="FFFFFF" w:val="clear"/>
        </w:rPr>
        <w:t>f $71.8 million</w:t>
      </w:r>
      <w:r>
        <w:rPr>
          <w:color w:val="000000"/>
        </w:rPr>
        <w:t xml:space="preserve"> </w:t>
      </w:r>
      <w:r>
        <w:rPr>
          <w:rFonts w:ascii="Times New Roman;serif" w:hAnsi="Times New Roman;serif"/>
          <w:b w:val="false"/>
          <w:color w:val="000000"/>
          <w:sz w:val="20"/>
        </w:rPr>
        <w:t>in personnel-related costs as a result of increased headcount and compensation rates to support the development of new products and continued enhancements to our existing products and the impact of the recent acquisitions. In addition, non-personnel-related product development costs increased $31.4 million. We expect research and development expenses to increase in absolute dollars in 2026 as we continue to invest in our technology and talent to continue to innovate our products and services.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increased $302.7 million, or 15%, in 2025 compared to 2024, primarily due to an increase of $226.4 million in personnel-related costs. In addition, marketing program and related expenses increased $35.5 million, travel expense increased $10.2 million and cloud hosting services costs related to sales demonstrations increased $6.0 million. We expect our sales and marketing expenses to increase in absolute dollars in 2026 as we continue to invest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global sales and marketing organization to capture additional market share, and we anticipate that these growth investments may drive sales and marketing expenses to increase at a rate faster than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General and administrativ</w:t>
      </w:r>
      <w:r>
        <w:rPr>
          <w:rFonts w:ascii="Times New Roman;serif" w:hAnsi="Times New Roman;serif"/>
          <w:b w:val="false"/>
          <w:color w:val="000000"/>
          <w:sz w:val="20"/>
          <w:shd w:fill="FFFFFF" w:val="clear"/>
        </w:rPr>
        <w:t xml:space="preserve">e expenses decreased $4.4 million, or 2%, in 2025 compared to 2024, primarily due to a decrease of $4.5 million in </w:t>
      </w:r>
      <w:r>
        <w:rPr>
          <w:rFonts w:ascii="Times New Roman;serif" w:hAnsi="Times New Roman;serif"/>
          <w:b w:val="false"/>
          <w:color w:val="000000"/>
          <w:sz w:val="20"/>
        </w:rPr>
        <w:t xml:space="preserve">legal related fees and other </w:t>
      </w:r>
      <w:r>
        <w:rPr>
          <w:rFonts w:ascii="Times New Roman;serif" w:hAnsi="Times New Roman;serif"/>
          <w:b w:val="false"/>
          <w:color w:val="000000"/>
          <w:sz w:val="20"/>
          <w:shd w:fill="FFFFFF" w:val="clear"/>
        </w:rPr>
        <w:t xml:space="preserve">professional services fees. We expect our general and administrative expenses to </w:t>
      </w:r>
      <w:r>
        <w:rPr>
          <w:rFonts w:ascii="Times New Roman;serif" w:hAnsi="Times New Roman;serif"/>
          <w:b w:val="false"/>
          <w:color w:val="000000"/>
          <w:sz w:val="20"/>
        </w:rPr>
        <w:t>increase</w:t>
      </w:r>
      <w:r>
        <w:rPr>
          <w:color w:val="000000"/>
          <w:shd w:fill="FFFFFF" w:val="clear"/>
        </w:rPr>
        <w:t xml:space="preserve"> </w:t>
      </w:r>
      <w:r>
        <w:rPr>
          <w:rFonts w:ascii="Times New Roman;serif" w:hAnsi="Times New Roman;serif"/>
          <w:b w:val="false"/>
          <w:color w:val="000000"/>
          <w:sz w:val="20"/>
          <w:shd w:fill="FFFFFF" w:val="clear"/>
        </w:rPr>
        <w:t>in absolute dollars in 2026, as we need to support our growing operations while continuing to leverage scale and efficiencies.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income and margin</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generated operating income of $2.08 billion in 2025, an increase of $281.3 million, or 16%, compared to $1.80 billion in 2024. Operating income as a percentage of revenue increased to 30.7% in 2025 compared to 30.3% in 2024. The increase in our operating margin primarily benefits from 0.6 percentage points decrease in general and administrative expenses as a percentage of revenue, partially offset by 0.2 percentage points increase in sales and marketing expenses as a percentage of revenue and 0.1 percentage points decrease in gross margin.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Interest income, interest expense and other income (expense)</w:t>
      </w:r>
      <w:r>
        <w:rPr>
          <w:color w:val="000000"/>
        </w:rPr>
        <w:t>—</w:t>
      </w:r>
      <w:r>
        <w:rPr>
          <w:rFonts w:ascii="Times New Roman;serif" w:hAnsi="Times New Roman;serif"/>
          <w:b/>
          <w:i/>
          <w:color w:val="000000"/>
          <w:sz w:val="20"/>
        </w:rPr>
        <w:t>net</w:t>
      </w:r>
    </w:p>
    <w:tbl>
      <w:tblPr>
        <w:tblW w:w="7082" w:type="dxa"/>
        <w:jc w:val="center"/>
        <w:tblInd w:w="0" w:type="dxa"/>
        <w:tblLayout w:type="fixed"/>
        <w:tblCellMar>
          <w:top w:w="28" w:type="dxa"/>
          <w:left w:w="28" w:type="dxa"/>
          <w:bottom w:w="28" w:type="dxa"/>
          <w:right w:w="28" w:type="dxa"/>
        </w:tblCellMar>
      </w:tblPr>
      <w:tblGrid>
        <w:gridCol w:w="902"/>
        <w:gridCol w:w="790"/>
        <w:gridCol w:w="797"/>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8"/>
        <w:gridCol w:w="218"/>
        <w:gridCol w:w="578"/>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4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vMerge w:val="continue"/>
            <w:tcBorders/>
            <w:tcMar>
              <w:top w:w="0" w:type="dxa"/>
              <w:left w:w="0" w:type="dxa"/>
              <w:bottom w:w="0" w:type="dxa"/>
              <w:right w:w="0" w:type="dxa"/>
            </w:tcMar>
            <w:vAlign w:val="center"/>
          </w:tcPr>
          <w:p>
            <w:pPr>
              <w:pStyle w:val="Normal"/>
              <w:bidi w:val="0"/>
              <w:jc w:val="left"/>
              <w:rPr/>
            </w:pPr>
            <w:r>
              <w:rPr/>
            </w:r>
          </w:p>
        </w:tc>
        <w:tc>
          <w:tcPr>
            <w:tcW w:w="45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$7.1 million in 2025 as compared to 2024, primarily due to higher average investment balances as we had higher purchases of investments net of sales and maturities. Interest income varies depending on our average investment balances during the period, types and mix of investments, and interest rates. Interest expense remained comparatively flat in 2025 as compared to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Other income (expense)—net decreased $64.6 million in 2025 as compared to 2024, primarily due to a $66.4 million decrease in gains on bargain purchases. We recorded a gain on bargain purchase of $39.9 million related to our acquisition of Linksys during the first quarter of 2025 as compared to a gain on bargain purchase of $106.3 million related to our acquisition of Lacework recorded during the third quarter of 2024. In addition, </w:t>
      </w:r>
      <w:r>
        <w:rPr>
          <w:rFonts w:ascii="Times New Roman;serif" w:hAnsi="Times New Roman;serif"/>
          <w:b w:val="false"/>
          <w:color w:val="000000"/>
          <w:sz w:val="20"/>
          <w:shd w:fill="FFFFFF" w:val="clear"/>
        </w:rPr>
        <w:t xml:space="preserve">gain on changes in fair value of our marketable equity securities decreased $15.7 million. The decreases were partially offset by an $12.0 million decrease of foreign </w:t>
      </w:r>
      <w:r>
        <w:rPr>
          <w:rFonts w:ascii="Times New Roman;serif" w:hAnsi="Times New Roman;serif"/>
          <w:b w:val="false"/>
          <w:color w:val="000000"/>
          <w:sz w:val="20"/>
        </w:rPr>
        <w:t xml:space="preserve">currency </w:t>
      </w:r>
      <w:r>
        <w:rPr>
          <w:rFonts w:ascii="Times New Roman;serif" w:hAnsi="Times New Roman;serif"/>
          <w:b w:val="false"/>
          <w:color w:val="000000"/>
          <w:sz w:val="20"/>
          <w:shd w:fill="FFFFFF" w:val="clear"/>
        </w:rPr>
        <w:t xml:space="preserve">exchange losses </w:t>
      </w:r>
      <w:r>
        <w:rPr>
          <w:rFonts w:ascii="Times New Roman;serif" w:hAnsi="Times New Roman;serif"/>
          <w:b w:val="false"/>
          <w:color w:val="000000"/>
          <w:sz w:val="20"/>
        </w:rPr>
        <w:t>and a $5.7 million increase in net rental income from real estate leases</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Provision for income taxes</w:t>
      </w:r>
    </w:p>
    <w:tbl>
      <w:tblPr>
        <w:tblW w:w="7413" w:type="dxa"/>
        <w:jc w:val="center"/>
        <w:tblInd w:w="0" w:type="dxa"/>
        <w:tblLayout w:type="fixed"/>
        <w:tblCellMar>
          <w:top w:w="28" w:type="dxa"/>
          <w:left w:w="28" w:type="dxa"/>
          <w:bottom w:w="28" w:type="dxa"/>
          <w:right w:w="28" w:type="dxa"/>
        </w:tblCellMar>
      </w:tblPr>
      <w:tblGrid>
        <w:gridCol w:w="841"/>
        <w:gridCol w:w="740"/>
        <w:gridCol w:w="743"/>
        <w:gridCol w:w="211"/>
        <w:gridCol w:w="616"/>
        <w:gridCol w:w="271"/>
        <w:gridCol w:w="109"/>
        <w:gridCol w:w="109"/>
        <w:gridCol w:w="109"/>
        <w:gridCol w:w="211"/>
        <w:gridCol w:w="616"/>
        <w:gridCol w:w="271"/>
        <w:gridCol w:w="109"/>
        <w:gridCol w:w="109"/>
        <w:gridCol w:w="109"/>
        <w:gridCol w:w="211"/>
        <w:gridCol w:w="616"/>
        <w:gridCol w:w="109"/>
        <w:gridCol w:w="109"/>
        <w:gridCol w:w="109"/>
        <w:gridCol w:w="109"/>
        <w:gridCol w:w="199"/>
        <w:gridCol w:w="199"/>
        <w:gridCol w:w="578"/>
      </w:tblGrid>
      <w:tr>
        <w:trPr/>
        <w:tc>
          <w:tcPr>
            <w:tcW w:w="84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23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324"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24" w:type="dxa"/>
            <w:gridSpan w:val="3"/>
            <w:vMerge w:val="continue"/>
            <w:tcBorders/>
            <w:tcMar>
              <w:top w:w="0" w:type="dxa"/>
              <w:left w:w="0" w:type="dxa"/>
              <w:bottom w:w="0" w:type="dxa"/>
              <w:right w:w="0" w:type="dxa"/>
            </w:tcMar>
            <w:vAlign w:val="center"/>
          </w:tcPr>
          <w:p>
            <w:pPr>
              <w:pStyle w:val="Normal"/>
              <w:bidi w:val="0"/>
              <w:jc w:val="left"/>
              <w:rPr/>
            </w:pPr>
            <w:r>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vMerge w:val="continue"/>
            <w:tcBorders/>
            <w:tcMar>
              <w:top w:w="0" w:type="dxa"/>
              <w:left w:w="0" w:type="dxa"/>
              <w:bottom w:w="0" w:type="dxa"/>
              <w:right w:w="0" w:type="dxa"/>
            </w:tcMar>
            <w:vAlign w:val="center"/>
          </w:tcPr>
          <w:p>
            <w:pPr>
              <w:pStyle w:val="Normal"/>
              <w:bidi w:val="0"/>
              <w:jc w:val="left"/>
              <w:rPr/>
            </w:pPr>
            <w:r>
              <w:rPr/>
            </w:r>
          </w:p>
        </w:tc>
        <w:tc>
          <w:tcPr>
            <w:tcW w:w="508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income taxes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Our provision for income taxes for 2025 reflects an effective tax rate of 19%, compared to an effective tax rate of 14% for 2024. The provision for income taxes for 2025 w</w:t>
      </w:r>
      <w:r>
        <w:rPr>
          <w:rFonts w:ascii="Times New Roman;serif" w:hAnsi="Times New Roman;serif"/>
          <w:b w:val="false"/>
          <w:color w:val="000000"/>
          <w:sz w:val="20"/>
          <w:shd w:fill="FFFFFF" w:val="clear"/>
        </w:rPr>
        <w:t>as comprised primarily of a $599.7 million tax expense related to U.S. federal and state income taxes, other foreign income taxes, foreign withholding taxes and unrecognized tax benefits. The provision was partially offset by excess tax benefits of $60.9 million from stock-based compensation expense, a tax benefit of $84.3 million from the FDII deduction, and a tax benefit of $15.4 million from federal research and development tax credits.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 xml:space="preserve">The provision for income taxes for 2024 was comprised primarily of a $454.6 million tax expense related to U.S. federal and state income taxes, other foreign income taxes, foreign withholding taxes and unrecognized tax benefits. The provision was </w:t>
      </w:r>
      <w:r>
        <w:rPr>
          <w:rFonts w:ascii="Times New Roman;serif" w:hAnsi="Times New Roman;serif"/>
          <w:b w:val="false"/>
          <w:color w:val="000000"/>
          <w:sz w:val="20"/>
        </w:rPr>
        <w:t>partially offset by excess tax benefits of $45.3 million from stock-based compensation expense, a tax benefit of $111.5 million from the FDII deduction, and a tax benefit of $13.9 million from federal research and development tax credits.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December 31, 2025. As a result of the Act, our income tax liability in 2025 decreased by $120.0 million and our GAAP effective tax rate for 2025 increased by one percentage point.</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Gain (loss) from Equity Method Investments</w:t>
      </w:r>
    </w:p>
    <w:tbl>
      <w:tblPr>
        <w:tblW w:w="8373" w:type="dxa"/>
        <w:jc w:val="left"/>
        <w:tblInd w:w="0" w:type="dxa"/>
        <w:tblLayout w:type="fixed"/>
        <w:tblCellMar>
          <w:top w:w="28" w:type="dxa"/>
          <w:left w:w="28" w:type="dxa"/>
          <w:bottom w:w="28" w:type="dxa"/>
          <w:right w:w="28" w:type="dxa"/>
        </w:tblCellMar>
      </w:tblPr>
      <w:tblGrid>
        <w:gridCol w:w="1326"/>
        <w:gridCol w:w="1165"/>
        <w:gridCol w:w="1169"/>
        <w:gridCol w:w="216"/>
        <w:gridCol w:w="523"/>
        <w:gridCol w:w="111"/>
        <w:gridCol w:w="111"/>
        <w:gridCol w:w="111"/>
        <w:gridCol w:w="111"/>
        <w:gridCol w:w="216"/>
        <w:gridCol w:w="600"/>
        <w:gridCol w:w="111"/>
        <w:gridCol w:w="109"/>
        <w:gridCol w:w="109"/>
        <w:gridCol w:w="109"/>
        <w:gridCol w:w="211"/>
        <w:gridCol w:w="511"/>
        <w:gridCol w:w="109"/>
        <w:gridCol w:w="109"/>
        <w:gridCol w:w="109"/>
        <w:gridCol w:w="109"/>
        <w:gridCol w:w="269"/>
        <w:gridCol w:w="271"/>
        <w:gridCol w:w="578"/>
      </w:tblGrid>
      <w:tr>
        <w:trPr/>
        <w:tc>
          <w:tcPr>
            <w:tcW w:w="1326"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6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8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vMerge w:val="continue"/>
            <w:tcBorders/>
            <w:tcMar>
              <w:top w:w="0" w:type="dxa"/>
              <w:left w:w="0" w:type="dxa"/>
              <w:bottom w:w="0" w:type="dxa"/>
              <w:right w:w="0" w:type="dxa"/>
            </w:tcMar>
            <w:vAlign w:val="center"/>
          </w:tcPr>
          <w:p>
            <w:pPr>
              <w:pStyle w:val="Normal"/>
              <w:bidi w:val="0"/>
              <w:jc w:val="left"/>
              <w:rPr/>
            </w:pPr>
            <w:r>
              <w:rPr/>
            </w:r>
          </w:p>
        </w:tc>
        <w:tc>
          <w:tcPr>
            <w:tcW w:w="4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 except percentages)</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$39.7 million</w:t>
      </w:r>
      <w:r>
        <w:rPr>
          <w:color w:val="000000"/>
          <w:shd w:fill="FFFFFF" w:val="clear"/>
        </w:rPr>
        <w:t xml:space="preserve"> </w:t>
      </w:r>
      <w:r>
        <w:rPr>
          <w:rFonts w:ascii="Times New Roman;serif" w:hAnsi="Times New Roman;serif"/>
          <w:b w:val="false"/>
          <w:color w:val="000000"/>
          <w:sz w:val="20"/>
          <w:shd w:fill="FFFFFF" w:val="clear"/>
        </w:rPr>
        <w:t>year over year change in gain (loss) from equity method investments was primarily driven by our investment in Linksys</w:t>
      </w:r>
      <w:r>
        <w:rPr>
          <w:rFonts w:ascii="Times New Roman;serif" w:hAnsi="Times New Roman;serif"/>
          <w:b w:val="false"/>
          <w:color w:val="000000"/>
          <w:sz w:val="20"/>
        </w:rPr>
        <w:t>. In 2025, we recognized $10.8 million gain related to our acquisition of Linksys, compared to a $21.0 million loss in 2024 reflecting our proportionate share of Linksys’ financial results, including our share of amortization of the basis differences and an $8.0 million OTTI charge.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Seasonality, Cyclicality and Quarterly Revenue Trends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quarterly results reflect a pattern of increased customer buying at year-end, which has positively impacted billings and product revenue activity in the fourth quarter. In the first quarter, we generally experience lower sequential customer product buying, followed by an increase in buying in the second and third quarters. Although these seasonal factors may be common in the technology sector, historical patterns should not be considered a reliable indicator of our future sales activity or performance. On a quarterly basis, we have usually generated the majority of our product revenue in the final month of each quarter and a significant amount in the last two weeks of each quarter. We believe this is due to customer buying patterns typical in this industry.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gross margin has fluctuated on a quarterly basis primarily due to the relative product and service mix. Product gross margin varies based on the types of products sold, their cost profile and their average selling prices. Service gross margin is impacted by revenue growth and our personnel-related costs, replacement and repair costs, cloud services costs from owned data centers, colocation providers and cloud service providers, infrastructure depreciation and related operating costs, software and delivery costs, facility-related costs and foreign currency fluctuations.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tbl>
      <w:tblPr>
        <w:tblW w:w="9041" w:type="dxa"/>
        <w:jc w:val="left"/>
        <w:tblInd w:w="0" w:type="dxa"/>
        <w:tblLayout w:type="fixed"/>
        <w:tblCellMar>
          <w:top w:w="28" w:type="dxa"/>
          <w:left w:w="28" w:type="dxa"/>
          <w:bottom w:w="28" w:type="dxa"/>
          <w:right w:w="28" w:type="dxa"/>
        </w:tblCellMar>
      </w:tblPr>
      <w:tblGrid>
        <w:gridCol w:w="1842"/>
        <w:gridCol w:w="1616"/>
        <w:gridCol w:w="1626"/>
        <w:gridCol w:w="211"/>
        <w:gridCol w:w="766"/>
        <w:gridCol w:w="109"/>
        <w:gridCol w:w="109"/>
        <w:gridCol w:w="109"/>
        <w:gridCol w:w="109"/>
        <w:gridCol w:w="211"/>
        <w:gridCol w:w="766"/>
        <w:gridCol w:w="109"/>
        <w:gridCol w:w="109"/>
        <w:gridCol w:w="109"/>
        <w:gridCol w:w="109"/>
        <w:gridCol w:w="211"/>
        <w:gridCol w:w="766"/>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cash, cash equivalents and investments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Liquidity and capital resources are primarily impacted by our operating activities, as well as repurchases of our common stock, real estate purchases and other capital expenditures, investment grade debt balance, payments of taxes in connection with the net settlement of equity awards, proceeds from the issuance of common stock and business combinations.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we have received significant capital resources from our billings to customers, issuance of investment grade debt and, to some extent, from the exercise of stock options by our employees. Additional increases in billings may depend on a number of factors, including demand for and availability of our products and services, competition, pricing actions, market or industry changes, macroeconomic events such as rising inflation and changing interest rates, economic strength, supply chain capacity and disruptions, tariffs and other trade restrictions, international conflicts, including the war in Ukraine, tensions between China and Taiwan or conflicts in the Middle East, an increase in installment billings, and our ability to execute. We expect proceeds from the exercise of stock options in future years to continue to be impacted by the increased mix of restricted stock units and performance stock units versus stock options granted to our employees and to vary based on our stock price.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2025, our board of directors approved a $1.0 billion increase in the authorized stock repurchase amount under the Repurchase Program and extended the term of the Repurchase Program to February 28, 2027, bringing the aggregate amount authorized for repurchases to $9.25 billion of our outstanding common stock through February 28, 2027. In 2025, we repurchased 28.7 million shares of common stock under the Repurchase Program for an aggregate purchase price of $2.29 billion. As of December 31, 2025, approximately $738.6 million remained available for future share repurchases under the Repurchase Program. In January 2026, our board of directors approved a $1.0 billion increase in the authorized stock repurchase amount under the Repurchase Program, bringing the aggregate amount authorized to be repurchased to $10.25 billion of our outstanding common stock through February 28, 2027. As of February 24, 2026, approximately $1.27 billion remained available for future share repurchases. Subsequent to December 31, 2025 and through the filing of this Annual Report on Form 10-K, we repurchased 6.1 million shares of our common stock at an average price of $76.68 per share, for an aggregate purchase price of $470.5 million, under the Repurchase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increase our data center, PoP, office and warehouse capacity to support growth and the expansion of existing services or introduction of new services. As we purchase new properties, we will work to incorporate these properties into the environmental goals we have established. We estimate 2026 capital expenditures to be between approximately $350 million and $450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that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inventory purchase commitments as of December 31, 2025 totaled $810.6 million, an increase of $219.5 million compared to $591.1 million as of December 31, 2024, as we continued to work with contract manufacturers and suppliers to optimize our inventory and purchase commitments position based on growth trends in customer demand. We record a liability for inventory purchase commitments in excess of our future demand forecasts consistent with the valuation of our excess and obsolete inventory. As of December 31, 2025 and 2024, the liability for these inventory purchase commitments was $26.7 million and $54.0 million, respectively, and was recorded in accrued liabilities on our consolidated balance sheets.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and supply chain management remain areas of focus as we balance the need to maintain supply chain flexibility to help ensure competitive lead times with the risk of inventory obsolescence because of supply constraints, rapidly changing technology, and customer requirements. We believe the amount of our inventory and purchase commitments is appropriate for our current and expected customer demand and revenue levels.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have open purchase orders and contractual obligations in the ordinary course of business for which we have not received goods or services. As of December 31, 2025, we had $118.3 million in other contractual commitments having a remaining term in excess of one year that are non-cancelable.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cash, cash equivalents and short-term and long-term investments of $3.92 billion were invested primarily in deposit accounts, commercial paper, corporate debt securities, U.S. government and agency securities, certificates of deposit and term deposits, money market funds and marketable equity securities. It is our investment policy to invest excess cash in a manner that preserves capital, provides liquidity, and generates return without significantly increasing risk. We currently expect to repay the outstanding balance of the 2026 Senior Notes maturing on March 15, 2026 at the date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maturity. Based on current projections, we expect to have sufficient liquidity to fund this repayment and meet our operating requirements for at least the next 12 months and thereafter for the foreseeable future, including our foreseeable future supply obligations, capital expenditures and share repurchases.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The amount of cash, cash equivalents and investments held by our international subsidiaries was </w:t>
      </w:r>
      <w:r>
        <w:rPr>
          <w:rFonts w:ascii="Times New Roman;serif" w:hAnsi="Times New Roman;serif"/>
          <w:b w:val="false"/>
          <w:color w:val="000000"/>
          <w:sz w:val="20"/>
          <w:shd w:fill="FFFFFF" w:val="clear"/>
        </w:rPr>
        <w:t>$266.9 million</w:t>
      </w:r>
      <w:r>
        <w:rPr>
          <w:color w:val="000000"/>
        </w:rPr>
        <w:t xml:space="preserve"> </w:t>
      </w:r>
      <w:r>
        <w:rPr>
          <w:rFonts w:ascii="Times New Roman;serif" w:hAnsi="Times New Roman;serif"/>
          <w:b w:val="false"/>
          <w:color w:val="000000"/>
          <w:sz w:val="20"/>
        </w:rPr>
        <w:t>and $207.8 million as of December 31, 2025 and 2024,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cash flow from operations will be sufficient for at least the next 12 months to meet our requirements and plans for cash, including meeting our working capital requirements and capital expenditure requirements. In the long term, our ability to support our requirements and plans for cash, including our working capital and capital expenditure requirements will depend on many factors, including our growth rate, the timing and amount of our share repurchases and debt retirement, the expansion of sales and marketing activities, pricing actions, the introduction of new and enhanced products and services offerings, the continuing market acceptance of our products, the timing and extent of spending to support development efforts, our investments in purchasing, developing or leasing real estate, cash paid for taxes and macroeconomic impacts such as rising inflation and changing interest rates, changes in tariffs and other trade restrictions, impacts of international conflicts, including the war in Ukraine, tensions between China and Taiwan or conflicts in the Middle East.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2024 and 2023,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generated by operating activities is our primary source of liquidity. It is primarily comprised of net income, as adjusted for non-cash items and changes in operating assets and liabilities. Non-cash adjustments consist primarily of amortization of deferred contract costs, stock-based compensation and depreciation and amortization. Changes in operating assets and liabilities consist primarily of changes in deferred revenue, deferred contract costs, accounts receivable—net, prepaid expenses and other current assets, inventory, deferred tax assets, accrued payroll and compensation and accounts payable.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operating activities during 2025 provided cash flows of $2.59 billion as a result of the continued growth of our business, improved profitability and our ability to successfully manage our working capital. Changes in operating assets and liabilities were primarily driven by an increase of $754.2 million in our deferred revenue during 2025. In addition, changes in operating assets and liabilities were driven by an increase of $449.0 million in deferred contract costs which primarily consists of sales commissions, an increase of $215.9 million in accounts receivable—net, an increase of $95.9 million in prepaid expenses and other current assets, an increase of $90.6 million in inventory, a decrease of $66.2 million in deferred tax assets, an increase of $55.0 million in accrued payroll and compensation and an increase of $27.9 million in accounts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investing activities primarily relate to timing of purchases, maturities and sales of investments, purchases of property and equipment, investments in equity securities and business combinations. Historically, we have elected to own a facility if we believe that purchasing or developing buildings rather than leasing is more closely aligned with our long-term strategy. We expect to make similar decisions in the future. We may also make cash payments in connection with future business combinations.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cash used in investing activities was $599.1 million, primarily driven by $364.8 million used for the purchases of property and equipment, $192.8 million spent for purchases of investments, net of maturities and sales of investments, and $41.6 million used for payments made in connection with business combinations, net of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cash flows from financing activities primarily relate to repurchase and retirement of common stock, and taxes paid related to net share settlement of equity awards, net of proceeds from the issuance of common stock under the Amended and Restated 2009 Equity Incentive Plan (the “2009 EIP”).</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cash used in financing activities was $2.37 billion, driven by $2.29 billion used to repurchase shares of our common stock and $81.6 million used to pay tax withholding related to net share settlement of equity awards, net of proceeds from the issuance of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 of the notes to our consolidated financial statements in Part II, Item 8 of this Annual Report on Form 10-K for a full description of recently adopted accounting pronouncements.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 and Interest Rate Fluctuation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risks primarily related to our investment portfolio and the outstanding debt, as changes in prevailing interest rates may affect the fair value of investments and the cost of future financing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primary objectives of our investment activities are to preserve principal, provide liquidity and maximize income without significantly increasing risk. Some of the securities we invest in are subject to market risk. This means that a change in prevailing interest rates may cause the principal amount of the investment to fluctuate. To minimize this risk, we maintain our portfolio of cash, cash equivalents, investments and marketable equity securities in a variety of securities, including commercial paper, corporate debt securities, U.S. government and agency securities, certificates of deposit and term deposits, money market funds and marketable equity securities. The risk associated with fluctuating interest rates is limited to our investment portfolio. A 10% decrease in interest rates would have resulted in a decrease of $16.2 million, $15.5 million and $12.0 million in our interest income for 2025, 2024, and 2023, respectively.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contracts are primarily denominated in U.S. dollars and therefore substantially all of our revenue is not subject to foreign currency translation risk. However, a substantial portion of our operating expenses incurred outside the United States are denominated in foreign currencies and are subject to fluctuations due to changes in foreign currency exchange rates, particularly changes in the Euro (“EUR”), the Canadian dollar (“CAD”), the British pound (“GBP”) and the Japanese yen (“JPY”). To help protect against significant fluctuations in value and the volatility of future cash flows caused by changes in currency exchange rates, we engage in foreign currency risk management activities to minimize the impact of balance sheet items denominated in CAD. We do not use these contracts for speculative or trading purposes. All of the derivative instruments are with high quality financial institutions and we monitor the credit worthiness of these parties. These contracts typically have a maturity of one month and settle on the last day of each month. We record changes in the fair value of forward exchange contracts related to balance sheet accounts in other income (expense)—net in the consolidated statements of income. We recognized an expense of $4.9 million in 2025 due to foreign currency transaction losses.</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use of forward exchange contracts is intended to reduce, but not eliminate, the impact of currency exchange rate movements. Our forward exchange contracts are relatively short-term in nature and are focused on the CAD. Long-term material changes in the value of the U.S. dollar against other foreign currencies, such as the EUR, GBP and JPY, could adversely impact our operating expenses in the future. We assessed the risk of loss in fair values from the impact of hypothetical changes in foreign currency exchange rates. For foreign currency exchange rate risk, a 10% increase or decrease of foreign currency exchange rates against the U.S. dollar with all other variables held constant would have resulted in a $17.2 million change in the value of our foreign currency cash balances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monetary assets, consisting primarily of cash, cash equivalents and short-term investments, are not affected significantly by inflation because they are predominantly short-term. We believe the impact of inflation on replacement costs of equipment, furniture and leasehold improvements will not materially affect our operations. The rate of inflation, however, affects our cost of revenue and expenses, such as those for employee compensation, which may not be readily recoverable in the price of products and services offered by us.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180" w:after="283"/>
        <w:jc w:val="center"/>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p>
      <w:pPr>
        <w:pStyle w:val="TextBody"/>
        <w:bidi w:val="0"/>
        <w:spacing w:before="180" w:after="283"/>
        <w:jc w:val="center"/>
        <w:rPr/>
      </w:pPr>
      <w:r>
        <w:rPr/>
      </w:r>
    </w:p>
    <w:p>
      <w:pPr>
        <w:pStyle w:val="TextBody"/>
        <w:bidi w:val="0"/>
        <w:spacing w:lineRule="auto" w:line="288" w:before="0" w:after="0"/>
        <w:jc w:val="left"/>
        <w:rPr>
          <w:color w:val="000000"/>
        </w:rPr>
      </w:pPr>
      <w:r>
        <w:rPr>
          <w:color w:val="000000"/>
        </w:rPr>
        <w:t> </w:t>
      </w:r>
    </w:p>
    <w:tbl>
      <w:tblPr>
        <w:tblW w:w="6976" w:type="dxa"/>
        <w:jc w:val="left"/>
        <w:tblInd w:w="0" w:type="dxa"/>
        <w:tblLayout w:type="fixed"/>
        <w:tblCellMar>
          <w:top w:w="28" w:type="dxa"/>
          <w:left w:w="28" w:type="dxa"/>
          <w:bottom w:w="28" w:type="dxa"/>
          <w:right w:w="28" w:type="dxa"/>
        </w:tblCellMar>
      </w:tblPr>
      <w:tblGrid>
        <w:gridCol w:w="2340"/>
        <w:gridCol w:w="2057"/>
        <w:gridCol w:w="2068"/>
        <w:gridCol w:w="149"/>
        <w:gridCol w:w="149"/>
        <w:gridCol w:w="213"/>
      </w:tblGrid>
      <w:tr>
        <w:trPr/>
        <w:tc>
          <w:tcPr>
            <w:tcW w:w="2340"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64">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No.34)</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64">
              <w:r>
                <w:rPr>
                  <w:rStyle w:val="InternetLink"/>
                  <w:rFonts w:ascii="Times New Roman;serif" w:hAnsi="Times New Roman;serif"/>
                  <w:b w:val="false"/>
                  <w:color w:val="0000FF"/>
                  <w:sz w:val="20"/>
                  <w:u w:val="single"/>
                </w:rPr>
                <w:t>76</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67">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67">
              <w:r>
                <w:rPr>
                  <w:rStyle w:val="InternetLink"/>
                  <w:rFonts w:ascii="Times New Roman;serif" w:hAnsi="Times New Roman;serif"/>
                  <w:b w:val="false"/>
                  <w:color w:val="0000FF"/>
                  <w:sz w:val="20"/>
                  <w:u w:val="single"/>
                </w:rPr>
                <w:t>78</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70">
              <w:r>
                <w:rPr>
                  <w:rStyle w:val="InternetLink"/>
                  <w:rFonts w:ascii="Times New Roman;serif" w:hAnsi="Times New Roman;serif"/>
                  <w:b w:val="false"/>
                  <w:color w:val="0000FF"/>
                  <w:sz w:val="20"/>
                  <w:u w:val="single"/>
                </w:rPr>
                <w:t>Consolidated Statements of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70">
              <w:r>
                <w:rPr>
                  <w:rStyle w:val="InternetLink"/>
                  <w:rFonts w:ascii="Times New Roman;serif" w:hAnsi="Times New Roman;serif"/>
                  <w:b w:val="false"/>
                  <w:color w:val="0000FF"/>
                  <w:sz w:val="20"/>
                  <w:u w:val="single"/>
                </w:rPr>
                <w:t>79</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73">
              <w:r>
                <w:rPr>
                  <w:rStyle w:val="InternetLink"/>
                  <w:rFonts w:ascii="Times New Roman;serif" w:hAnsi="Times New Roman;serif"/>
                  <w:b w:val="false"/>
                  <w:color w:val="0000FF"/>
                  <w:sz w:val="20"/>
                  <w:u w:val="single"/>
                </w:rPr>
                <w:t>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73">
              <w:r>
                <w:rPr>
                  <w:rStyle w:val="InternetLink"/>
                  <w:rFonts w:ascii="Times New Roman;serif" w:hAnsi="Times New Roman;serif"/>
                  <w:b w:val="false"/>
                  <w:color w:val="0000FF"/>
                  <w:sz w:val="20"/>
                  <w:u w:val="single"/>
                </w:rPr>
                <w:t>80</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76">
              <w:r>
                <w:rPr>
                  <w:rStyle w:val="InternetLink"/>
                  <w:rFonts w:ascii="Times New Roman;serif" w:hAnsi="Times New Roman;serif"/>
                  <w:b w:val="false"/>
                  <w:color w:val="000080"/>
                  <w:sz w:val="20"/>
                  <w:u w:val="single"/>
                </w:rPr>
                <w:t>Consolidated Statements of</w:t>
              </w:r>
            </w:hyperlink>
            <w:hyperlink w:anchor="i71fcb98cc5f34eafa1d5d1bdeaf1bef2_76">
              <w:r>
                <w:rPr>
                  <w:rStyle w:val="InternetLink"/>
                  <w:rFonts w:ascii="Times New Roman;serif" w:hAnsi="Times New Roman;serif"/>
                  <w:b w:val="false"/>
                  <w:color w:val="000080"/>
                  <w:sz w:val="20"/>
                  <w:u w:val="single"/>
                </w:rPr>
                <w:t xml:space="preserve"> </w:t>
              </w:r>
            </w:hyperlink>
            <w:hyperlink w:anchor="i71fcb98cc5f34eafa1d5d1bdeaf1bef2_76">
              <w:r>
                <w:rPr>
                  <w:rStyle w:val="InternetLink"/>
                  <w:rFonts w:ascii="Times New Roman;serif" w:hAnsi="Times New Roman;serif"/>
                  <w:b w:val="false"/>
                  <w:color w:val="000080"/>
                  <w:sz w:val="20"/>
                  <w:u w:val="single"/>
                </w:rPr>
                <w:t>Stockholders’</w:t>
              </w:r>
            </w:hyperlink>
            <w:hyperlink w:anchor="i71fcb98cc5f34eafa1d5d1bdeaf1bef2_76">
              <w:r>
                <w:rPr>
                  <w:rStyle w:val="InternetLink"/>
                  <w:rFonts w:ascii="Times New Roman;serif" w:hAnsi="Times New Roman;serif"/>
                  <w:b w:val="false"/>
                  <w:color w:val="000080"/>
                  <w:sz w:val="20"/>
                  <w:u w:val="single"/>
                </w:rPr>
                <w:t xml:space="preserve"> </w:t>
              </w:r>
            </w:hyperlink>
            <w:hyperlink w:anchor="i71fcb98cc5f34eafa1d5d1bdeaf1bef2_76">
              <w:r>
                <w:rPr>
                  <w:rStyle w:val="InternetLink"/>
                  <w:rFonts w:ascii="Times New Roman;serif" w:hAnsi="Times New Roman;serif"/>
                  <w:b w:val="false"/>
                  <w:color w:val="000080"/>
                  <w:sz w:val="20"/>
                  <w:u w:val="single"/>
                </w:rPr>
                <w:t>Equity (Deficit)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76">
              <w:r>
                <w:rPr>
                  <w:rStyle w:val="InternetLink"/>
                  <w:rFonts w:ascii="Times New Roman;serif" w:hAnsi="Times New Roman;serif"/>
                  <w:b w:val="false"/>
                  <w:color w:val="0000FF"/>
                  <w:sz w:val="20"/>
                  <w:u w:val="single"/>
                </w:rPr>
                <w:t>81</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79">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79">
              <w:r>
                <w:rPr>
                  <w:rStyle w:val="InternetLink"/>
                  <w:rFonts w:ascii="Times New Roman;serif" w:hAnsi="Times New Roman;serif"/>
                  <w:b w:val="false"/>
                  <w:color w:val="0000FF"/>
                  <w:sz w:val="20"/>
                  <w:u w:val="single"/>
                </w:rPr>
                <w:t>82</w:t>
              </w:r>
            </w:hyperlink>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82">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1fcb98cc5f34eafa1d5d1bdeaf1bef2_82">
              <w:r>
                <w:rPr>
                  <w:rStyle w:val="InternetLink"/>
                  <w:rFonts w:ascii="Times New Roman;serif" w:hAnsi="Times New Roman;serif"/>
                  <w:b w:val="false"/>
                  <w:color w:val="0000FF"/>
                  <w:sz w:val="20"/>
                  <w:u w:val="single"/>
                </w:rPr>
                <w:t>83</w:t>
              </w:r>
            </w:hyperlink>
          </w:p>
        </w:tc>
      </w:tr>
    </w:tbl>
    <w:p>
      <w:pPr>
        <w:pStyle w:val="TextBody"/>
        <w:bidi w:val="0"/>
        <w:spacing w:before="8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Fortinet,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Fortinet, Inc. and subsidiaries (the “Company”) as of December 31, 2025 and 2024, the related consolidated statements of income, comprehensive income, stockholders’ equity (deficit),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80" w:after="180"/>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24, 2026, expressed an unqualified opinion on the Company’s internal control over financial reporting.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 Refer to Note 1 and Note 2 to the Financial Statements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contracts with customers often include multiple performance obligations, such as hardware, software license, security subscription, technical support services, cloud and other services, which are generally capable of being distinct and accounted for as separate performance obligations. Pursuant to accounting principles generally accepted in the United States of America, the Company is required to evaluate whether each performance obligation represents goods and services that are distinct for purposes of determining the amount and timing of revenue recognition. A good or service is distinct where the customer can benefit from the product without the services and the services are separately identifiable within a contract, and the transfer of the good or service is separately identifiable from other promises in the contract. The evaluation of performance obligations can require significant judgment in certain contracts and could change the amount of revenue recognized in a given period.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We identified the evaluation of performance obligations in certain contracts as a critical audit matter because of the significant judgment management makes in evaluating such contracts and the impact of such judgment on the amount of revenue recognized in a particular period. This required a high degree of auditor judgment and an increased extent of testing.</w:t>
      </w: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identification and evaluation of performance obligations within certain contracts and the resulting impact on the pattern and timing of revenue recognition included the following, among others:</w:t>
      </w:r>
    </w:p>
    <w:p>
      <w:pPr>
        <w:pStyle w:val="TextBody"/>
        <w:bidi w:val="0"/>
        <w:spacing w:lineRule="auto" w:line="288" w:before="180" w:after="180"/>
        <w:ind w:left="0" w:right="0" w:hanging="270"/>
        <w:jc w:val="left"/>
        <w:rPr/>
      </w:pPr>
      <w:r>
        <w:rPr>
          <w:color w:val="000000"/>
        </w:rPr>
        <w:t>•</w:t>
      </w:r>
      <w:r>
        <w:rPr>
          <w:rFonts w:ascii="Times New Roman;serif" w:hAnsi="Times New Roman;serif"/>
          <w:b w:val="false"/>
          <w:color w:val="000000"/>
          <w:sz w:val="20"/>
        </w:rPr>
        <w:t>We assessed management’s significant accounting policies related to revenue recognition for compliance with Accounting Standards Codification 606, Revenue from Contracts with Customers.</w:t>
      </w:r>
    </w:p>
    <w:p>
      <w:pPr>
        <w:pStyle w:val="TextBody"/>
        <w:bidi w:val="0"/>
        <w:spacing w:lineRule="auto" w:line="288" w:before="180" w:after="180"/>
        <w:ind w:left="0" w:right="0" w:hanging="270"/>
        <w:jc w:val="left"/>
        <w:rPr/>
      </w:pPr>
      <w:r>
        <w:rPr>
          <w:color w:val="000000"/>
        </w:rPr>
        <w:t>•</w:t>
      </w:r>
      <w:r>
        <w:rPr>
          <w:rFonts w:ascii="Times New Roman;serif" w:hAnsi="Times New Roman;serif"/>
          <w:b w:val="false"/>
          <w:color w:val="000000"/>
          <w:sz w:val="20"/>
        </w:rPr>
        <w:t>We evaluated the design and tested the operating effectiveness of internal controls over review of contracts, including those over the identification and evaluation of contract terms and conditions and the resulting impact on revenue recognition.</w:t>
      </w:r>
    </w:p>
    <w:p>
      <w:pPr>
        <w:pStyle w:val="TextBody"/>
        <w:bidi w:val="0"/>
        <w:spacing w:lineRule="auto" w:line="288" w:before="180" w:after="180"/>
        <w:ind w:left="0" w:right="0" w:hanging="270"/>
        <w:jc w:val="left"/>
        <w:rPr/>
      </w:pPr>
      <w:r>
        <w:rPr>
          <w:color w:val="000000"/>
        </w:rPr>
        <w:t>•</w:t>
      </w:r>
      <w:r>
        <w:rPr>
          <w:rFonts w:ascii="Times New Roman;serif" w:hAnsi="Times New Roman;serif"/>
          <w:b w:val="false"/>
          <w:color w:val="000000"/>
          <w:sz w:val="20"/>
        </w:rPr>
        <w:t xml:space="preserve">We selected a sample of certain contracts and performed the following: </w:t>
      </w:r>
    </w:p>
    <w:p>
      <w:pPr>
        <w:pStyle w:val="TextBody"/>
        <w:bidi w:val="0"/>
        <w:spacing w:lineRule="auto" w:line="256" w:before="0" w:after="0"/>
        <w:ind w:left="0" w:right="0" w:hanging="270"/>
        <w:jc w:val="left"/>
        <w:rPr/>
      </w:pPr>
      <w:r>
        <w:rPr>
          <w:color w:val="000000"/>
        </w:rPr>
        <w:t>•</w:t>
      </w:r>
      <w:r>
        <w:rPr>
          <w:rFonts w:ascii="Times New Roman;serif" w:hAnsi="Times New Roman;serif"/>
          <w:b w:val="false"/>
          <w:color w:val="000000"/>
          <w:sz w:val="20"/>
        </w:rPr>
        <w:t>Obtained and read the related contract documents and evaluated whether management had properly identified the performance obligations.</w:t>
      </w:r>
    </w:p>
    <w:p>
      <w:pPr>
        <w:pStyle w:val="TextBody"/>
        <w:bidi w:val="0"/>
        <w:spacing w:before="0" w:after="0"/>
        <w:ind w:left="0" w:right="0" w:firstLine="90"/>
        <w:jc w:val="left"/>
        <w:rPr/>
      </w:pPr>
      <w:r>
        <w:rPr/>
      </w:r>
    </w:p>
    <w:p>
      <w:pPr>
        <w:pStyle w:val="TextBody"/>
        <w:bidi w:val="0"/>
        <w:spacing w:lineRule="auto" w:line="256" w:before="0" w:after="0"/>
        <w:ind w:left="0" w:right="0" w:hanging="270"/>
        <w:jc w:val="left"/>
        <w:rPr/>
      </w:pPr>
      <w:r>
        <w:rPr>
          <w:color w:val="000000"/>
        </w:rPr>
        <w:t>•</w:t>
      </w:r>
      <w:r>
        <w:rPr>
          <w:rFonts w:ascii="Times New Roman;serif" w:hAnsi="Times New Roman;serif"/>
          <w:b w:val="false"/>
          <w:color w:val="000000"/>
          <w:sz w:val="20"/>
        </w:rPr>
        <w:t>Assessed management’s evaluation of the impact of the performance obligations on the pattern and timing of revenue recognition.</w:t>
      </w:r>
    </w:p>
    <w:p>
      <w:pPr>
        <w:pStyle w:val="TextBody"/>
        <w:bidi w:val="0"/>
        <w:spacing w:before="0" w:after="0"/>
        <w:ind w:left="0" w:right="0" w:firstLine="90"/>
        <w:jc w:val="left"/>
        <w:rPr/>
      </w:pPr>
      <w:r>
        <w:rPr/>
      </w:r>
    </w:p>
    <w:p>
      <w:pPr>
        <w:pStyle w:val="TextBody"/>
        <w:bidi w:val="0"/>
        <w:spacing w:before="180" w:after="180"/>
        <w:ind w:left="0" w:right="0" w:firstLine="90"/>
        <w:jc w:val="left"/>
        <w:rPr/>
      </w:pPr>
      <w:r>
        <w:rPr/>
      </w:r>
    </w:p>
    <w:p>
      <w:pPr>
        <w:pStyle w:val="TextBody"/>
        <w:bidi w:val="0"/>
        <w:spacing w:lineRule="auto" w:line="288" w:before="0" w:after="0"/>
        <w:jc w:val="left"/>
        <w:rPr/>
      </w:pPr>
      <w:r>
        <w:rPr>
          <w:rFonts w:ascii="Times New Roman;serif" w:hAnsi="Times New Roman;serif"/>
          <w:b w:val="false"/>
          <w:i/>
          <w:color w:val="000000"/>
          <w:sz w:val="20"/>
        </w:rPr>
        <w:t>/s/ DELOITTE &amp; TOUCHE LLP</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959"/>
        <w:gridCol w:w="2278"/>
        <w:gridCol w:w="2291"/>
        <w:gridCol w:w="211"/>
        <w:gridCol w:w="871"/>
        <w:gridCol w:w="109"/>
        <w:gridCol w:w="109"/>
        <w:gridCol w:w="109"/>
        <w:gridCol w:w="109"/>
        <w:gridCol w:w="216"/>
        <w:gridCol w:w="784"/>
        <w:gridCol w:w="159"/>
      </w:tblGrid>
      <w:tr>
        <w:trPr/>
        <w:tc>
          <w:tcPr>
            <w:tcW w:w="2959"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5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receivable—Net of allowance for credit losses of $7.4 million and $5.9 million at December 31,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compensation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8,269.3 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value—1,500.0 shares authorized; 743.0 shares and 767.0 shares issued and outstanding at December 31, 2025 and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75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9"/>
        <w:gridCol w:w="1930"/>
        <w:gridCol w:w="1937"/>
        <w:gridCol w:w="211"/>
        <w:gridCol w:w="766"/>
        <w:gridCol w:w="109"/>
        <w:gridCol w:w="109"/>
        <w:gridCol w:w="109"/>
        <w:gridCol w:w="109"/>
        <w:gridCol w:w="211"/>
        <w:gridCol w:w="766"/>
        <w:gridCol w:w="109"/>
        <w:gridCol w:w="109"/>
        <w:gridCol w:w="109"/>
        <w:gridCol w:w="109"/>
        <w:gridCol w:w="211"/>
        <w:gridCol w:w="766"/>
        <w:gridCol w:w="156"/>
      </w:tblGrid>
      <w:tr>
        <w:trPr/>
        <w:tc>
          <w:tcPr>
            <w:tcW w:w="237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246"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Service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GAIN (LOSS) FROM EQUITY METHOD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(Note 8):</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income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986" w:type="dxa"/>
        <w:jc w:val="center"/>
        <w:tblInd w:w="0" w:type="dxa"/>
        <w:tblLayout w:type="fixed"/>
        <w:tblCellMar>
          <w:top w:w="28" w:type="dxa"/>
          <w:left w:w="28" w:type="dxa"/>
          <w:bottom w:w="28" w:type="dxa"/>
          <w:right w:w="28" w:type="dxa"/>
        </w:tblCellMar>
      </w:tblPr>
      <w:tblGrid>
        <w:gridCol w:w="2183"/>
        <w:gridCol w:w="1914"/>
        <w:gridCol w:w="1932"/>
        <w:gridCol w:w="211"/>
        <w:gridCol w:w="766"/>
        <w:gridCol w:w="109"/>
        <w:gridCol w:w="109"/>
        <w:gridCol w:w="109"/>
        <w:gridCol w:w="109"/>
        <w:gridCol w:w="211"/>
        <w:gridCol w:w="766"/>
        <w:gridCol w:w="109"/>
        <w:gridCol w:w="109"/>
        <w:gridCol w:w="109"/>
        <w:gridCol w:w="109"/>
        <w:gridCol w:w="211"/>
        <w:gridCol w:w="766"/>
        <w:gridCol w:w="154"/>
      </w:tblGrid>
      <w:tr>
        <w:trPr/>
        <w:tc>
          <w:tcPr>
            <w:tcW w:w="218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 on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tax provision related to items of other comprehensive income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807"/>
        <w:gridCol w:w="698"/>
        <w:gridCol w:w="703"/>
        <w:gridCol w:w="278"/>
        <w:gridCol w:w="278"/>
        <w:gridCol w:w="196"/>
        <w:gridCol w:w="109"/>
        <w:gridCol w:w="109"/>
        <w:gridCol w:w="109"/>
        <w:gridCol w:w="198"/>
        <w:gridCol w:w="381"/>
        <w:gridCol w:w="112"/>
        <w:gridCol w:w="109"/>
        <w:gridCol w:w="109"/>
        <w:gridCol w:w="109"/>
        <w:gridCol w:w="196"/>
        <w:gridCol w:w="691"/>
        <w:gridCol w:w="109"/>
        <w:gridCol w:w="109"/>
        <w:gridCol w:w="109"/>
        <w:gridCol w:w="109"/>
        <w:gridCol w:w="321"/>
        <w:gridCol w:w="789"/>
        <w:gridCol w:w="179"/>
        <w:gridCol w:w="109"/>
        <w:gridCol w:w="109"/>
        <w:gridCol w:w="109"/>
        <w:gridCol w:w="214"/>
        <w:gridCol w:w="824"/>
        <w:gridCol w:w="119"/>
        <w:gridCol w:w="109"/>
        <w:gridCol w:w="109"/>
        <w:gridCol w:w="109"/>
        <w:gridCol w:w="276"/>
        <w:gridCol w:w="976"/>
        <w:gridCol w:w="225"/>
      </w:tblGrid>
      <w:tr>
        <w:trPr/>
        <w:tc>
          <w:tcPr>
            <w:tcW w:w="80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 (Deficit)</w:t>
            </w:r>
          </w:p>
        </w:tc>
      </w:tr>
      <w:tr>
        <w:trPr/>
        <w:tc>
          <w:tcPr>
            <w:tcW w:w="2208"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(281.6)</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 incentive plans - net of tax withholding</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stock repurchases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gain on investments - net of tax</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(463.4)</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 incentive plans - net of tax withholding</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gain on investments -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BALANCE—December 31, 2024</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equity incentive plans - net of tax withholding</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(2,244.2)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on net stock repurchases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gain on investments -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BALANCE—December 31,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(507.9)</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FORTINET,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bl>
      <w:tblPr>
        <w:tblW w:w="9881" w:type="dxa"/>
        <w:jc w:val="center"/>
        <w:tblInd w:w="0" w:type="dxa"/>
        <w:tblLayout w:type="fixed"/>
        <w:tblCellMar>
          <w:top w:w="28" w:type="dxa"/>
          <w:left w:w="28" w:type="dxa"/>
          <w:bottom w:w="28" w:type="dxa"/>
          <w:right w:w="28" w:type="dxa"/>
        </w:tblCellMar>
      </w:tblPr>
      <w:tblGrid>
        <w:gridCol w:w="2243"/>
        <w:gridCol w:w="1970"/>
        <w:gridCol w:w="1981"/>
        <w:gridCol w:w="196"/>
        <w:gridCol w:w="691"/>
        <w:gridCol w:w="109"/>
        <w:gridCol w:w="109"/>
        <w:gridCol w:w="109"/>
        <w:gridCol w:w="109"/>
        <w:gridCol w:w="196"/>
        <w:gridCol w:w="691"/>
        <w:gridCol w:w="109"/>
        <w:gridCol w:w="109"/>
        <w:gridCol w:w="109"/>
        <w:gridCol w:w="109"/>
        <w:gridCol w:w="196"/>
        <w:gridCol w:w="691"/>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contract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investment discounts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impact of business combinations: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payroll and compensation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privately held companies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in connection with business combinations,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equity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equity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EQUIVALENTS—Beginning of year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arising from obtaining right-of-use assets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Transfers of evaluation units and equipment from inventory to property and equipment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purchase of property and equipment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Excise tax payable on net stock repurchases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Liability incurred in connection with business combinations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Business</w:t>
      </w:r>
      <w:r>
        <w:rPr>
          <w:color w:val="000000"/>
        </w:rPr>
        <w:t>—</w:t>
      </w:r>
      <w:r>
        <w:rPr>
          <w:rFonts w:ascii="Times New Roman;serif" w:hAnsi="Times New Roman;serif"/>
          <w:b w:val="false"/>
          <w:color w:val="000000"/>
          <w:sz w:val="20"/>
        </w:rPr>
        <w:t xml:space="preserve">Fortinet, Inc. (“Fortinet”) was incorporated in Delaware in 2000 and is a global leader in broad, integrated and automated cybersecurity solutions. Fortinet provides high performance cybersecurity solutions to a wide variety of businesses, such as large enterprises, communication service providers, government organizations and small to medium-sized enterprises. Fortinet’s cybersecurity solutions are designed to provide broad visibility and segmentation of the digital attack surface, through our integrated cybersecurity platform (the “Fortinet Security Fabric”) with automated protection, detection and response.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Basis of Presentation and Preparation</w:t>
      </w:r>
      <w:r>
        <w:rPr>
          <w:color w:val="000000"/>
        </w:rPr>
        <w:t>—</w:t>
      </w:r>
      <w:r>
        <w:rPr>
          <w:rFonts w:ascii="Times New Roman;serif" w:hAnsi="Times New Roman;serif"/>
          <w:b w:val="false"/>
          <w:color w:val="000000"/>
          <w:sz w:val="20"/>
        </w:rPr>
        <w:t>The consolidated financial statements of Fortinet and its subsidiaries (collectively, “we,” “us”, or “our”) have been prepared in accordance with generally accepted accounting principles in the United States (“GAAP”). We consolidate all legal entities in which we have an absolute controlling financial interest. All intercompany transactions and balances have been eliminated in consolidation.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Amounts previously reported as marketable equity securities are included in short-term investments in prior periods to conform with current period presentation in our consolidated balance sheets. Amounts previously reported as gain on bargain purchase are included in other income </w:t>
      </w:r>
      <w:r>
        <w:rPr>
          <w:rFonts w:ascii="Times New Roman;serif" w:hAnsi="Times New Roman;serif"/>
          <w:b w:val="false"/>
          <w:color w:val="000000"/>
          <w:sz w:val="20"/>
          <w:shd w:fill="FFFFFF" w:val="clear"/>
        </w:rPr>
        <w:t>(expense)</w:t>
      </w:r>
      <w:r>
        <w:rPr>
          <w:color w:val="000000"/>
        </w:rPr>
        <w:t>—</w:t>
      </w:r>
      <w:r>
        <w:rPr>
          <w:rFonts w:ascii="Times New Roman;serif" w:hAnsi="Times New Roman;serif"/>
          <w:b w:val="false"/>
          <w:color w:val="000000"/>
          <w:sz w:val="20"/>
        </w:rPr>
        <w:t>net in prior periods to conform with current period presentation in our consolidated statements of income. Amounts previously reported as loss from equity method investments and gain on bargain purchase are included in other in prior periods to conform with current period presentation in section of net cash provided by operating activities in our consolidated statements of cash flows. The reclassification had no impact on our previously reported total assets, net income or cash flows from operating or investing activities and did not result in a restatement of prior period consolidated financial statements.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0"/>
        </w:rPr>
        <w:t>Use of Estimates</w:t>
      </w:r>
      <w:r>
        <w:rPr>
          <w:color w:val="000000"/>
        </w:rPr>
        <w:t>—</w:t>
      </w:r>
      <w:r>
        <w:rPr>
          <w:rFonts w:ascii="Times New Roman;serif" w:hAnsi="Times New Roman;serif"/>
          <w:b w:val="false"/>
          <w:color w:val="000000"/>
          <w:sz w:val="20"/>
        </w:rPr>
        <w:t>The preparation of consolidated financial statements in accordance with GAAP requires management to make estimates and assumptions that affect the amounts reported in the consolidated financial statements and accompanying notes. Such management estimates include, but are not limited to, the determination of contingent liabilities, the standalone selling price for our products and services, the period of benefit for deferred contract costs for commissions, stock-based compensation, inventory valuation and liability for non-cancellable inventory purchase commitments with contract manufacturers and component suppliers, the fair value of tangible and intangible assets acquired and liabilities assumed in business combinations, the measurement of liabilities for uncertain tax positions and deferred tax assets and liabilities, the assessment of recoverability of our goodwill and other long-lived assets. We base our estimates on historical experience and also on assumptions that we believe are reasonable. Actual results could differ materially from those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Concentration Risk</w:t>
      </w:r>
      <w:r>
        <w:rPr>
          <w:color w:val="000000"/>
        </w:rPr>
        <w:t>—</w:t>
      </w:r>
      <w:r>
        <w:rPr>
          <w:rFonts w:ascii="Times New Roman;serif" w:hAnsi="Times New Roman;serif"/>
          <w:b w:val="false"/>
          <w:color w:val="000000"/>
          <w:sz w:val="20"/>
        </w:rPr>
        <w:t>Financial instruments that subject us to concentrations of credit risk consist primarily of cash, cash equivalents, short-term and long-term investments, marketable equity securities and accounts receivable. Our cash balances are maintained as deposits with various large financial institutions in the United States and around the world. Balances in the United States typically exceed the amount of insurance provided on such deposits. We maintain our cash equivalents and investments in money market funds, corporate debt securities, U.S. government and agency securities, commercial paper and certificates of deposit and term deposits with major financial institutions that our management believes are financially sound.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accounts receivable are derived from our customers in various geographic locations. We perform ongoing credit evaluations of our customers. We generally do not require collateral on accounts receivable, and we maintain reserves for estimated credit losses. See Note 15. Segment Information for distributor customers accounted for 10% or more of our revenue or net accounts receivable.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a small number of manufacturing partners, with the majority of manufacturing in Taiwan and U.S., to manufacture our products, and some of the chips and other components of our products used by the contract manufacturers are available from limited or sole sources of supply. We do not own manufacturing activities in China. Our proprietary Application-Specific Integrated Circuits are built by contract manufacturers located in Japan and Taiwan; other integrated circuits are provided by other chip manufacturers.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Financial Instruments and Fair Value</w:t>
      </w:r>
      <w:r>
        <w:rPr>
          <w:color w:val="000000"/>
        </w:rPr>
        <w:t>—</w:t>
      </w:r>
      <w:r>
        <w:rPr>
          <w:rFonts w:ascii="Times New Roman;serif" w:hAnsi="Times New Roman;serif"/>
          <w:b w:val="false"/>
          <w:color w:val="000000"/>
          <w:sz w:val="20"/>
        </w:rPr>
        <w:t xml:space="preserve">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and non-financial assets and liabilities that are recognized or disclosed at fair value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statements on a recurring basis. Due to their short-term nature, the carrying amounts reported in the consolidated financial statements approximate the fair value for cash and cash equivalents, accounts receivable, accounts payable, accrued liabilities, and accrued payroll and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Comprehensive Income</w:t>
      </w:r>
      <w:r>
        <w:rPr>
          <w:color w:val="000000"/>
        </w:rPr>
        <w:t>—</w:t>
      </w:r>
      <w:r>
        <w:rPr>
          <w:rFonts w:ascii="Times New Roman;serif" w:hAnsi="Times New Roman;serif"/>
          <w:b w:val="false"/>
          <w:color w:val="000000"/>
          <w:sz w:val="20"/>
        </w:rPr>
        <w:t>Comprehensive income includes certain changes in equity from non-owner sources that are excluded from net income, specifically, cumulative foreign currency translation adjustments, unrealized gains and losses on available-for-sale investments and the related tax impacts.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Foreign Currency and Transaction Gains and Losses</w:t>
      </w:r>
      <w:r>
        <w:rPr>
          <w:color w:val="000000"/>
        </w:rPr>
        <w:t>—</w:t>
      </w:r>
      <w:r>
        <w:rPr>
          <w:rFonts w:ascii="Times New Roman;serif" w:hAnsi="Times New Roman;serif"/>
          <w:b w:val="false"/>
          <w:color w:val="000000"/>
          <w:sz w:val="20"/>
        </w:rPr>
        <w:t>The functional currency for most of our</w:t>
      </w:r>
      <w:r>
        <w:rPr>
          <w:color w:val="000000"/>
          <w:shd w:fill="FFFFFF" w:val="clear"/>
        </w:rPr>
        <w:t xml:space="preserve"> </w:t>
      </w:r>
      <w:r>
        <w:rPr>
          <w:rFonts w:ascii="Times New Roman;serif" w:hAnsi="Times New Roman;serif"/>
          <w:b w:val="false"/>
          <w:color w:val="000000"/>
          <w:sz w:val="20"/>
          <w:shd w:fill="FFFFFF" w:val="clear"/>
        </w:rPr>
        <w:t xml:space="preserve">foreign subsidiaries is the U.S. dollar. For our international subsidiary whose functional currency is the local currency, we translate the financial statements of this subsidiary to U.S. dollars using the exchange rates in effect at the balance sheet dates for assets and liabilities, and average monthly exchange rates for revenues, costs, and expenses. We record translation gains and losses in accumulated other comprehensive income as a component of </w:t>
      </w:r>
      <w:r>
        <w:rPr>
          <w:rFonts w:ascii="Times New Roman;serif" w:hAnsi="Times New Roman;serif"/>
          <w:b w:val="false"/>
          <w:color w:val="000000"/>
          <w:sz w:val="20"/>
        </w:rPr>
        <w:t xml:space="preserve">stockholders’ </w:t>
      </w:r>
      <w:r>
        <w:rPr>
          <w:rFonts w:ascii="Times New Roman;serif" w:hAnsi="Times New Roman;serif"/>
          <w:b w:val="false"/>
          <w:color w:val="000000"/>
          <w:sz w:val="20"/>
          <w:shd w:fill="FFFFFF" w:val="clear"/>
        </w:rPr>
        <w:t>equity (deficit). We reflect net forei</w:t>
      </w:r>
      <w:r>
        <w:rPr>
          <w:rFonts w:ascii="Times New Roman;serif" w:hAnsi="Times New Roman;serif"/>
          <w:b w:val="false"/>
          <w:color w:val="000000"/>
          <w:sz w:val="20"/>
        </w:rPr>
        <w:t>gn exchange transaction gains and losses resulting from the conversion of the transaction currency to functional currency as a component of foreign currency exchange gain (loss) in other income (expense)—net. We recognized a foreign currency loss of $4.9 million, $16.9 million and $7.0 million in other income (expense)—net, for 2025, 2024, and 2023,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Cash and Cash Equivalents</w:t>
      </w:r>
      <w:r>
        <w:rPr>
          <w:color w:val="000000"/>
        </w:rPr>
        <w:t>—</w:t>
      </w:r>
      <w:r>
        <w:rPr>
          <w:rFonts w:ascii="Times New Roman;serif" w:hAnsi="Times New Roman;serif"/>
          <w:b w:val="false"/>
          <w:color w:val="000000"/>
          <w:sz w:val="20"/>
        </w:rPr>
        <w:t>We consider all highly liquid investments, purchased with original maturities of three months or less, to be cash equivalents. Cash and cash equivalents consist of balances with banks and highly liquid investments in commercial paper, corporate debt, U.S. government and agency securities, term deposits and money market funds.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pPr>
      <w:r>
        <w:rPr>
          <w:rFonts w:ascii="Times New Roman;serif" w:hAnsi="Times New Roman;serif"/>
          <w:b/>
          <w:color w:val="000000"/>
          <w:sz w:val="20"/>
        </w:rPr>
        <w:t>Available-for-Sale Investments</w:t>
      </w:r>
      <w:r>
        <w:rPr>
          <w:color w:val="000000"/>
        </w:rPr>
        <w:t>—</w:t>
      </w:r>
      <w:r>
        <w:rPr>
          <w:rFonts w:ascii="Times New Roman;serif" w:hAnsi="Times New Roman;serif"/>
          <w:b w:val="false"/>
          <w:color w:val="000000"/>
          <w:sz w:val="20"/>
        </w:rPr>
        <w:t>We hold investment grade securities consisting of corporate debt securities, U.S. government and agency securities, commercial paper and certificates of deposit and term deposits. We classify our investments as available-for-sale (“AFS”) at the time of purchase, since it is our intent that these investments are available for current operations. Investments with original maturities greater than three months with a remaining maturity of less than one year from the consolidated balance sheet date are classified as short-term investments. Investments with remaining maturities greater than one year from the consolidated balance sheet date are classified as long-term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AFS investments in debt securities are carried at estimated fair value with any unrealized gains and losses, net of taxes, included in accumulated other comprehensive income (loss) in the consolidated statements of stockholders’ equity (deficit). AFS debt securities with an amortized cost basis in excess of estimated fair value are assessed to determine what amount of that difference, if any, is caused by expected credit losses. An investment is impaired if the fair value of the investment is less than its cost. If the fair value of an investment is less than its amortized cost basis at the balance sheet date and if we do not intend to sell the investment, we consider available evidence to assess whether it is more likely than not that we will be required to sell the investment before the recovery of its amortized cost basis. We consider relevant quantitative and qualitative information, including general market conditions and the duration of the unrealized loss, in assessing whether a decline in fair value below amortized cost is attributable to credit related factors and whether we intend to sell, or will be required to sell, the security before recovery of its amortized cost basis. Once an impairment is determined to be attributable to credit-related factors, allowance for credit losses (i.e., the credit loss component) on AFS debt securities is recognized as credit loss expense, a charge in other income (expense)—net, on our consolidated statements of income, and any remaining unrealized losses (i.e., the non-credit loss component), net of taxes, are included in accumulated other comprehensive income (loss) on our consolidated statements of stockholders’ equity (deficit).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 whether unrealized losses have resulted from a credit loss or other factors. The unrealized losses on our AFS debt securities as of December 31, 2025, 2024 and 2023 were caused by fluctuations in market value and interest rates as a result of the market conditions. We concluded that an allowance for credit losses was unnecessary as of December 31, 2025, 2024 and 2023 because (i) the decline in market value was attributable to changes in market conditions and not credit quality, and (ii) we concluded that neither do we intend to sell nor is it more likely than not that we will be required to sell these investments prior to recovery of their amortized cost basis. As a result, we had no credit losses recorded for the years ended December 31, 2025, 2024 and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determine realized gains or losses on sale of AFS debt securities using the specific identification method to determine the cost basis of investments sold and record such gains or losses as other income (expense)—net on the consolidated statements of income. We have elected to not record an allowance for credit losses for accrued interest for AFS investments in debt securities and will reverse the accrued interest against interest income in the period in which we determine the accrued interest to be uncollectible.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Marketable Equity Securities</w:t>
      </w:r>
      <w:r>
        <w:rPr>
          <w:color w:val="000000"/>
        </w:rPr>
        <w:t>—</w:t>
      </w:r>
      <w:r>
        <w:rPr>
          <w:rFonts w:ascii="Times New Roman;serif" w:hAnsi="Times New Roman;serif"/>
          <w:b w:val="false"/>
          <w:color w:val="000000"/>
          <w:sz w:val="20"/>
        </w:rPr>
        <w:t>Our marketable equity investments with readily determinable fair values are accounted for at fair value through net income. Realized gains and losses as well as changes in fair value of these securities are recognized and reported in other income (expense)—net, and are determined using the specific identification method.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Investments in privately held companies</w:t>
      </w:r>
      <w:r>
        <w:rPr>
          <w:color w:val="000000"/>
        </w:rPr>
        <w:t>—</w:t>
      </w:r>
      <w:r>
        <w:rPr>
          <w:rFonts w:ascii="Times New Roman;serif" w:hAnsi="Times New Roman;serif"/>
          <w:b w:val="false"/>
          <w:color w:val="000000"/>
          <w:sz w:val="20"/>
        </w:rPr>
        <w:t>Our investments in privately held companies consist of investments in common stock or in-substance common stock. Our equity method investments provide us with the ability to exercise significant influence over the investees, but not an absolute controlling financial interest. These investments are accounted for under the equity method of accounting and were initially recorded at cost. Subsequently, we recognize our proportionate share of the entity’s net profit or loss, the amortization of any basis differences, as well as any other-than-temporary impairment (“OTTI”) as gain or loss from these equity method investments in the consolidated statements of income and as an adjustment to the investment balance. We record our proportionate share of the results of these equity method investments on a three-month lag basis. We evaluate whether there are material transactions or events that occur during the intervening period that materially affect the financial position or results of operations. As of December 31, 2025, we had one equity method investment, and as of December 31, 2024, we had two equity method investments, including the investment in Linksys Holdings, Inc. (“Linksys”). As of December 31, 2025 and 2024, our equity method investments were recorded in other assets. Our remaining investments in privately held companies are recorded at cost and as of December 31, 2025 and 2024 were not 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evaluate our equity method investments at the end of each reporting period to determine whether events or changes in business circumstances indicate that the carrying value of the investments may not be recoverable. Evidence of a loss in value might include, but would not necessarily be limited to, absence of an ability to recover the carrying amount of the investments or inability of the investee to sustain an earnings capacity that would justify the carrying amount of the investments. This evaluation consists of several qualitative and quantitative factors including recent financial results, projected financial results and operating trends of the investees and other publicly available information that may affect the value of our investments.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Accounts receivable</w:t>
      </w:r>
      <w:r>
        <w:rPr>
          <w:color w:val="000000"/>
        </w:rPr>
        <w:t>—</w:t>
      </w:r>
      <w:r>
        <w:rPr>
          <w:rFonts w:ascii="Times New Roman;serif" w:hAnsi="Times New Roman;serif"/>
          <w:b w:val="false"/>
          <w:color w:val="000000"/>
          <w:sz w:val="20"/>
        </w:rPr>
        <w:t xml:space="preserve">Trade accounts receivable are recorded at the invoiced amount. Our accounts receivable balance is reduced by an allowance for expected credit losses. We measure expected credit losses of accounts receivable on a collective (pooled) basis, aggregating accounts receivable that are either current or no more than 60 days past due, and aggregating accounts receivable that are more than 60 days past due. We apply a credit-loss percentage to each of the pools that is based on our historical credit losses. We review whether each of our significant accounts receivable that is more than 60 days past due continues to exhibit similar risk characteristics with the other accounts receivable in the pool. If we determine that it does not, we evaluate it for expected credit losses on an individual basis.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further consider collectability trends for the allowance for credit losses based on our assessment of various factors, including credit quality of our customers, current economic conditions, reasonable and supportable forecasts of future economic conditions, and other factors that may affect our ability to collect from our customers. Expected credit losses are recorded as general and administrative expenses on our consolidated statements of income. The allowance for credit losses was $7.4 million and $5.9 million as of December 31, 2025 and 2024, respectively. Provisions, write-offs and recoveries were not material during the years ended December 31, 2025, 2024 and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Inventory</w:t>
      </w:r>
      <w:r>
        <w:rPr>
          <w:color w:val="000000"/>
        </w:rPr>
        <w:t>—</w:t>
      </w:r>
      <w:r>
        <w:rPr>
          <w:rFonts w:ascii="Times New Roman;serif" w:hAnsi="Times New Roman;serif"/>
          <w:b w:val="false"/>
          <w:color w:val="000000"/>
          <w:sz w:val="20"/>
        </w:rPr>
        <w:t>Inventory is recorded at the lower of cost or net realizable value. Cost is computed using the first-in, first-out method. Inventory costs comprise primarily of the cost of materials and other component parts, as well as overhead costs. In assessing the ultimate recoverability of inventory, we make estimates regarding future customer demand, the timing of new product introductions, economic trends and market conditions. A write-down of inventory and a corresponding charge to cost of product revenue is recorded when inventory is determined to be in excess of anticipated demand or considered obsolete. At the point of the write-down loss recognition, a new, lower cost basis for that inventory is established, and subsequent changes in facts and circumstances do not result in the restoration or increase in that newly established cost basis. In addition, we record a liability for non-cancelable inventory purchase commitments with contract manufacturers and suppliers for quantities in excess of our future estimated demand forecasts. The expense related to such accrued liability for inventory purchase commitments is recorded in cost of product revenue on the consolidated statements of income.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0"/>
        </w:rPr>
        <w:t>Property and Equipment</w:t>
      </w:r>
      <w:r>
        <w:rPr>
          <w:color w:val="000000"/>
        </w:rPr>
        <w:t>—</w:t>
      </w:r>
      <w:r>
        <w:rPr>
          <w:rFonts w:ascii="Times New Roman;serif" w:hAnsi="Times New Roman;serif"/>
          <w:b w:val="false"/>
          <w:color w:val="000000"/>
          <w:sz w:val="20"/>
        </w:rPr>
        <w:t>Property and equipment are stated at cost less accumulated depreciation. We do not depreciate the allocated cost of land. Depreciation is computed using the straight-line method over the estimated useful lives of the assets:</w:t>
      </w:r>
    </w:p>
    <w:tbl>
      <w:tblPr>
        <w:tblW w:w="6014" w:type="dxa"/>
        <w:jc w:val="center"/>
        <w:tblInd w:w="0" w:type="dxa"/>
        <w:tblLayout w:type="fixed"/>
        <w:tblCellMar>
          <w:top w:w="28" w:type="dxa"/>
          <w:left w:w="28" w:type="dxa"/>
          <w:bottom w:w="28" w:type="dxa"/>
          <w:right w:w="28" w:type="dxa"/>
        </w:tblCellMar>
      </w:tblPr>
      <w:tblGrid>
        <w:gridCol w:w="1140"/>
        <w:gridCol w:w="1002"/>
        <w:gridCol w:w="1007"/>
        <w:gridCol w:w="837"/>
        <w:gridCol w:w="837"/>
        <w:gridCol w:w="1191"/>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Lives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 improvements</w:t>
            </w:r>
          </w:p>
        </w:tc>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2 to 40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 to 7 years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Evaluation units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 to 8 years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Business Combinations</w:t>
      </w:r>
      <w:r>
        <w:rPr>
          <w:color w:val="000000"/>
        </w:rPr>
        <w:t>—</w:t>
      </w:r>
      <w:r>
        <w:rPr>
          <w:rFonts w:ascii="Times New Roman;serif" w:hAnsi="Times New Roman;serif"/>
          <w:b w:val="false"/>
          <w:color w:val="000000"/>
          <w:sz w:val="20"/>
        </w:rPr>
        <w:t xml:space="preserve">We include the results of operations of the businesses that we acquire as of the respective dates of acquisition. We allocate the fair value of the purchase price of our business acquisitions to the tangible and intangible assets acquired and liabilities assumed based on their estimated fair values. The excess of the purchase price over the fair values of these identifiable assets and liabilities is recorded as goodwill. The excess of the fair values of the net assets acquired over the net purchase consideration is recorded as a gain on bargain purchase within other income </w:t>
      </w:r>
      <w:r>
        <w:rPr>
          <w:rFonts w:ascii="Times New Roman;serif" w:hAnsi="Times New Roman;serif"/>
          <w:b w:val="false"/>
          <w:color w:val="000000"/>
          <w:sz w:val="20"/>
          <w:shd w:fill="FFFFFF" w:val="clear"/>
        </w:rPr>
        <w:t>(expense)</w:t>
      </w:r>
      <w:r>
        <w:rPr>
          <w:color w:val="000000"/>
        </w:rPr>
        <w:t>—</w:t>
      </w:r>
      <w:r>
        <w:rPr>
          <w:rFonts w:ascii="Times New Roman;serif" w:hAnsi="Times New Roman;serif"/>
          <w:b w:val="false"/>
          <w:color w:val="000000"/>
          <w:sz w:val="20"/>
        </w:rPr>
        <w:t>net on the consolidated statements of income. We often continue to gather additional information throughout the measurement period, not to exceed one year from the acquisition date. Measurement period adjustments that relate to facts and circumstances that existed as of the acquisition date are generally recorded with a corresponding adjustment to goodwill, as if the accounting had been completed at the acquisition date. Adjustments identified after the measurement period are recognized in the consolidated statements of income in the period identified.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Impairment of Long-Lived Assets</w:t>
      </w:r>
      <w:r>
        <w:rPr>
          <w:color w:val="000000"/>
        </w:rPr>
        <w:t>—</w:t>
      </w:r>
      <w:r>
        <w:rPr>
          <w:rFonts w:ascii="Times New Roman;serif" w:hAnsi="Times New Roman;serif"/>
          <w:b w:val="false"/>
          <w:color w:val="000000"/>
          <w:sz w:val="20"/>
        </w:rPr>
        <w:t>We evaluate events and changes in circumstances that could indicate carrying amounts of long-lived assets, including intangible assets, may not be recoverable. When such events or changes in circumstances occur, we assess the recoverability of long-lived assets by determining whether the carrying value of such assets will be recovered through undiscounted expected future cash flows. If the total of the future undiscounted cash flows is less than the carrying amount of those assets, we record an impairment charge in the period in which we make the determination. If such assets are considered to be impaired, the impairment to be recognized is measured by the amount by which the carrying amount of the assets exceeds the fair value of the assets. There were no impairments of long-lived assets in 2025, 2024 and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Goodwill</w:t>
      </w:r>
      <w:r>
        <w:rPr>
          <w:color w:val="000000"/>
        </w:rPr>
        <w:t>—</w:t>
      </w:r>
      <w:r>
        <w:rPr>
          <w:rFonts w:ascii="Times New Roman;serif" w:hAnsi="Times New Roman;serif"/>
          <w:b w:val="false"/>
          <w:color w:val="000000"/>
          <w:sz w:val="20"/>
        </w:rPr>
        <w:t>Goodwill represents the excess of purchase consideration over the estimated fair value of net assets of businesses acquired in a business combination. Goodwill acquired in a business combination is not amortized, but instead tested for impairment at least annually during the fourth quarter, or sooner when circumstances indicate an impairment may exist. We perform a qualitative assessment in the fourth quarter of each year, or more frequently if indicators of potential impairment exist, to determine if any events or circumstances exist, such as an adverse change in business climate or a decline in the overall industry that would indicate that it would more likely than not reduce the fair value of a reporting unit below its carrying amount, including goodwill. If such evaluation indicates that it is more likely than not that the fair value of a reporting unit is less that its carrying amount, then the quantitative impairment test will be performed. Under the quantitative impairment test, if the carrying amount of a reporting unit exceeds its fair value, any excess is recognized as an impairment loss in goodwill, limited to the total amount of goodwill allocated to that reporting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We performed our annual goodwill impairment assessment and did not identify any impairment indicators as a result of the review. As of December 31, 2025 and 2024, we h</w:t>
      </w:r>
      <w:r>
        <w:rPr>
          <w:rFonts w:ascii="Times New Roman;serif" w:hAnsi="Times New Roman;serif"/>
          <w:b w:val="false"/>
          <w:color w:val="000000"/>
          <w:sz w:val="20"/>
          <w:shd w:fill="FFFFFF" w:val="clear"/>
        </w:rPr>
        <w:t>ad one reporti</w:t>
      </w:r>
      <w:r>
        <w:rPr>
          <w:rFonts w:ascii="Times New Roman;serif" w:hAnsi="Times New Roman;serif"/>
          <w:b w:val="false"/>
          <w:color w:val="000000"/>
          <w:sz w:val="20"/>
        </w:rPr>
        <w:t>ng unit.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shd w:fill="FFFFFF" w:val="clear"/>
        </w:rPr>
        <w:t>Other Intangible Assets</w:t>
      </w:r>
      <w:r>
        <w:rPr>
          <w:color w:val="000000"/>
          <w:shd w:fill="FFFFFF" w:val="clear"/>
        </w:rPr>
        <w:t>—</w:t>
      </w:r>
      <w:r>
        <w:rPr>
          <w:rFonts w:ascii="Times New Roman;serif" w:hAnsi="Times New Roman;serif"/>
          <w:b w:val="false"/>
          <w:color w:val="000000"/>
          <w:sz w:val="20"/>
          <w:shd w:fill="FFFFFF" w:val="clear"/>
        </w:rPr>
        <w:t xml:space="preserve">Intangible assets with finite lives are carried at cost, less accumulated amortization. Amortization is computed using the </w:t>
      </w:r>
      <w:r>
        <w:rPr>
          <w:rFonts w:ascii="Times New Roman;serif" w:hAnsi="Times New Roman;serif"/>
          <w:b w:val="false"/>
          <w:color w:val="000000"/>
          <w:sz w:val="20"/>
        </w:rPr>
        <w:t>straight-line or accelerated method over the estimated economic lives of the assets, which range from one to ten years.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Income Taxes</w:t>
      </w:r>
      <w:r>
        <w:rPr>
          <w:color w:val="000000"/>
        </w:rPr>
        <w:t>—</w:t>
      </w:r>
      <w:r>
        <w:rPr>
          <w:rFonts w:ascii="Times New Roman;serif" w:hAnsi="Times New Roman;serif"/>
          <w:b w:val="false"/>
          <w:color w:val="000000"/>
          <w:sz w:val="20"/>
        </w:rPr>
        <w:t>We record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Deferred tax assets and liabilities are measured using the currently enacted tax rates that apply to taxable income in effect for the years in which those tax assets and liabilities are expected to be realized or settled. Valuation allowances are provided when necessary to reduce deferred tax assets to the amount expected to be realized.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process of preparing our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our consolidated balance sheets. In general, deferred tax assets represent future tax benefits to be received when certain expenses previously recognized in our consolidated statements of income become deductible expenses under applicable income tax laws, or loss or credit carryforwards are utilized.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We continue to assess the need for a valuation allowance on the deferred tax assets by evaluating both positive and negative evidence that may exist. Any adjustment to the valuation allowance on deferred tax assets would be recorded in the consolidated statements of income for the period that the adjustment is determined to be required.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tax benefits from an uncertain tax position only if it is more likely than not, based on the technical merits of the position, that the tax position will be sustained on examination by the tax authorities. The tax benefits recognized in the financial statements from such positions are then measured based on the largest benefit that has a greater than 50% likelihood of being realized upon ultimate settlement.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account for the tax effect of the GILTI as a current period expense.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H.R. 1, an Act to Provide for Reconciliation Pursuant to Title II of House Concurrent Resolution 14 (the “Act”) commonly referred to as the One Big Beautiful Bill Act, was enacted. The Act makes permanent certain elements of the Tax Cuts and Jobs Act, including immediate expensing of U.S. research and development expenditures, immediate expensing of certain eligible assets, and various modifications to the international tax framework. As a result of the Act, our income tax liability in 2025 decreased by $120.0 million and our GAAP effective tax rate for 2025 increased by one percentage point.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Stock-Based Compensation</w:t>
      </w:r>
      <w:r>
        <w:rPr>
          <w:color w:val="000000"/>
        </w:rPr>
        <w:t>—</w:t>
      </w:r>
      <w:r>
        <w:rPr>
          <w:rFonts w:ascii="Times New Roman;serif" w:hAnsi="Times New Roman;serif"/>
          <w:b w:val="false"/>
          <w:color w:val="000000"/>
          <w:sz w:val="20"/>
        </w:rPr>
        <w:t>The fair value of restricted stock units (“RSUs”) is based on the closing market price of our common stock on the date of grant. We have elected to use the Black-Scholes-Merton (“Black-Scholes”) pricing model to determine the fair value of our stock options and the Monte Carlo simulation pricing model to determine the fair value of our performance stock units (“PSUs”). Stock-based compensation expense of our RSUs and options is amortized on a straight-line basis over the service period and stock-based compensation expense of our PSUs is amortized using a graded vesting method over the vesting period. We account for forfeitures of all stock-based payment awards when they occur.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Leases</w:t>
      </w:r>
      <w:r>
        <w:rPr>
          <w:color w:val="000000"/>
        </w:rPr>
        <w:t>—</w:t>
      </w:r>
      <w:r>
        <w:rPr>
          <w:rFonts w:ascii="Times New Roman;serif" w:hAnsi="Times New Roman;serif"/>
          <w:b w:val="false"/>
          <w:color w:val="000000"/>
          <w:sz w:val="20"/>
        </w:rPr>
        <w:t>We determine if an arrangement is a lease at inception. We evaluate the classification of leases at commencement and, as necessary, at modification. The right-of-use (“ROU”) assets and the short- and long-term lease liabilities from our operating leases are included in other assets, accrued liabilities and other liabilities in our consolidated balance sheets, respectively. The corresponding assets and, the short- and long-term lease liabilities from our finance leases are included in property and equipment, accrued liabilities and other liabilities in our consolidated balance sheets,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and initial direct costs, net of lease incentives. Certain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recognize lease liabilities or ROU assets for short-term leases (leases that, at the commencement date, have a lease term of 12 months or less and do not include an option to purchase the underlying asset that we are reasonably certain to exercise). We do not allocate the contract consideration for operating lease contracts with lease and non-lease components, and account for the lease and non-lease components as a single lease component.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under our lease arrangements are primarily fixed; however, certain lease agreements contain variable payments, which are expensed as incurred and not included in the operating lease ROU assets and liabilities. Variable lease payments primarily include common area maintenance charges, real estate taxes, certain parking expense, utilities based on actual usage, and insurance costs. Lease expense for lease payments for our operating leases is recognized on a straight-line basis over the term of the lease. We begin recognizing rent expense on the date that a lessor makes an underlying asset that is subject to the lease available for our use. For our finance leases, we recognize amortization expense from the amortization of the corresponding assets and interest expense on the related lease liabilities.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Advertising Expense</w:t>
      </w:r>
      <w:r>
        <w:rPr>
          <w:color w:val="000000"/>
        </w:rPr>
        <w:t>—</w:t>
      </w:r>
      <w:r>
        <w:rPr>
          <w:rFonts w:ascii="Times New Roman;serif" w:hAnsi="Times New Roman;serif"/>
          <w:b w:val="false"/>
          <w:color w:val="000000"/>
          <w:sz w:val="20"/>
        </w:rPr>
        <w:t>Advertising costs are expensed when incurred and are included in operating expenses in the accompanying consolidated statements of income. Our advertising expenses were not material for any periods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Research and Development Costs</w:t>
      </w:r>
      <w:r>
        <w:rPr>
          <w:color w:val="000000"/>
        </w:rPr>
        <w:t>—</w:t>
      </w:r>
      <w:r>
        <w:rPr>
          <w:rFonts w:ascii="Times New Roman;serif" w:hAnsi="Times New Roman;serif"/>
          <w:b w:val="false"/>
          <w:color w:val="000000"/>
          <w:sz w:val="20"/>
        </w:rPr>
        <w:t>Research and development costs are expensed as incurred, and primarily consist of personnel costs. Research and development costs also include ASIC and system prototype and certification-related expenses, depreciation of property and equipment and facility-related expenses. The majority of our research and development is focused on software and hardware development.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Software Development Costs</w:t>
      </w:r>
      <w:r>
        <w:rPr>
          <w:color w:val="000000"/>
        </w:rPr>
        <w:t>—</w:t>
      </w:r>
      <w:r>
        <w:rPr>
          <w:rFonts w:ascii="Times New Roman;serif" w:hAnsi="Times New Roman;serif"/>
          <w:b w:val="false"/>
          <w:color w:val="000000"/>
          <w:sz w:val="20"/>
        </w:rPr>
        <w:t>The costs to develop software that is marketed have not been capitalized as we believe our current software development process is essentially completed concurrently with the establishment of technological feasibility. Such costs are expensed as incurred and included in research and development in our consolidated statements of income.</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costs to develop software for internal use are capitalized based on qualifying criteria. These costs consist of internal compensation related costs and external direct costs incurred during the application development stage. Such costs are amortized over the software’s estimated useful life. Internal use software development costs capitalized were not material for any periods presented.</w:t>
      </w:r>
    </w:p>
    <w:p>
      <w:pPr>
        <w:pStyle w:val="TextBody"/>
        <w:bidi w:val="0"/>
        <w:spacing w:lineRule="auto" w:line="276" w:before="0" w:after="0"/>
        <w:ind w:left="0" w:right="0" w:firstLine="720"/>
        <w:jc w:val="left"/>
        <w:rPr/>
      </w:pPr>
      <w:r>
        <w:rPr>
          <w:rFonts w:ascii="Times New Roman;serif" w:hAnsi="Times New Roman;serif"/>
          <w:b/>
          <w:color w:val="000000"/>
          <w:sz w:val="20"/>
        </w:rPr>
        <w:t>Deferred Contract Costs and Commission Expense</w:t>
      </w:r>
      <w:r>
        <w:rPr>
          <w:color w:val="000000"/>
        </w:rPr>
        <w:t>—</w:t>
      </w:r>
      <w:r>
        <w:rPr>
          <w:rFonts w:ascii="Times New Roman;serif" w:hAnsi="Times New Roman;serif"/>
          <w:b w:val="false"/>
          <w:color w:val="000000"/>
          <w:sz w:val="20"/>
        </w:rPr>
        <w:t>Sales commissions earned by our sales force are considered incremental and recoverable costs of obtaining a contract with a customer. We recognize sales commissions expenses related to product sales upfront while sales commissions expenses for service contracts are deferred as deferred contract costs in the consolidated balance sheets and amortized over the applicable amortization period. Commission costs for initial contracts that are not commensurate with commissions on renewal contracts are amortized on a straight-line basis over the period of benefit, which we have determined to be five years and which is typically longer than the initial contract term. The amortization of deferred contract costs is included in sales and marketing expenses in our consolidated statements of income. Amortization of deferred contract costs during 2025, 2024 and 2023 was $336.3 million, $293.7 million and $266.3 million, respectively. No impairment loss of deferred contract costs asset was recognized during 2025, 2024 and 2023.</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color w:val="000000"/>
          <w:sz w:val="20"/>
        </w:rPr>
        <w:t>Deferred Revenue</w:t>
      </w:r>
      <w:r>
        <w:rPr>
          <w:color w:val="000000"/>
        </w:rPr>
        <w:t>—</w:t>
      </w:r>
      <w:r>
        <w:rPr>
          <w:rFonts w:ascii="Times New Roman;serif" w:hAnsi="Times New Roman;serif"/>
          <w:b w:val="false"/>
          <w:color w:val="000000"/>
          <w:sz w:val="20"/>
        </w:rPr>
        <w:t>Deferred revenue consists of amounts that have been invoiced but that have not yet been recognized as revenue. Deferred revenue that will be recognized during the succeeding 12-month period is recorded as current deferred revenue and the remaining portion is recorded as non-current deferred revenue. The majority of deferred revenue is comprised of security subscription and technical support services which are invoiced upfront and delivered over 12 months or longer.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Revenue Recognition</w:t>
      </w:r>
      <w:r>
        <w:rPr>
          <w:color w:val="000000"/>
        </w:rPr>
        <w:t>—</w:t>
      </w:r>
      <w:r>
        <w:rPr>
          <w:rFonts w:ascii="Times New Roman;serif" w:hAnsi="Times New Roman;serif"/>
          <w:b w:val="false"/>
          <w:color w:val="000000"/>
          <w:sz w:val="20"/>
        </w:rPr>
        <w:t>Our revenue consists of product and service revenue. Revenues are recognized when control of these goods or services is transferred to our customers, in an amount that reflects the consideration we expect to be entitled to in exchange for those goods or services. We determine revenue recognition through the following steps: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identification of a contract or contracts with a customer;</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the performance obligations in a contract, including evaluation of performance obligations and evaluating the distinct goods or services in a contract;</w:t>
      </w:r>
    </w:p>
    <w:p>
      <w:pPr>
        <w:pStyle w:val="TextBody"/>
        <w:bidi w:val="0"/>
        <w:spacing w:before="0" w:after="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determination of a transaction price;</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allocation of a transaction price to the performance obligations in a contract; and</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color w:val="000000"/>
        </w:rPr>
        <w:t>•</w:t>
      </w:r>
      <w:r>
        <w:rPr>
          <w:rFonts w:ascii="Times New Roman;serif" w:hAnsi="Times New Roman;serif"/>
          <w:b w:val="false"/>
          <w:color w:val="000000"/>
          <w:sz w:val="20"/>
        </w:rPr>
        <w:t>recognition of revenue when, or as, we satisfy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a significant amount of product sales from FortiGate, a secure networking hardware which include a broad set of built-in security and networking features and functionalities, including firewall, next-generation firewall, secure web gateway, SSL inspection, software-defined wide-area network, intrusion prevention, SSL data leak prevention, virtual private network, switch and wireless controller and wide area network edge.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product revenue upon shipment when control of the promised goods is transferred to the customer. Our term-based software licenses represent multiple performance obligations, which include software licenses and software support services where the software licenses are recognized upfront within product revenue upon transfer of control, and the associated software support services are recognized ratably over the service term as service revenue. </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 revenue relates to sales of our FortiGuard and other security subscriptions, FortiCare technical support services and other services. Our typical subscription and support term is one to five years. We generally recognize revenue from these services ratably over the service term because of continuous transfer of control to the customer. We also generate a portion of our revenue from other services consisting of professional services and training. Security subscription include SaaS which is either hosted by us or provided through cloud providers. We recognize revenue from professional and training services as the services are provided. We recognize revenue from SaaS as the subscription service is delivered over the term, or on a monthly usage basis.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sales contracts typically contain performance obligations, such as hardware, software license, security subscription, technical support services, SaaS and other services, which are generally capable of being distinct and accounted for as separate performance obligations. Our hardware and software licenses have significant standalone functionalities and capabilities. Accordingly, the hardware and software licenses are distinct from the security subscription and technical support services, as a customer can benefit from the product without the services and the services are separately identifiable within a contract. We allocate the transaction price to each performance obligation based on relative standalone selling price. We establish standalone selling price using the prices charged for a deliverable when sold separately. If not observable through past transactions, we determine standalone selling price by considering multiple historical factors including, but not limited to, cost of products, gross margin objectives, pricing practices, geographies and the term of a service contract. Revenue is reported net of sales tax.</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using the expected-value method based on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refund liabilities, which include sales returns reserve and customer rebates, was $52.0 million and $71.8 million as of December 31, 2025 and 2024, respectively, and is included in accrued liabilities in our consolidated balance sheet.</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invoice at the time of our sale for the total price of the hardware, software licenses, security subscription and technical support and other services. Standard payment terms are generally no more than 60 days, though we continue to offer extended payment terms to certain distributors. Amounts billed and due from our customers are classified as receivables on the balance sheet and do not bear interest.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Shipping and handling fees charged to our customers are recognized as revenue in the period shipped and the related costs for providing these services are recorded in cost of revenue. Shipping and handling fees recognized were not material during 2025, 2024 and 2023.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Warranties</w:t>
      </w:r>
      <w:r>
        <w:rPr>
          <w:color w:val="000000"/>
        </w:rPr>
        <w:t>—</w:t>
      </w:r>
      <w:r>
        <w:rPr>
          <w:rFonts w:ascii="Times New Roman;serif" w:hAnsi="Times New Roman;serif"/>
          <w:b w:val="false"/>
          <w:color w:val="000000"/>
          <w:sz w:val="20"/>
        </w:rPr>
        <w:t>We generally provide a one-year warranty for most hardware products and a 90-day warranty for software. We also provide extended warranties under the terms of our support agreements. A provision for estimated future costs related to warranty activities in the first year after product sale is recorded as a component of cost of product revenues when the product revenue is recognized, based upon historical product failure rates and historical costs incurred in correcting product failures. Warranty costs related to extended warranties sold under support agreements are recognized as cost of service revenue as incurred. Accrued warranty liability was not material as of December 31, 2025 and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Contingent Liabilities</w:t>
      </w:r>
      <w:r>
        <w:rPr>
          <w:color w:val="000000"/>
        </w:rPr>
        <w:t>—</w:t>
      </w:r>
      <w:r>
        <w:rPr>
          <w:rFonts w:ascii="Times New Roman;serif" w:hAnsi="Times New Roman;serif"/>
          <w:b w:val="false"/>
          <w:color w:val="000000"/>
          <w:sz w:val="20"/>
        </w:rPr>
        <w:t xml:space="preserve">From time to time, we are involved in disputes, litigation, and other legal actions. There are many uncertainties associated with any disputes, litigation and other legal actions, and these actions or other third-party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against us may cause us to incur costly litigation fees, costs and substantial settlement charges, and possibly subject us to damages and other penalties, which are inherently difficult to estimate and could adversely affect our results of operations. In addition, the resolution of any IP litigation may require us to make royalty payments, which could adversely affect our gross margins in future periods. We periodically review significant claims and litigation matters for the probability of an adverse outcome. Estimates can change as individual claims develop. The actual liability in any such matters may be materially different from our estimates, which could result in the need to adjust our liability and record additional expenses, which may be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Recently Adopted Accounting Standards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(the “FASB”) issued Accounting Standards Update (“ASU”) 2023-09, Income Taxes (Topic 740): Improvements to Income Tax Disclosures, which includes amendments that further enhance income tax disclosures, primarily through standardization and disaggregation of rate reconciliation categories and income taxes paid by jurisdiction. We adopted ASU 2023-09 for our annual period beginning fiscal year 2025 on a prospective basis. Refer to Note 13. Income Taxes.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Standards Not Yet Effective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Expense Disaggregation Disclosures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and in January 2025, the FASB issued ASU No. 2025-01, Income Statement—Reporting Comprehensive Income—Expense Disaggregation Disclosures (Subtopic 220-40): Clarifying the Effective Date, which clarified the effective date of ASU 2024-03. ASU 2024-03 enhances the disclosures required for expense disaggregation in our annual and interim consolidated financial statements. The amendments are effective for our annual reporting period beginning fiscal 2027, with early adoption permitted, and can be applied prospectively or retrospectively. We are currently evaluating the ASU to determine its impact on our disclosures.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2025-05—Financial Instruments—Credit Losses (Topic 326): Measurement of Credit Losses for Accounts Receivable and Contract Assets (“ASU 2025-05”), which provides a practical expedient for estimating expected credit losses for current accounts receivable and current contract assets that arise from transactions accounted for under Revenue from Contracts with Customers (Topic 606). The amendments are effective for our annual reporting period beginning with fiscal year 2026 and interim reporting periods within those annual reporting periods on a prospective basis, with early adoption permitted. We are currently evaluating ASU 2025-05 to determine its impact on our consolidated financial statements and related disclosures.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Internal-Use Software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amends the cost capitalization criteria for internal-use software development costs by removing all references to prescriptive and sequential software project development stages and providing new guidance on how to evaluate whether the probable-to-complete recognition threshold has been met. The amendments are effective for our annual period beginning fiscal year 2028 and interim reporting periods within those annual reporting periods and can be applied prospectively, retrospectively, or via a modified prospective transition method, with early adoption permitted. We are currently assessing adoption timing and the method of adoption.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major product and service lines (in millions):</w:t>
      </w:r>
    </w:p>
    <w:tbl>
      <w:tblPr>
        <w:tblW w:w="6357" w:type="dxa"/>
        <w:jc w:val="center"/>
        <w:tblInd w:w="0" w:type="dxa"/>
        <w:tblLayout w:type="fixed"/>
        <w:tblCellMar>
          <w:top w:w="28" w:type="dxa"/>
          <w:left w:w="28" w:type="dxa"/>
          <w:bottom w:w="28" w:type="dxa"/>
          <w:right w:w="28" w:type="dxa"/>
        </w:tblCellMar>
      </w:tblPr>
      <w:tblGrid>
        <w:gridCol w:w="868"/>
        <w:gridCol w:w="763"/>
        <w:gridCol w:w="769"/>
        <w:gridCol w:w="211"/>
        <w:gridCol w:w="766"/>
        <w:gridCol w:w="109"/>
        <w:gridCol w:w="109"/>
        <w:gridCol w:w="109"/>
        <w:gridCol w:w="109"/>
        <w:gridCol w:w="211"/>
        <w:gridCol w:w="766"/>
        <w:gridCol w:w="109"/>
        <w:gridCol w:w="109"/>
        <w:gridCol w:w="109"/>
        <w:gridCol w:w="109"/>
        <w:gridCol w:w="211"/>
        <w:gridCol w:w="76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Security subscription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support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service revenue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2871" w:type="dxa"/>
            <w:gridSpan w:val="12"/>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and 2024, we recognized $3.26 billion and $2.84 billion in revenue that was included in the deferred revenue balance as of December 31, 2024 and 2023, respectively.</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Transaction Price Allocated to the Remaining Performance Obligations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aggregate amount of the transaction price allocated to remaining performance obligations was $7.18 billion, which was substantially comprised of deferred security subscription and technical support services revenue as well as unbilled contract revenue from non-cancellable contracts that will be recognized in future periods. We expect to recognize approximately $3.66 billion as revenue over the next 12 months, $2.80 billion in years two and three,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3.     FINANCIAL INSTRUMENTS AND FAIR VALUE</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 xml:space="preserve">Short-Term and Long-Term Investments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short-term and long-term investments comprised of available-for-sale investments and marketable equity securities. The following tables summarize our short-term and long-term investments (in millions):</w:t>
      </w:r>
    </w:p>
    <w:tbl>
      <w:tblPr>
        <w:tblW w:w="8690" w:type="dxa"/>
        <w:jc w:val="center"/>
        <w:tblInd w:w="0" w:type="dxa"/>
        <w:tblLayout w:type="fixed"/>
        <w:tblCellMar>
          <w:top w:w="28" w:type="dxa"/>
          <w:left w:w="28" w:type="dxa"/>
          <w:bottom w:w="28" w:type="dxa"/>
          <w:right w:w="28" w:type="dxa"/>
        </w:tblCellMar>
      </w:tblPr>
      <w:tblGrid>
        <w:gridCol w:w="1315"/>
        <w:gridCol w:w="1156"/>
        <w:gridCol w:w="1159"/>
        <w:gridCol w:w="211"/>
        <w:gridCol w:w="766"/>
        <w:gridCol w:w="109"/>
        <w:gridCol w:w="109"/>
        <w:gridCol w:w="109"/>
        <w:gridCol w:w="109"/>
        <w:gridCol w:w="270"/>
        <w:gridCol w:w="520"/>
        <w:gridCol w:w="141"/>
        <w:gridCol w:w="109"/>
        <w:gridCol w:w="109"/>
        <w:gridCol w:w="109"/>
        <w:gridCol w:w="265"/>
        <w:gridCol w:w="528"/>
        <w:gridCol w:w="138"/>
        <w:gridCol w:w="109"/>
        <w:gridCol w:w="109"/>
        <w:gridCol w:w="109"/>
        <w:gridCol w:w="211"/>
        <w:gridCol w:w="76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Certificates of deposit and term deposits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Certificates of deposit and term deposits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and long-term investments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show the gross unrealized losses and the related fair values of our available-for-sale investments that have been in a continuous unrealized loss position (in millions): </w:t>
      </w:r>
    </w:p>
    <w:tbl>
      <w:tblPr>
        <w:tblW w:w="10205" w:type="dxa"/>
        <w:jc w:val="center"/>
        <w:tblInd w:w="0" w:type="dxa"/>
        <w:tblLayout w:type="fixed"/>
        <w:tblCellMar>
          <w:top w:w="28" w:type="dxa"/>
          <w:left w:w="28" w:type="dxa"/>
          <w:bottom w:w="28" w:type="dxa"/>
          <w:right w:w="28" w:type="dxa"/>
        </w:tblCellMar>
      </w:tblPr>
      <w:tblGrid>
        <w:gridCol w:w="1108"/>
        <w:gridCol w:w="861"/>
        <w:gridCol w:w="863"/>
        <w:gridCol w:w="211"/>
        <w:gridCol w:w="766"/>
        <w:gridCol w:w="109"/>
        <w:gridCol w:w="109"/>
        <w:gridCol w:w="109"/>
        <w:gridCol w:w="109"/>
        <w:gridCol w:w="265"/>
        <w:gridCol w:w="528"/>
        <w:gridCol w:w="138"/>
        <w:gridCol w:w="109"/>
        <w:gridCol w:w="109"/>
        <w:gridCol w:w="109"/>
        <w:gridCol w:w="211"/>
        <w:gridCol w:w="406"/>
        <w:gridCol w:w="109"/>
        <w:gridCol w:w="109"/>
        <w:gridCol w:w="109"/>
        <w:gridCol w:w="109"/>
        <w:gridCol w:w="270"/>
        <w:gridCol w:w="520"/>
        <w:gridCol w:w="141"/>
        <w:gridCol w:w="109"/>
        <w:gridCol w:w="109"/>
        <w:gridCol w:w="109"/>
        <w:gridCol w:w="211"/>
        <w:gridCol w:w="766"/>
        <w:gridCol w:w="109"/>
        <w:gridCol w:w="109"/>
        <w:gridCol w:w="109"/>
        <w:gridCol w:w="109"/>
        <w:gridCol w:w="262"/>
        <w:gridCol w:w="522"/>
        <w:gridCol w:w="194"/>
      </w:tblGrid>
      <w:tr>
        <w:trPr/>
        <w:tc>
          <w:tcPr>
            <w:tcW w:w="110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72"/>
        <w:gridCol w:w="979"/>
        <w:gridCol w:w="982"/>
        <w:gridCol w:w="211"/>
        <w:gridCol w:w="616"/>
        <w:gridCol w:w="109"/>
        <w:gridCol w:w="109"/>
        <w:gridCol w:w="109"/>
        <w:gridCol w:w="109"/>
        <w:gridCol w:w="265"/>
        <w:gridCol w:w="528"/>
        <w:gridCol w:w="138"/>
        <w:gridCol w:w="109"/>
        <w:gridCol w:w="109"/>
        <w:gridCol w:w="109"/>
        <w:gridCol w:w="211"/>
        <w:gridCol w:w="406"/>
        <w:gridCol w:w="109"/>
        <w:gridCol w:w="109"/>
        <w:gridCol w:w="109"/>
        <w:gridCol w:w="109"/>
        <w:gridCol w:w="270"/>
        <w:gridCol w:w="520"/>
        <w:gridCol w:w="141"/>
        <w:gridCol w:w="109"/>
        <w:gridCol w:w="109"/>
        <w:gridCol w:w="109"/>
        <w:gridCol w:w="211"/>
        <w:gridCol w:w="616"/>
        <w:gridCol w:w="109"/>
        <w:gridCol w:w="109"/>
        <w:gridCol w:w="109"/>
        <w:gridCol w:w="109"/>
        <w:gridCol w:w="262"/>
        <w:gridCol w:w="522"/>
        <w:gridCol w:w="193"/>
      </w:tblGrid>
      <w:tr>
        <w:trPr/>
        <w:tc>
          <w:tcPr>
            <w:tcW w:w="11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and term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available-for-sale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contractual maturities of our available-for-sale investments were (in millions):</w:t>
      </w:r>
    </w:p>
    <w:tbl>
      <w:tblPr>
        <w:tblW w:w="5140" w:type="dxa"/>
        <w:jc w:val="center"/>
        <w:tblInd w:w="0" w:type="dxa"/>
        <w:tblLayout w:type="fixed"/>
        <w:tblCellMar>
          <w:top w:w="28" w:type="dxa"/>
          <w:left w:w="28" w:type="dxa"/>
          <w:bottom w:w="28" w:type="dxa"/>
          <w:right w:w="28" w:type="dxa"/>
        </w:tblCellMar>
      </w:tblPr>
      <w:tblGrid>
        <w:gridCol w:w="902"/>
        <w:gridCol w:w="790"/>
        <w:gridCol w:w="797"/>
        <w:gridCol w:w="221"/>
        <w:gridCol w:w="804"/>
        <w:gridCol w:w="114"/>
        <w:gridCol w:w="109"/>
        <w:gridCol w:w="109"/>
        <w:gridCol w:w="109"/>
        <w:gridCol w:w="221"/>
        <w:gridCol w:w="803"/>
        <w:gridCol w:w="161"/>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to three years</w:t>
            </w:r>
          </w:p>
        </w:tc>
        <w:tc>
          <w:tcPr>
            <w:tcW w:w="10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intend to sell any of the securities in an unrealized loss position and it is not more likely than not that we would be required to sell these securities before recovery of their amortized cost basis, which may be at maturity.</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Realized gains and losses on available-for-sale investments were insignificant in the periods presented.</w:t>
      </w:r>
    </w:p>
    <w:p>
      <w:pPr>
        <w:pStyle w:val="TextBody"/>
        <w:bidi w:val="0"/>
        <w:spacing w:before="0" w:after="0"/>
        <w:ind w:left="0" w:right="0" w:firstLine="720"/>
        <w:jc w:val="left"/>
        <w:rPr/>
      </w:pPr>
      <w:r>
        <w:rPr/>
      </w:r>
    </w:p>
    <w:p>
      <w:pPr>
        <w:pStyle w:val="TextBody"/>
        <w:bidi w:val="0"/>
        <w:spacing w:lineRule="auto" w:line="252"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fair value of our marketable equity securities are recorded in other income (expense)—net on the consolidated statements of income. We recognized $10.8 million and $26.4 million gain and $4.4 million loss in 2025, 2024 and 2023, respectively.</w:t>
      </w:r>
    </w:p>
    <w:p>
      <w:pPr>
        <w:pStyle w:val="TextBody"/>
        <w:bidi w:val="0"/>
        <w:spacing w:before="0" w:after="0"/>
        <w:ind w:left="0" w:right="0" w:firstLine="648"/>
        <w:jc w:val="left"/>
        <w:rPr/>
      </w:pPr>
      <w:r>
        <w:rPr/>
      </w:r>
    </w:p>
    <w:p>
      <w:pPr>
        <w:pStyle w:val="TextBody"/>
        <w:bidi w:val="0"/>
        <w:spacing w:lineRule="auto" w:line="252" w:before="0" w:after="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Accounting—We apply the following fair value hierarchy for disclosure of the inputs used to measure fair value. This hierarchy prioritizes the inputs into three broad levels: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1—Inputs are unadjusted quoted prices in active markets for identical assets or liabilities.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Level 3—Unobservable inputs based on our own assumptions used to measure assets and liabilities at fair value. The inputs require significant management judgment or estimation.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measure the fair value of money market funds, certain U.S. government and agency securities and marketable equity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Assets Measured at Fair Value on a Recurring Basis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our financial assets measured at fair value on a recurring basis (in millions):</w:t>
      </w:r>
    </w:p>
    <w:tbl>
      <w:tblPr>
        <w:tblW w:w="11223" w:type="dxa"/>
        <w:jc w:val="center"/>
        <w:tblInd w:w="0" w:type="dxa"/>
        <w:tblLayout w:type="fixed"/>
        <w:tblCellMar>
          <w:top w:w="28" w:type="dxa"/>
          <w:left w:w="28" w:type="dxa"/>
          <w:bottom w:w="28" w:type="dxa"/>
          <w:right w:w="28" w:type="dxa"/>
        </w:tblCellMar>
      </w:tblPr>
      <w:tblGrid>
        <w:gridCol w:w="431"/>
        <w:gridCol w:w="339"/>
        <w:gridCol w:w="341"/>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70"/>
        <w:gridCol w:w="520"/>
        <w:gridCol w:w="141"/>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67"/>
        <w:gridCol w:w="513"/>
        <w:gridCol w:w="196"/>
      </w:tblGrid>
      <w:tr>
        <w:trPr/>
        <w:tc>
          <w:tcPr>
            <w:tcW w:w="43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Quoted</w:t>
              <w:br/>
              <w:t>Prices in</w:t>
              <w:br/>
              <w:t>Active</w:t>
              <w:br/>
              <w:t>Markets For</w:t>
              <w:br/>
              <w:t>Identical</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Observable</w:t>
              <w:br/>
              <w:t>Remaining</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Unobservable</w:t>
              <w:br/>
              <w:t>Remaining</w:t>
              <w:b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Aggregate</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Quoted</w:t>
              <w:br/>
              <w:t>Prices in</w:t>
              <w:br/>
              <w:t>Active</w:t>
              <w:br/>
              <w:t>Markets For</w:t>
              <w:br/>
              <w:t>Identical</w:t>
              <w:b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Observable</w:t>
              <w:br/>
              <w:t>Remaining</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Significant</w:t>
              <w:br/>
              <w:t>Other</w:t>
              <w:br/>
              <w:t>Unobservable</w:t>
              <w:br/>
              <w:t>Remaining</w:t>
              <w:br/>
              <w:t>Inputs</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Certificates of deposit and term deposits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investments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of the fair value hierarchy during the years ended December 31, 2025 and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net of reserves, consisted of (in millions):</w:t>
      </w:r>
    </w:p>
    <w:tbl>
      <w:tblPr>
        <w:tblW w:w="4076" w:type="dxa"/>
        <w:jc w:val="center"/>
        <w:tblInd w:w="0" w:type="dxa"/>
        <w:tblLayout w:type="fixed"/>
        <w:tblCellMar>
          <w:top w:w="28" w:type="dxa"/>
          <w:left w:w="28" w:type="dxa"/>
          <w:bottom w:w="28" w:type="dxa"/>
          <w:right w:w="28" w:type="dxa"/>
        </w:tblCellMar>
      </w:tblPr>
      <w:tblGrid>
        <w:gridCol w:w="516"/>
        <w:gridCol w:w="453"/>
        <w:gridCol w:w="456"/>
        <w:gridCol w:w="257"/>
        <w:gridCol w:w="750"/>
        <w:gridCol w:w="132"/>
        <w:gridCol w:w="109"/>
        <w:gridCol w:w="109"/>
        <w:gridCol w:w="109"/>
        <w:gridCol w:w="255"/>
        <w:gridCol w:w="744"/>
        <w:gridCol w:w="186"/>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excess and obsolete inventory reserve was $137.5 million and $144.8 million as of December 31, 2025 and 2024, respectively. Inventory write-downs related to excess and obsolete inventory were not material for the year ended December 31, 2025, and were $37.1 million and $35.8 million for the years ended December 31, 2024 and 2023 respectively. These were recorded in cost of product revenue on the consolidated statements of income.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PROPERTY AND EQUIPMENT—Net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equipment—net consisted of (in millions):</w:t>
      </w:r>
    </w:p>
    <w:tbl>
      <w:tblPr>
        <w:tblW w:w="5561" w:type="dxa"/>
        <w:jc w:val="center"/>
        <w:tblInd w:w="0" w:type="dxa"/>
        <w:tblLayout w:type="fixed"/>
        <w:tblCellMar>
          <w:top w:w="28" w:type="dxa"/>
          <w:left w:w="28" w:type="dxa"/>
          <w:bottom w:w="28" w:type="dxa"/>
          <w:right w:w="28" w:type="dxa"/>
        </w:tblCellMar>
      </w:tblPr>
      <w:tblGrid>
        <w:gridCol w:w="1054"/>
        <w:gridCol w:w="923"/>
        <w:gridCol w:w="933"/>
        <w:gridCol w:w="221"/>
        <w:gridCol w:w="804"/>
        <w:gridCol w:w="114"/>
        <w:gridCol w:w="109"/>
        <w:gridCol w:w="109"/>
        <w:gridCol w:w="109"/>
        <w:gridCol w:w="221"/>
        <w:gridCol w:w="803"/>
        <w:gridCol w:w="161"/>
      </w:tblGrid>
      <w:tr>
        <w:trPr/>
        <w:tc>
          <w:tcPr>
            <w:tcW w:w="1054"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Evaluation units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Construction-in-progress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2025, we purchased certain real estate properties in California, United States; Burnaby, Canada; Frankfurt, Germany; Almere, the Netherlands; and London, the United Kingdom, totaling $255.8 million. The purchases were accounted for under the asset acquisition method. The costs of the assets allocated to land and buildings and improvements were $97.3 million and $158.5 million, respectively, based on their relative fair values.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2024, we purchased certain real estate in California, Georgia and New York, United States, and Alberta, Canada, totaling $295.8 million. The purchases were accounted for under the asset acquisition method. The costs of the assets allocated to land, buildings and improvements and furniture and fixtures were $149.0 million, $145.7 million and $1.1 million, respectively, based on their relative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was $101.3 million, $99.7 million and $94.5 million in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BUSINESS COMBINATIONS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2025 Acquisitions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Linksys Holdings, Inc.</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In 2021, we invested $160.0 million in cash for shares of the Series A Preferred Stock of Linksys for a 50.8% ownership interest in the outstanding equity of Linksys. On January 31, 2025 (</w:t>
      </w:r>
      <w:r>
        <w:rPr>
          <w:color w:val="000000"/>
        </w:rPr>
        <w:t>“</w:t>
      </w:r>
      <w:r>
        <w:rPr>
          <w:rFonts w:ascii="Times New Roman;serif" w:hAnsi="Times New Roman;serif"/>
          <w:b w:val="false"/>
          <w:color w:val="000000"/>
          <w:sz w:val="20"/>
          <w:shd w:fill="FFFFFF" w:val="clear"/>
        </w:rPr>
        <w:t>Linksys Acquisition Date</w:t>
      </w:r>
      <w:r>
        <w:rPr>
          <w:color w:val="000000"/>
        </w:rPr>
        <w:t>”</w:t>
      </w:r>
      <w:r>
        <w:rPr>
          <w:rFonts w:ascii="Times New Roman;serif" w:hAnsi="Times New Roman;serif"/>
          <w:b w:val="false"/>
          <w:color w:val="000000"/>
          <w:sz w:val="20"/>
        </w:rPr>
        <w:t>)</w:t>
      </w:r>
      <w:r>
        <w:rPr>
          <w:rFonts w:ascii="Times New Roman;serif" w:hAnsi="Times New Roman;serif"/>
          <w:b w:val="false"/>
          <w:color w:val="000000"/>
          <w:sz w:val="20"/>
          <w:shd w:fill="FFFFFF" w:val="clear"/>
        </w:rPr>
        <w:t xml:space="preserve">, we acquired all of the remaining outstanding Series A Preferred Stock of Linksys for $20.8 million in cash and now own 100% of the outstanding equity of Linksys. Our pre-existing equity method investment in Linksys of </w:t>
      </w:r>
      <w:r>
        <w:rPr>
          <w:rFonts w:ascii="Times New Roman;serif" w:hAnsi="Times New Roman;serif"/>
          <w:b w:val="false"/>
          <w:color w:val="000000"/>
          <w:sz w:val="20"/>
        </w:rPr>
        <w:t>50.8% ownership interest</w:t>
      </w:r>
      <w:r>
        <w:rPr>
          <w:color w:val="000000"/>
          <w:shd w:fill="FFFFFF" w:val="clear"/>
        </w:rPr>
        <w:t xml:space="preserve"> </w:t>
      </w:r>
      <w:r>
        <w:rPr>
          <w:rFonts w:ascii="Times New Roman;serif" w:hAnsi="Times New Roman;serif"/>
          <w:b w:val="false"/>
          <w:color w:val="000000"/>
          <w:sz w:val="20"/>
          <w:shd w:fill="FFFFFF" w:val="clear"/>
        </w:rPr>
        <w:t>was remeasured to the fair value of $21.5 million at the Linksys Acquisition Date, which resulted in a $10.8 million gain</w:t>
      </w:r>
      <w:r>
        <w:rPr>
          <w:color w:val="000000"/>
        </w:rPr>
        <w:t xml:space="preserve"> </w:t>
      </w:r>
      <w:r>
        <w:rPr>
          <w:rFonts w:ascii="Times New Roman;serif" w:hAnsi="Times New Roman;serif"/>
          <w:b w:val="false"/>
          <w:color w:val="000000"/>
          <w:sz w:val="20"/>
        </w:rPr>
        <w:t>recorded in gain (loss) from equity method investments on the consolidated statements of income. Therefore, the aggregate purchase consideration for Linksys’ equity equaling the fair value of the previously owned stock and the purchase price for the remaining stock acquired was $42.3 million.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shd w:fill="FFFFFF" w:val="clear"/>
        </w:rPr>
        <w:t xml:space="preserve">This acquisition was accounted for as a business combination using the acquisition method of accounting. Of the aggregate purchase price, $17.5 million was allocated to identifiable intangible assets acquired and $64.7 million was allocated to other net assets acquired which predominantly included deferred tax asset of $45.8 million, inventory of $21.4 million and cash of $8.8 million, offset by </w:t>
      </w:r>
      <w:r>
        <w:rPr>
          <w:rFonts w:ascii="Times New Roman;serif" w:hAnsi="Times New Roman;serif"/>
          <w:b w:val="false"/>
          <w:color w:val="000000"/>
          <w:sz w:val="20"/>
        </w:rPr>
        <w:t>$11.3 million</w:t>
      </w:r>
      <w:r>
        <w:rPr>
          <w:color w:val="000000"/>
          <w:shd w:fill="FFFFFF" w:val="clear"/>
        </w:rPr>
        <w:t xml:space="preserve"> </w:t>
      </w:r>
      <w:r>
        <w:rPr>
          <w:rFonts w:ascii="Times New Roman;serif" w:hAnsi="Times New Roman;serif"/>
          <w:b w:val="false"/>
          <w:color w:val="000000"/>
          <w:sz w:val="20"/>
          <w:shd w:fill="FFFFFF" w:val="clear"/>
        </w:rPr>
        <w:t>of net other assets and liabilities assumed. The excess of the fair values of the net assets acquired over the net purchase consideration was recorded as a gain on bargain purchase of $39.9 million within other income (expense)</w:t>
      </w:r>
      <w:r>
        <w:rPr>
          <w:color w:val="000000"/>
        </w:rPr>
        <w:t>—</w:t>
      </w:r>
      <w:r>
        <w:rPr>
          <w:rFonts w:ascii="Times New Roman;serif" w:hAnsi="Times New Roman;serif"/>
          <w:b w:val="false"/>
          <w:color w:val="000000"/>
          <w:sz w:val="20"/>
          <w:shd w:fill="FFFFFF" w:val="clear"/>
        </w:rPr>
        <w:t>net on the</w:t>
      </w:r>
      <w:r>
        <w:rPr>
          <w:color w:val="000000"/>
        </w:rPr>
        <w:t xml:space="preserve"> </w:t>
      </w:r>
      <w:r>
        <w:rPr>
          <w:rFonts w:ascii="Times New Roman;serif" w:hAnsi="Times New Roman;serif"/>
          <w:b w:val="false"/>
          <w:color w:val="000000"/>
          <w:sz w:val="20"/>
          <w:shd w:fill="FFFFFF" w:val="clear"/>
        </w:rPr>
        <w:t>consolidated statements of income. The gain on bargain purchase occurred primarily due to the recognition of the deferred tax assets, which were comprised primarily of pre-acquisition federal net operating loss carryforwards with an indefinite carryforward period. In addition, we had previously recorded a deferred tax asset of $30.6 million for an outside basis difference in our investment in Linksys when it was accounted for under the equity method. As a result of the acquisition of the remaining shares, we now account for our investment in Linksys under the consolidation method, and therefore we have derecognized this deferred tax asset. The charge is included in the provision for income taxes on the consolidated statements of income. Acquisition-related costs related to this acquisition were not material and were recorded as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In 2025</w:t>
      </w:r>
      <w:r>
        <w:rPr>
          <w:rFonts w:ascii="Times New Roman;serif" w:hAnsi="Times New Roman;serif"/>
          <w:b w:val="false"/>
          <w:color w:val="000000"/>
          <w:sz w:val="20"/>
          <w:shd w:fill="FFFFFF" w:val="clear"/>
        </w:rPr>
        <w:t>, we completed other acquisitions for total purchase consideration of $38.3 million in cash. We have accounted for the transactions as business combinations and recorded goodwill of $21.9 million, among which $8.6 million of goodwill is expected to be deductible and $13.3 million of goodwill is not deductible for income tax purposes. Acquisition-related costs were not material and were recorded as general and administrative expenses.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2024 Acquisitions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Perception Point Ltd.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December 5, 2024, we acquired certain assets and liabilities of Perception Point Ltd., a business specializing in advanced collaboration and email security, for which we paid in cash. This acquisition was accounted for as a business combination using the acquisition method of accounting. Of the $33.7 million purchase price, $24.5 million was allocated to goodwill, $9.5 million was allocated to developed technology intangible asset, $6.5 million was allocated to customer relationships intangible asset and $6.8 million was allocated to other net liabilities assumed, which predominantly include deferred revenue. Goodwill recorded in connection with this acquisition is primarily attributable to the assembled workforce acquired and the anticipated operational synergies. All acquired goodwill is deductible for U.S. tax purposes. Acquisition-related costs were not material and were recorded as general and administrative expenses.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Next DLP Holdings Limited</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On August 5, 2024, we acquired Next DLP Holdings Limited (“Next DLP”), a privately held insider risk and data loss prevention (“DLP”) company, for approximately </w:t>
      </w:r>
      <w:r>
        <w:rPr>
          <w:rFonts w:ascii="Times New Roman;serif" w:hAnsi="Times New Roman;serif"/>
          <w:b w:val="false"/>
          <w:color w:val="000000"/>
          <w:sz w:val="20"/>
        </w:rPr>
        <w:t>$105.0 million</w:t>
      </w:r>
      <w:r>
        <w:rPr>
          <w:color w:val="000000"/>
          <w:shd w:fill="FFFFFF" w:val="clear"/>
        </w:rPr>
        <w:t xml:space="preserve"> </w:t>
      </w:r>
      <w:r>
        <w:rPr>
          <w:rFonts w:ascii="Times New Roman;serif" w:hAnsi="Times New Roman;serif"/>
          <w:b w:val="false"/>
          <w:color w:val="000000"/>
          <w:sz w:val="20"/>
          <w:shd w:fill="FFFFFF" w:val="clear"/>
        </w:rPr>
        <w:t xml:space="preserve">in cash. We acquired Next DLP in an effort to improve our position in the standalone enterprise DLP market and strengthen our leadership in integrated DLP markets within endpoint and </w:t>
      </w:r>
      <w:r>
        <w:rPr>
          <w:rFonts w:ascii="Times New Roman;serif" w:hAnsi="Times New Roman;serif"/>
          <w:b w:val="false"/>
          <w:color w:val="000000"/>
          <w:sz w:val="20"/>
        </w:rPr>
        <w:t>unified Secure Access Service Edge (“SASE”)</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This acquisition was accounted for as a business combination using the acquisition method of accounting. T</w:t>
      </w:r>
      <w:r>
        <w:rPr>
          <w:rFonts w:ascii="Times New Roman;serif" w:hAnsi="Times New Roman;serif"/>
          <w:b w:val="false"/>
          <w:color w:val="000000"/>
          <w:sz w:val="20"/>
        </w:rPr>
        <w:t xml:space="preserve">he total purchase price was allocated to Next DLP’s identifiable tangible and intangible assets acquired and liabilities assumed based on their estimated fair values using management’s best estimates and assumptions to assign fair value as of the acquisition date. </w:t>
      </w:r>
      <w:r>
        <w:rPr>
          <w:rFonts w:ascii="Times New Roman;serif" w:hAnsi="Times New Roman;serif"/>
          <w:b w:val="false"/>
          <w:color w:val="000000"/>
          <w:sz w:val="20"/>
          <w:shd w:fill="FFFFFF" w:val="clear"/>
        </w:rPr>
        <w:t xml:space="preserve">Of the total purchase price, </w:t>
      </w:r>
      <w:r>
        <w:rPr>
          <w:rFonts w:ascii="Times New Roman;serif" w:hAnsi="Times New Roman;serif"/>
          <w:b w:val="false"/>
          <w:color w:val="000000"/>
          <w:sz w:val="20"/>
        </w:rPr>
        <w:t>$82.6 million</w:t>
      </w:r>
      <w:r>
        <w:rPr>
          <w:color w:val="000000"/>
          <w:shd w:fill="FFFFFF" w:val="clear"/>
        </w:rPr>
        <w:t xml:space="preserve"> </w:t>
      </w:r>
      <w:r>
        <w:rPr>
          <w:rFonts w:ascii="Times New Roman;serif" w:hAnsi="Times New Roman;serif"/>
          <w:b w:val="false"/>
          <w:color w:val="000000"/>
          <w:sz w:val="20"/>
          <w:shd w:fill="FFFFFF" w:val="clear"/>
        </w:rPr>
        <w:t xml:space="preserve">was allocated to goodwill, </w:t>
      </w:r>
      <w:r>
        <w:rPr>
          <w:rFonts w:ascii="Times New Roman;serif" w:hAnsi="Times New Roman;serif"/>
          <w:b w:val="false"/>
          <w:color w:val="000000"/>
          <w:sz w:val="20"/>
        </w:rPr>
        <w:t>$13.5 million</w:t>
      </w:r>
      <w:r>
        <w:rPr>
          <w:color w:val="000000"/>
          <w:shd w:fill="FFFFFF" w:val="clear"/>
        </w:rPr>
        <w:t xml:space="preserve"> </w:t>
      </w:r>
      <w:r>
        <w:rPr>
          <w:rFonts w:ascii="Times New Roman;serif" w:hAnsi="Times New Roman;serif"/>
          <w:b w:val="false"/>
          <w:color w:val="000000"/>
          <w:sz w:val="20"/>
          <w:shd w:fill="FFFFFF" w:val="clear"/>
        </w:rPr>
        <w:t xml:space="preserve">was allocated to developed technology intangible asset, </w:t>
      </w:r>
      <w:r>
        <w:rPr>
          <w:rFonts w:ascii="Times New Roman;serif" w:hAnsi="Times New Roman;serif"/>
          <w:b w:val="false"/>
          <w:color w:val="000000"/>
          <w:sz w:val="20"/>
        </w:rPr>
        <w:t>$10.5 million</w:t>
      </w:r>
      <w:r>
        <w:rPr>
          <w:color w:val="000000"/>
          <w:shd w:fill="FFFFFF" w:val="clear"/>
        </w:rPr>
        <w:t xml:space="preserve"> </w:t>
      </w:r>
      <w:r>
        <w:rPr>
          <w:rFonts w:ascii="Times New Roman;serif" w:hAnsi="Times New Roman;serif"/>
          <w:b w:val="false"/>
          <w:color w:val="000000"/>
          <w:sz w:val="20"/>
          <w:shd w:fill="FFFFFF" w:val="clear"/>
        </w:rPr>
        <w:t xml:space="preserve">was allocated to customer relationships intangible asset, offset by </w:t>
      </w:r>
      <w:r>
        <w:rPr>
          <w:rFonts w:ascii="Times New Roman;serif" w:hAnsi="Times New Roman;serif"/>
          <w:b w:val="false"/>
          <w:color w:val="000000"/>
          <w:sz w:val="20"/>
        </w:rPr>
        <w:t>$1.6 million</w:t>
      </w:r>
      <w:r>
        <w:rPr>
          <w:color w:val="000000"/>
          <w:shd w:fill="FFFFFF" w:val="clear"/>
        </w:rPr>
        <w:t xml:space="preserve"> </w:t>
      </w:r>
      <w:r>
        <w:rPr>
          <w:rFonts w:ascii="Times New Roman;serif" w:hAnsi="Times New Roman;serif"/>
          <w:b w:val="false"/>
          <w:color w:val="000000"/>
          <w:sz w:val="20"/>
          <w:shd w:fill="FFFFFF" w:val="clear"/>
        </w:rPr>
        <w:t xml:space="preserve">of net liabilities assumed, which predominantly included deferred revenue and deferred tax liabilities. Goodwill recorded in connection with this acquisition represents the value we expect to be created through expansion into markets within our existing business and the anticipated operational synergies. The goodwill is deductible for </w:t>
      </w:r>
      <w:r>
        <w:rPr>
          <w:rFonts w:ascii="Times New Roman;serif" w:hAnsi="Times New Roman;serif"/>
          <w:b w:val="false"/>
          <w:color w:val="000000"/>
          <w:sz w:val="20"/>
        </w:rPr>
        <w:t xml:space="preserve">U.S. </w:t>
      </w:r>
      <w:r>
        <w:rPr>
          <w:rFonts w:ascii="Times New Roman;serif" w:hAnsi="Times New Roman;serif"/>
          <w:b w:val="false"/>
          <w:color w:val="000000"/>
          <w:sz w:val="20"/>
          <w:shd w:fill="FFFFFF" w:val="clear"/>
        </w:rPr>
        <w:t>tax purposes. Acquisition-related costs related to this acquisition were not material and were recorded as general and administrative expenses.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Lacework Inc.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On August 1, 2024 </w:t>
      </w:r>
      <w:r>
        <w:rPr>
          <w:rFonts w:ascii="Times New Roman;serif" w:hAnsi="Times New Roman;serif"/>
          <w:b w:val="false"/>
          <w:color w:val="000000"/>
          <w:sz w:val="20"/>
          <w:shd w:fill="FFFFFF" w:val="clear"/>
        </w:rPr>
        <w:t>(</w:t>
      </w:r>
      <w:r>
        <w:rPr>
          <w:color w:val="000000"/>
        </w:rPr>
        <w:t>“</w:t>
      </w:r>
      <w:r>
        <w:rPr>
          <w:rFonts w:ascii="Times New Roman;serif" w:hAnsi="Times New Roman;serif"/>
          <w:b w:val="false"/>
          <w:color w:val="000000"/>
          <w:sz w:val="20"/>
        </w:rPr>
        <w:t>Lacework</w:t>
      </w:r>
      <w:r>
        <w:rPr>
          <w:color w:val="000000"/>
          <w:shd w:fill="FFFFFF" w:val="clear"/>
        </w:rPr>
        <w:t xml:space="preserve"> </w:t>
      </w:r>
      <w:r>
        <w:rPr>
          <w:rFonts w:ascii="Times New Roman;serif" w:hAnsi="Times New Roman;serif"/>
          <w:b w:val="false"/>
          <w:color w:val="000000"/>
          <w:sz w:val="20"/>
          <w:shd w:fill="FFFFFF" w:val="clear"/>
        </w:rPr>
        <w:t>Acquisition Date</w:t>
      </w:r>
      <w:r>
        <w:rPr>
          <w:color w:val="000000"/>
        </w:rPr>
        <w:t>”</w:t>
      </w:r>
      <w:r>
        <w:rPr>
          <w:rFonts w:ascii="Times New Roman;serif" w:hAnsi="Times New Roman;serif"/>
          <w:b w:val="false"/>
          <w:color w:val="000000"/>
          <w:sz w:val="20"/>
        </w:rPr>
        <w:t>), we acquired Lacework Inc. (“Lacework”), a privately held data-driven cloud security company, for $152.3 million in cash. We acquired Lacework with a goal of offering its Cloud-Native Application Protection Platform solution separately as well as integrated with our existing portfolio, forming a comprehensive, AI-driven cloud security platform available from a single vendor, which will help customers identify, prioritize and remediate risks and threats in complex cloud-native infrastructure from code to cloud.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This acquisition was accounted for as a business combination using the acquisition method of accounting. T</w:t>
      </w:r>
      <w:r>
        <w:rPr>
          <w:rFonts w:ascii="Times New Roman;serif" w:hAnsi="Times New Roman;serif"/>
          <w:b w:val="false"/>
          <w:color w:val="000000"/>
          <w:sz w:val="20"/>
        </w:rPr>
        <w:t xml:space="preserve">he total purchase price was allocated to Lacework’s identifiable tangible and intangible assets acquired and liabilities assumed based on their estimated fair values using management’s best estimates and assumptions to assign fair value as of the acquisition date. Of the total purchase price, $244.4 million was allocated to deferred tax assets, $61.3 million allocation to identifiable intangible assets, and $6.2 million cash, offset by net other assets and liabilities assumed of $53.3 million, which predominantly included deferred revenue and other current liabilities. The excess of the fair values of the net assets acquired over the net purchase consideration was recorded as a gain on bargain purchase of $106.3 million </w:t>
      </w:r>
      <w:r>
        <w:rPr>
          <w:rFonts w:ascii="Times New Roman;serif" w:hAnsi="Times New Roman;serif"/>
          <w:b w:val="false"/>
          <w:color w:val="000000"/>
          <w:sz w:val="20"/>
          <w:shd w:fill="FFFFFF" w:val="clear"/>
        </w:rPr>
        <w:t>within other income (expense)</w:t>
      </w:r>
      <w:r>
        <w:rPr>
          <w:color w:val="000000"/>
        </w:rPr>
        <w:t>—</w:t>
      </w:r>
      <w:r>
        <w:rPr>
          <w:rFonts w:ascii="Times New Roman;serif" w:hAnsi="Times New Roman;serif"/>
          <w:b w:val="false"/>
          <w:color w:val="000000"/>
          <w:sz w:val="20"/>
          <w:shd w:fill="FFFFFF" w:val="clear"/>
        </w:rPr>
        <w:t xml:space="preserve">net on the consolidated statements of income. The gain on bargain purchase occurred primarily due to the recognition of the </w:t>
      </w:r>
      <w:r>
        <w:rPr>
          <w:rFonts w:ascii="Times New Roman;serif" w:hAnsi="Times New Roman;serif"/>
          <w:b w:val="false"/>
          <w:color w:val="000000"/>
          <w:sz w:val="20"/>
        </w:rPr>
        <w:t>deferred tax assets. The deferred tax assets were comprised primarily of pre-acquisition federal net operating loss carryforwards with an indefinite carryforward period</w:t>
      </w:r>
      <w:r>
        <w:rPr>
          <w:rFonts w:ascii="Times New Roman;serif" w:hAnsi="Times New Roman;serif"/>
          <w:b w:val="false"/>
          <w:color w:val="000000"/>
          <w:sz w:val="20"/>
          <w:shd w:fill="FFFFFF" w:val="clear"/>
        </w:rPr>
        <w:t>.</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Of the total identified intangible assets acquired $39.5 million was developed technology, $10.0 million was backlog, $7.5 million was customer relationships and $4.3 million was </w:t>
      </w:r>
      <w:r>
        <w:rPr>
          <w:rFonts w:ascii="Times New Roman;serif" w:hAnsi="Times New Roman;serif"/>
          <w:b w:val="false"/>
          <w:color w:val="000000"/>
          <w:sz w:val="20"/>
        </w:rPr>
        <w:t>trade name.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shd w:fill="FFFFFF" w:val="clear"/>
        </w:rPr>
        <w:t xml:space="preserve">The operating results of the acquired company were included in our consolidated financial statements from the date of acquisition, which was August 1, 2024. For the period from August 2, 2024 through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xml:space="preserve">, Lacework contributed $31.1 million of revenue and $45.8 million of a net loss. </w:t>
      </w:r>
      <w:r>
        <w:rPr>
          <w:rFonts w:ascii="Times New Roman;serif" w:hAnsi="Times New Roman;serif"/>
          <w:b w:val="false"/>
          <w:color w:val="000000"/>
          <w:sz w:val="20"/>
        </w:rPr>
        <w:t>Acquisit</w:t>
      </w:r>
      <w:r>
        <w:rPr>
          <w:rFonts w:ascii="Times New Roman;serif" w:hAnsi="Times New Roman;serif"/>
          <w:b w:val="false"/>
          <w:color w:val="000000"/>
          <w:sz w:val="20"/>
          <w:shd w:fill="FFFFFF" w:val="clear"/>
        </w:rPr>
        <w:t>ion-related costs related to this acquisition were not material and were recorded as general and administrative expenses.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Pro Forma Financial Information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unaudited pro forma financial information presents the combined results of operations of Fortinet, Inc., Lacework and Next DLP, as if Lacework and Next DLP had been acquired as of the beginning of business on January 1, 2023. The unaudited pro forma financial information is presented for informational purposes only and is not necessarily indicative of our consolidated results of operations of the combined business that would have been achieved if the acquisitions had taken place at the beginning of business on January 1, 2023, or of the results of our future operations of the combined business. The following unaudited pro forma financial information for all periods presented includes purchase accounting adjustments for amortization of acquired intangible assets, the gain on bargain purchase, and various related tax impacts (in millions):</w:t>
      </w:r>
    </w:p>
    <w:p>
      <w:pPr>
        <w:pStyle w:val="TextBody"/>
        <w:bidi w:val="0"/>
        <w:spacing w:before="0" w:after="0"/>
        <w:ind w:left="0" w:right="0" w:firstLine="720"/>
        <w:jc w:val="left"/>
        <w:rPr/>
      </w:pPr>
      <w:r>
        <w:rPr/>
      </w:r>
    </w:p>
    <w:tbl>
      <w:tblPr>
        <w:tblW w:w="4606" w:type="dxa"/>
        <w:jc w:val="left"/>
        <w:tblInd w:w="0" w:type="dxa"/>
        <w:tblLayout w:type="fixed"/>
        <w:tblCellMar>
          <w:top w:w="28" w:type="dxa"/>
          <w:left w:w="28" w:type="dxa"/>
          <w:bottom w:w="28" w:type="dxa"/>
          <w:right w:w="28" w:type="dxa"/>
        </w:tblCellMar>
      </w:tblPr>
      <w:tblGrid>
        <w:gridCol w:w="667"/>
        <w:gridCol w:w="587"/>
        <w:gridCol w:w="590"/>
        <w:gridCol w:w="211"/>
        <w:gridCol w:w="766"/>
        <w:gridCol w:w="109"/>
        <w:gridCol w:w="109"/>
        <w:gridCol w:w="109"/>
        <w:gridCol w:w="109"/>
        <w:gridCol w:w="211"/>
        <w:gridCol w:w="766"/>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 forma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 forma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Additional Acquisition-Related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acquired companies are included in our consolidated statements of income from the respective dates of acquisition. Acquisition-related costs related to each acquisition were not material. The operating results of the acquired companies were not material in the years of acquisition, except for Lacework as disclosed above. Pro forma information has not been presented, except for Lacework and Next DLP as disclosed above, as the impact of these acquisitions, individually and in the aggregate, in each year were not material to our consolidated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GOODWILL AND OTHER INTANGIBLE ASSETS—Net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carrying amount of goodwill (in millions):</w:t>
      </w:r>
    </w:p>
    <w:tbl>
      <w:tblPr>
        <w:tblW w:w="4416" w:type="dxa"/>
        <w:jc w:val="center"/>
        <w:tblInd w:w="0" w:type="dxa"/>
        <w:tblLayout w:type="fixed"/>
        <w:tblCellMar>
          <w:top w:w="28" w:type="dxa"/>
          <w:left w:w="28" w:type="dxa"/>
          <w:bottom w:w="28" w:type="dxa"/>
          <w:right w:w="28" w:type="dxa"/>
        </w:tblCellMar>
      </w:tblPr>
      <w:tblGrid>
        <w:gridCol w:w="1243"/>
        <w:gridCol w:w="1094"/>
        <w:gridCol w:w="1098"/>
        <w:gridCol w:w="211"/>
        <w:gridCol w:w="61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Additions due to business combinations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impairments to goodwill during 2025, 2024 and 2023 or any previous periods.</w:t>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Intangible Assets—Net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other intangible assets—net (in millions, except years):</w:t>
      </w:r>
    </w:p>
    <w:tbl>
      <w:tblPr>
        <w:tblW w:w="10205" w:type="dxa"/>
        <w:jc w:val="center"/>
        <w:tblInd w:w="0" w:type="dxa"/>
        <w:tblLayout w:type="fixed"/>
        <w:tblCellMar>
          <w:top w:w="28" w:type="dxa"/>
          <w:left w:w="28" w:type="dxa"/>
          <w:bottom w:w="28" w:type="dxa"/>
          <w:right w:w="28" w:type="dxa"/>
        </w:tblCellMar>
      </w:tblPr>
      <w:tblGrid>
        <w:gridCol w:w="944"/>
        <w:gridCol w:w="794"/>
        <w:gridCol w:w="795"/>
        <w:gridCol w:w="964"/>
        <w:gridCol w:w="964"/>
        <w:gridCol w:w="966"/>
        <w:gridCol w:w="109"/>
        <w:gridCol w:w="109"/>
        <w:gridCol w:w="109"/>
        <w:gridCol w:w="211"/>
        <w:gridCol w:w="616"/>
        <w:gridCol w:w="109"/>
        <w:gridCol w:w="109"/>
        <w:gridCol w:w="109"/>
        <w:gridCol w:w="109"/>
        <w:gridCol w:w="445"/>
        <w:gridCol w:w="1304"/>
        <w:gridCol w:w="231"/>
        <w:gridCol w:w="109"/>
        <w:gridCol w:w="109"/>
        <w:gridCol w:w="109"/>
        <w:gridCol w:w="211"/>
        <w:gridCol w:w="511"/>
        <w:gridCol w:w="159"/>
      </w:tblGrid>
      <w:tr>
        <w:trPr/>
        <w:tc>
          <w:tcPr>
            <w:tcW w:w="94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28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2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assets—net</w:t>
            </w:r>
          </w:p>
        </w:tc>
        <w:tc>
          <w:tcPr>
            <w:tcW w:w="2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3"/>
        <w:gridCol w:w="779"/>
        <w:gridCol w:w="781"/>
        <w:gridCol w:w="951"/>
        <w:gridCol w:w="951"/>
        <w:gridCol w:w="952"/>
        <w:gridCol w:w="109"/>
        <w:gridCol w:w="109"/>
        <w:gridCol w:w="109"/>
        <w:gridCol w:w="211"/>
        <w:gridCol w:w="616"/>
        <w:gridCol w:w="109"/>
        <w:gridCol w:w="109"/>
        <w:gridCol w:w="109"/>
        <w:gridCol w:w="109"/>
        <w:gridCol w:w="439"/>
        <w:gridCol w:w="1288"/>
        <w:gridCol w:w="228"/>
        <w:gridCol w:w="109"/>
        <w:gridCol w:w="109"/>
        <w:gridCol w:w="109"/>
        <w:gridCol w:w="211"/>
        <w:gridCol w:w="616"/>
        <w:gridCol w:w="159"/>
      </w:tblGrid>
      <w:tr>
        <w:trPr/>
        <w:tc>
          <w:tcPr>
            <w:tcW w:w="93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Useful Life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assets—net:</w:t>
            </w:r>
          </w:p>
        </w:tc>
        <w:tc>
          <w:tcPr>
            <w:tcW w:w="2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2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technologies</w:t>
            </w:r>
          </w:p>
        </w:tc>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2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2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assets—net</w:t>
            </w:r>
          </w:p>
        </w:tc>
        <w:tc>
          <w:tcPr>
            <w:tcW w:w="2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of finite-lived intangible assets was $50.7 million, $23.1 million and $18.9 million in 2025, 2024, and 2023, respectively.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estimated future amortization expense of finite-lived intangible assets—net (in millions):</w:t>
      </w:r>
    </w:p>
    <w:tbl>
      <w:tblPr>
        <w:tblW w:w="3320" w:type="dxa"/>
        <w:jc w:val="center"/>
        <w:tblInd w:w="0" w:type="dxa"/>
        <w:tblLayout w:type="fixed"/>
        <w:tblCellMar>
          <w:top w:w="28" w:type="dxa"/>
          <w:left w:w="28" w:type="dxa"/>
          <w:bottom w:w="28" w:type="dxa"/>
          <w:right w:w="28" w:type="dxa"/>
        </w:tblCellMar>
      </w:tblPr>
      <w:tblGrid>
        <w:gridCol w:w="884"/>
        <w:gridCol w:w="779"/>
        <w:gridCol w:w="781"/>
        <w:gridCol w:w="211"/>
        <w:gridCol w:w="511"/>
        <w:gridCol w:w="154"/>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Year Ending December 31, </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NET INCOME PER SHARE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PSUs. Dilutive shares of common stock are determined by applying the treasury stock method.</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numerator and denominator used in the calculation of basic and diluted net income per share is (in millions, except per share amounts):</w:t>
      </w:r>
    </w:p>
    <w:tbl>
      <w:tblPr>
        <w:tblW w:w="9866" w:type="dxa"/>
        <w:jc w:val="center"/>
        <w:tblInd w:w="0" w:type="dxa"/>
        <w:tblLayout w:type="fixed"/>
        <w:tblCellMar>
          <w:top w:w="28" w:type="dxa"/>
          <w:left w:w="28" w:type="dxa"/>
          <w:bottom w:w="28" w:type="dxa"/>
          <w:right w:w="28" w:type="dxa"/>
        </w:tblCellMar>
      </w:tblPr>
      <w:tblGrid>
        <w:gridCol w:w="2138"/>
        <w:gridCol w:w="1876"/>
        <w:gridCol w:w="1895"/>
        <w:gridCol w:w="211"/>
        <w:gridCol w:w="766"/>
        <w:gridCol w:w="109"/>
        <w:gridCol w:w="109"/>
        <w:gridCol w:w="109"/>
        <w:gridCol w:w="109"/>
        <w:gridCol w:w="211"/>
        <w:gridCol w:w="766"/>
        <w:gridCol w:w="109"/>
        <w:gridCol w:w="109"/>
        <w:gridCol w:w="109"/>
        <w:gridCol w:w="109"/>
        <w:gridCol w:w="211"/>
        <w:gridCol w:w="766"/>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outstanding-basic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potentially dilutive securities: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to compute diluted net income per share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weighted-average shares of common stock were excluded from the computation of diluted net income per share for the periods presented, as their effect would have been antidilutive (in millions):</w:t>
      </w:r>
    </w:p>
    <w:tbl>
      <w:tblPr>
        <w:tblW w:w="3828" w:type="dxa"/>
        <w:jc w:val="center"/>
        <w:tblInd w:w="0" w:type="dxa"/>
        <w:tblLayout w:type="fixed"/>
        <w:tblCellMar>
          <w:top w:w="28" w:type="dxa"/>
          <w:left w:w="28" w:type="dxa"/>
          <w:bottom w:w="28" w:type="dxa"/>
          <w:right w:w="28" w:type="dxa"/>
        </w:tblCellMar>
      </w:tblPr>
      <w:tblGrid>
        <w:gridCol w:w="450"/>
        <w:gridCol w:w="394"/>
        <w:gridCol w:w="401"/>
        <w:gridCol w:w="203"/>
        <w:gridCol w:w="203"/>
        <w:gridCol w:w="156"/>
        <w:gridCol w:w="140"/>
        <w:gridCol w:w="140"/>
        <w:gridCol w:w="140"/>
        <w:gridCol w:w="203"/>
        <w:gridCol w:w="203"/>
        <w:gridCol w:w="156"/>
        <w:gridCol w:w="140"/>
        <w:gridCol w:w="140"/>
        <w:gridCol w:w="140"/>
        <w:gridCol w:w="203"/>
        <w:gridCol w:w="203"/>
        <w:gridCol w:w="213"/>
      </w:tblGrid>
      <w:tr>
        <w:trPr/>
        <w:tc>
          <w:tcPr>
            <w:tcW w:w="45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RSUs </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operating leases for offices, research and development facilities and data centers. Our leases have remaining terms that range from less than one year to approximately four years, some of which include one or more options to renew, with renewal terms of up to six years. Unless and until we are reasonably certain we will exercise these renewal options, we do not include renewal options in our lease terms for calculating our lease liability, as the renewal options allow us to maintain operational flexibility. Our finance leases were not material to our consolidated financial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(in millions):</w:t>
      </w:r>
    </w:p>
    <w:tbl>
      <w:tblPr>
        <w:tblW w:w="10205" w:type="dxa"/>
        <w:jc w:val="left"/>
        <w:tblInd w:w="0" w:type="dxa"/>
        <w:tblLayout w:type="fixed"/>
        <w:tblCellMar>
          <w:top w:w="28" w:type="dxa"/>
          <w:left w:w="28" w:type="dxa"/>
          <w:bottom w:w="28" w:type="dxa"/>
          <w:right w:w="28" w:type="dxa"/>
        </w:tblCellMar>
      </w:tblPr>
      <w:tblGrid>
        <w:gridCol w:w="1378"/>
        <w:gridCol w:w="1189"/>
        <w:gridCol w:w="1198"/>
        <w:gridCol w:w="425"/>
        <w:gridCol w:w="1031"/>
        <w:gridCol w:w="219"/>
        <w:gridCol w:w="219"/>
        <w:gridCol w:w="219"/>
        <w:gridCol w:w="219"/>
        <w:gridCol w:w="425"/>
        <w:gridCol w:w="1031"/>
        <w:gridCol w:w="219"/>
        <w:gridCol w:w="219"/>
        <w:gridCol w:w="219"/>
        <w:gridCol w:w="219"/>
        <w:gridCol w:w="425"/>
        <w:gridCol w:w="1031"/>
        <w:gridCol w:w="320"/>
      </w:tblGrid>
      <w:tr>
        <w:trPr/>
        <w:tc>
          <w:tcPr>
            <w:tcW w:w="137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lease expense </w:t>
            </w:r>
            <w:r>
              <w:rPr>
                <w:rFonts w:ascii="Times New Roman;serif" w:hAnsi="Times New Roman;serif"/>
                <w:b w:val="false"/>
                <w:color w:val="000000"/>
                <w:sz w:val="13"/>
              </w:rPr>
              <w:t>(1)</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Variable lease expense for the years ended December 31, 2025, 2024 and 2023 predominantly included common area maintenance charges, real estate taxes, certain parking expense, utilities based on actual usage and insurance costs.</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our operating leases was (in millions, except lease term and discount rate):</w:t>
      </w:r>
    </w:p>
    <w:tbl>
      <w:tblPr>
        <w:tblW w:w="10073" w:type="dxa"/>
        <w:jc w:val="left"/>
        <w:tblInd w:w="0" w:type="dxa"/>
        <w:tblLayout w:type="fixed"/>
        <w:tblCellMar>
          <w:top w:w="28" w:type="dxa"/>
          <w:left w:w="28" w:type="dxa"/>
          <w:bottom w:w="28" w:type="dxa"/>
          <w:right w:w="28" w:type="dxa"/>
        </w:tblCellMar>
      </w:tblPr>
      <w:tblGrid>
        <w:gridCol w:w="1987"/>
        <w:gridCol w:w="1747"/>
        <w:gridCol w:w="1756"/>
        <w:gridCol w:w="534"/>
        <w:gridCol w:w="534"/>
        <w:gridCol w:w="536"/>
        <w:gridCol w:w="109"/>
        <w:gridCol w:w="109"/>
        <w:gridCol w:w="109"/>
        <w:gridCol w:w="242"/>
        <w:gridCol w:w="587"/>
        <w:gridCol w:w="311"/>
        <w:gridCol w:w="109"/>
        <w:gridCol w:w="109"/>
        <w:gridCol w:w="109"/>
        <w:gridCol w:w="241"/>
        <w:gridCol w:w="583"/>
        <w:gridCol w:w="361"/>
      </w:tblGrid>
      <w:tr>
        <w:trPr/>
        <w:tc>
          <w:tcPr>
            <w:tcW w:w="1987"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 – non-current</w:t>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non-current</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 – operating leases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 – operating leases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(in millions):</w:t>
      </w:r>
    </w:p>
    <w:tbl>
      <w:tblPr>
        <w:tblW w:w="9191" w:type="dxa"/>
        <w:jc w:val="left"/>
        <w:tblInd w:w="0" w:type="dxa"/>
        <w:tblLayout w:type="fixed"/>
        <w:tblCellMar>
          <w:top w:w="28" w:type="dxa"/>
          <w:left w:w="28" w:type="dxa"/>
          <w:bottom w:w="28" w:type="dxa"/>
          <w:right w:w="28" w:type="dxa"/>
        </w:tblCellMar>
      </w:tblPr>
      <w:tblGrid>
        <w:gridCol w:w="2174"/>
        <w:gridCol w:w="1908"/>
        <w:gridCol w:w="1917"/>
        <w:gridCol w:w="211"/>
        <w:gridCol w:w="511"/>
        <w:gridCol w:w="109"/>
        <w:gridCol w:w="109"/>
        <w:gridCol w:w="109"/>
        <w:gridCol w:w="109"/>
        <w:gridCol w:w="211"/>
        <w:gridCol w:w="511"/>
        <w:gridCol w:w="109"/>
        <w:gridCol w:w="109"/>
        <w:gridCol w:w="109"/>
        <w:gridCol w:w="109"/>
        <w:gridCol w:w="211"/>
        <w:gridCol w:w="511"/>
        <w:gridCol w:w="154"/>
      </w:tblGrid>
      <w:tr>
        <w:trPr/>
        <w:tc>
          <w:tcPr>
            <w:tcW w:w="2174"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Maturities of operating lease liabilities as of December 31, 2025 were (in millions):</w:t>
      </w:r>
    </w:p>
    <w:tbl>
      <w:tblPr>
        <w:tblW w:w="3276" w:type="dxa"/>
        <w:jc w:val="left"/>
        <w:tblInd w:w="0" w:type="dxa"/>
        <w:tblLayout w:type="fixed"/>
        <w:tblCellMar>
          <w:top w:w="28" w:type="dxa"/>
          <w:left w:w="28" w:type="dxa"/>
          <w:bottom w:w="28" w:type="dxa"/>
          <w:right w:w="28" w:type="dxa"/>
        </w:tblCellMar>
      </w:tblPr>
      <w:tblGrid>
        <w:gridCol w:w="868"/>
        <w:gridCol w:w="765"/>
        <w:gridCol w:w="767"/>
        <w:gridCol w:w="211"/>
        <w:gridCol w:w="511"/>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operating leases that had been signed but had not yet commenced were not material.</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2026 and 2031 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5, 2021, we issued $1.0 billion aggregate principal amount of senior notes (collectively, the “Senior Notes”), consisting of $500.0 million aggregate principal amount of 1.0% notes due March 15, 2026 (the “2026 Senior Notes”) and $500.0 million aggregate principal amount of 2.2% notes due March 15, 2031 (the “2031 Senior Notes”), in an underwritten registered public offering. The Senior Notes are senior unsecured obligations and rank equally with each other in right of payment and with our other outstanding obligations. We may redeem the Senior Notes at any time in whole or in part for cash, at specified redemption prices that include accrued and unpaid interest, if any, and a make-whole premium. However, no make-whole premium will be paid for redemptions of the 2026 Senior Notes on or after February 15, 2026, or the 2031 Senior Notes on or after December 15, 2030. Interest on the Senior Notes is payable on March 15 and September 15 of each year, beginning on September 15, 2021. The 2026 Senior Notes were recorded as current portion of long-term debt and the 2031 Senior Notes were recorded as long-term debt as of December 31, 2025 and both of the Senior Notes were recorded as long-term debt as of December 31, 2024, net of discount and issuance costs, which are amortized to interest expense over the respective contractual terms of these notes using the effective interest method.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outstanding debt is summarized below (in millions, except percentages):</w:t>
      </w:r>
    </w:p>
    <w:tbl>
      <w:tblPr>
        <w:tblW w:w="10205" w:type="dxa"/>
        <w:jc w:val="left"/>
        <w:tblInd w:w="0" w:type="dxa"/>
        <w:tblLayout w:type="fixed"/>
        <w:tblCellMar>
          <w:top w:w="28" w:type="dxa"/>
          <w:left w:w="28" w:type="dxa"/>
          <w:bottom w:w="28" w:type="dxa"/>
          <w:right w:w="28" w:type="dxa"/>
        </w:tblCellMar>
      </w:tblPr>
      <w:tblGrid>
        <w:gridCol w:w="1220"/>
        <w:gridCol w:w="975"/>
        <w:gridCol w:w="1000"/>
        <w:gridCol w:w="330"/>
        <w:gridCol w:w="330"/>
        <w:gridCol w:w="332"/>
        <w:gridCol w:w="109"/>
        <w:gridCol w:w="109"/>
        <w:gridCol w:w="109"/>
        <w:gridCol w:w="249"/>
        <w:gridCol w:w="223"/>
        <w:gridCol w:w="557"/>
        <w:gridCol w:w="109"/>
        <w:gridCol w:w="109"/>
        <w:gridCol w:w="109"/>
        <w:gridCol w:w="347"/>
        <w:gridCol w:w="325"/>
        <w:gridCol w:w="814"/>
        <w:gridCol w:w="109"/>
        <w:gridCol w:w="109"/>
        <w:gridCol w:w="109"/>
        <w:gridCol w:w="241"/>
        <w:gridCol w:w="705"/>
        <w:gridCol w:w="124"/>
        <w:gridCol w:w="109"/>
        <w:gridCol w:w="109"/>
        <w:gridCol w:w="109"/>
        <w:gridCol w:w="240"/>
        <w:gridCol w:w="701"/>
        <w:gridCol w:w="184"/>
      </w:tblGrid>
      <w:tr>
        <w:trPr/>
        <w:tc>
          <w:tcPr>
            <w:tcW w:w="122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Coupon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Senior Notes</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Senior Notes</w:t>
            </w:r>
          </w:p>
        </w:tc>
        <w:tc>
          <w:tcPr>
            <w:tcW w:w="9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discount and debt issuance costs</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long-term debt</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accrued interest payable of $4.7 million, and there are no financial covenants with which we must comply. In 2025, 2024 and 2023 we recorded $18.0 million, $18.0 million and $17.9 million of total interest expense in relation to these Senior Notes and repaid $16.0 million of interest in cash, respectively. No interest costs were capitalized in 2025, 2024 and 2023, as the costs that qualified for capitalization were not material.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total estimated fair value of the outstanding Senior Notes was approximately $950.1 million, including accrued and unpaid interest, as of December 31, 2025. The fair value was determined based on observable market prices of identical instruments in less active markets. The estimated fair values are based on Level 2 inputs.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COMMITMENTS AND CONTINGENCIES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inventory purchase commitments as of December 31, 2025 (in millions):</w:t>
      </w:r>
    </w:p>
    <w:tbl>
      <w:tblPr>
        <w:tblW w:w="6306" w:type="dxa"/>
        <w:jc w:val="center"/>
        <w:tblInd w:w="0" w:type="dxa"/>
        <w:tblLayout w:type="fixed"/>
        <w:tblCellMar>
          <w:top w:w="28" w:type="dxa"/>
          <w:left w:w="28" w:type="dxa"/>
          <w:bottom w:w="28" w:type="dxa"/>
          <w:right w:w="28" w:type="dxa"/>
        </w:tblCellMar>
      </w:tblPr>
      <w:tblGrid>
        <w:gridCol w:w="1020"/>
        <w:gridCol w:w="897"/>
        <w:gridCol w:w="902"/>
        <w:gridCol w:w="211"/>
        <w:gridCol w:w="616"/>
        <w:gridCol w:w="109"/>
        <w:gridCol w:w="109"/>
        <w:gridCol w:w="109"/>
        <w:gridCol w:w="109"/>
        <w:gridCol w:w="211"/>
        <w:gridCol w:w="616"/>
        <w:gridCol w:w="109"/>
        <w:gridCol w:w="109"/>
        <w:gridCol w:w="109"/>
        <w:gridCol w:w="109"/>
        <w:gridCol w:w="231"/>
        <w:gridCol w:w="560"/>
        <w:gridCol w:w="170"/>
      </w:tblGrid>
      <w:tr>
        <w:trPr/>
        <w:tc>
          <w:tcPr>
            <w:tcW w:w="1020"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commitments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Inventory Purchase Commitments</w:t>
      </w:r>
      <w:r>
        <w:rPr>
          <w:color w:val="000000"/>
        </w:rPr>
        <w:t>—</w:t>
      </w:r>
      <w:r>
        <w:rPr>
          <w:rFonts w:ascii="Times New Roman;serif" w:hAnsi="Times New Roman;serif"/>
          <w:b w:val="false"/>
          <w:color w:val="000000"/>
          <w:sz w:val="20"/>
        </w:rPr>
        <w:t xml:space="preserve">We purchase components of our inventory from certain suppliers and use several independent contract manufacturers to provide manufacturing services for our products. During the normal course of business, in order to manage manufacturing lead times and help ensure adequate component supply, we enter into agreements with contract manufacturers and suppliers that allow them to procure inventory based upon criteria as defined by us or establish the parameters defining our requirements. A significant portion of our reported purchase commitments arising from these agreements consists of firm, non-cancelable and unconditional commitments. Certain of these inventory purchase commitments with contract manufacturers and suppliers relate to arrangements to secure supply and pricing for certain product components for multi-year periods. In certain instances, these agreements allow us the option to reschedule and adjust our requirements based on our business needs prior to firm orders being placed.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$810.6 million of non-cancelable inventory purchase commitments with our independent contract manufacturers. We recorded a liability for these purchase commitments for quantities in excess of our future estimated demand forecasts, consistent with the valuation of our excess and obsolete inventory. As of December 31, 2025 and December 31, 2024, the liability for these inventory purchase commitments was $26.7 million and $54.0 million, respectively, and was recorded in accrued liabilities on our consolidated balance sheets. The expense related to such accrued liability for inventory purchase commitments were not material for the year ended December 31, 2025 and 2024, respectively, and $85.9 million for the year ended December 31, 2023, and was recorded in cost of product revenue on the consolidated statements of income.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Other Contractual Commitments and Open Purchase Orders</w:t>
      </w:r>
      <w:r>
        <w:rPr>
          <w:color w:val="000000"/>
        </w:rPr>
        <w:t>—</w:t>
      </w:r>
      <w:r>
        <w:rPr>
          <w:rFonts w:ascii="Times New Roman;serif" w:hAnsi="Times New Roman;serif"/>
          <w:b w:val="false"/>
          <w:color w:val="000000"/>
          <w:sz w:val="20"/>
        </w:rPr>
        <w:t>In addition to commitments with contract manufacturers, we have open purchase orders and contractual obligations in the ordinary course of business for which we have not received goods or services. A significant portion of our reported purchase commitments consist of non-cancelable commitments. In certain instances, contractual commitments allow us the option to cancel, reschedule and adjust our requirements based on our business needs prior to firm orders being placed. As of December 31, 2025, we had $118.3 million in other contractual commitments having a remaining term in excess of one year that are non-cancelable.</w:t>
      </w:r>
    </w:p>
    <w:p>
      <w:pPr>
        <w:pStyle w:val="TextBody"/>
        <w:bidi w:val="0"/>
        <w:spacing w:before="0" w:after="0"/>
        <w:ind w:left="0" w:right="0" w:firstLine="540"/>
        <w:jc w:val="left"/>
        <w:rPr/>
      </w:pPr>
      <w:r>
        <w:rPr/>
      </w:r>
    </w:p>
    <w:p>
      <w:pPr>
        <w:pStyle w:val="TextBody"/>
        <w:bidi w:val="0"/>
        <w:spacing w:lineRule="auto" w:line="268" w:before="0" w:after="0"/>
        <w:ind w:left="0" w:right="0" w:firstLine="720"/>
        <w:jc w:val="left"/>
        <w:rPr/>
      </w:pPr>
      <w:r>
        <w:rPr>
          <w:rFonts w:ascii="Times New Roman;serif" w:hAnsi="Times New Roman;serif"/>
          <w:b/>
          <w:color w:val="000000"/>
          <w:sz w:val="20"/>
        </w:rPr>
        <w:t>Litigation</w:t>
      </w:r>
      <w:r>
        <w:rPr>
          <w:color w:val="000000"/>
        </w:rPr>
        <w:t>—</w:t>
      </w:r>
      <w:r>
        <w:rPr>
          <w:rFonts w:ascii="Times New Roman;serif" w:hAnsi="Times New Roman;serif"/>
          <w:b w:val="false"/>
          <w:color w:val="000000"/>
          <w:sz w:val="20"/>
        </w:rPr>
        <w:t>We are subject to legal proceedings arising in the ordinary course of business. We record accruals for litigation contingencies when a loss is probable and reasonably estimable, based on management’s assessment of the expected outcome and currently available information. As of December 31, 2025 and 2024, litigation loss contingency accruals associated with outstanding matters were not material.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22, 2025, a securities class action was filed against us, our chief executive officer, our chief technology officer, our current chief financial officer and our former chief financial officer in the United States District Court, Northern District of California, captioned Oklahoma Firefighters Pension and Retirement System v. Fortinet, Inc., et al., Case No. 5:25-cv-08037. On October 16, 2025, a securities class action was filed against us, our chief executive Officer, our current chief financial officer and our former chief financial officer in the same court, captioned State of Rhode Island Office of the General Treasurer v. Fortinet, Inc., et al., Case No. 3:25-cv-08888. These suits are brought on behalf of an alleged class of stockholders who purchased or acquired shares of our common stock between November 8, 2024 through August 6, 2025. The complaints allege that defendants made false or misleading statements about our business, operations and prospects, including regarding the 2026 firewall refresh cycle, and purport to assert claims under Sections 10(b) and 20(a) of the Exchange Act. These suits seek damages, attorneys fees and costs, and other relief that the court may deem appropriate. The time to respond to the complaints has not yet passed. We believe these cases are without merit and defendants intend to defend the suits vigorously. Based on the preliminary nature of the proceedings in these cases, the outcome of these matters remains uncertain and we cannot estimate the potential impact, if any, on its business or financial statements at this time. Accordingly, no loss accrual was recorded as of December 31, 2025 related to these litigations.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8, 2025, Plaintiff Jack Pittrof filed a stockholder derivative complaint against us as a nominal defendant and certain of our current and former directors and officers in the United States District Court for the Northern District of California, captioned Pittrof v. Xie, et al., Case No. 3:2025-cv-08592 (“Pittrof”). The complaint alleges claims based on events similar to those in the securities class action and asserts causes of action against the individual defendants for breach of fiduciary duty, aiding and abetting breach of fiduciary duty, unjust enrichment, waste of corporate assets, and for violations of Section 10(b) of the Exchange Act. The time to respond to the complaint has not yet passed. On November 5, 2025, Plaintiff Michael J. Marrinan filed a stockholder derivative complaint against us as a nominal defendant and certain of our current and former directors and officers in the United States District Court for the Northern District of California, captioned Marrinan v. Xie, et al., Case No. 3:25-cv-09546 (“Marrinan”). The complaint alleges claims based on events similar to those in the securities class action and asserts causes of action against the individual defendants for breach of fiduciary duty, unjust enrichment, insider trading, gross mismanagement, waste of corporate assets, violations of California Corporations Code §§ 24400, 25500, et. seq., and violations of Section 10(b) of the Exchange Act. The time to respond to the complaint has not yet passed. On November 6, 2025, Plaintiff Bryan Foster filed a stockholder derivative complaint against us as a nominal defendant and certain of our current and former directors and officers in the United States District Court for the Northern District of California, captioned Foster v. Xie, et al., Case No. 3:25-cv-09611 (“Foster”). The complaint alleges claims based on events similar to those in the securities class action and asserts causes of action against the individual defendants for breach of fiduciary duty, unjust enrichment, abuse of control, gross mismanagement, waste of corporate assets, for violations of Section 10(b), 14(a), and 20(a) of the Exchange Act, and for contribution under Section 21D of the Exchange Act. The time to respond to the complaint has not yet passed. On December 2, 2025, Plaintiff LR Trust filed a stockholder derivative complaint against us as a nominal defendant and certain of our current and former directors and officers in the United States District Court for the Northern District of California, captioned LR Trust v. Xie, et al., Case No. 3:25-cv-10350 (“LR Trust,” together with Pittrof, Marrinan, and Foster, the “Derivative Actions”). The complaint alleges claims based on events similar to those in the securities class action and asserts causes of action against the individual defendants for breach of fiduciary duty, unjust enrichment, insider trading, aiding and abetting, violations of Sections 10(b) and 14(a) of the Exchange Act, and for contribution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Section 21D of the Exchange Act. The time to respond to the complaint has not yet passed. On behalf of the Company, the Derivative Actions seek damages, disgorgement, remedial actions, restitution, and attorneys’ fees and costs.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21, 2019, we were sued by Alorica Inc. (“Alorica”) in Santa Clara County Superior Court in California. Alorica alleged breach of warranty and misrepresentation claims, which we denied. After trial, a jury returned a verdict fully in favor of us and against Alorica on October 4, 2024. Alorica has filed a notice of appeal. We believe that the ultimate outcome of this matter will not materially impact our financial position, results of operations or cash flows. However, any further legal proceedings, including Alorica’s appeal, would be subject to inherent uncertainties, and a future unfavorable ruling could occur. No loss accrual had been recorded as of December 31, 2025 related to this litigation.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Indemnification and Other Matters</w:t>
      </w:r>
      <w:r>
        <w:rPr>
          <w:color w:val="000000"/>
        </w:rPr>
        <w:t>—</w:t>
      </w:r>
      <w:r>
        <w:rPr>
          <w:rFonts w:ascii="Times New Roman;serif" w:hAnsi="Times New Roman;serif"/>
          <w:b w:val="false"/>
          <w:color w:val="000000"/>
          <w:sz w:val="20"/>
        </w:rPr>
        <w:t>We enter into indemnification provisions in the ordinary course of business with other companies such as partners, customers, and vendors, where we agree to indemnify, hold harmless, and reimburse the indemnified party for certain losses suffered or incurred by the indemnified party as a result of our activities, including defending against third-party claims asserting various allegations such as product defects, breach of representations or covenants, and infringement of certain IP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IP infringement that could potentially expose us to losses in excess of the amount received under the agreement, and in some instances to potential liability that is not contractually limited. Although from time to time there are indemnification claims asserted against us and currently there are pending indemnification claims, to date there have been no material awards under such indemnification provisions.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Similar to other security companies and companies in other industries, we have experienced and may experience in the future, cybersecurity threats, malicious activity directed against our information technology infrastructure or unauthorized attempts to gain access to our and our customers’ sensitive information and systems. We currently are unaware of any claims or proceedings related to these types of matters that we believe are likely to have a material adverse effect on our financial position.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EQUITY PLANS AND 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one primary stock incentive plan, the 2009 EIP, under which we have granted RSUs, stock options and PSUs.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approved the 2009 EIP in 2009 and amended the plan in 2019. The maximum aggregate number of shares that may be issued under the 2009 EIP is 239,367,655 shares; provided, however, that only 67,500,000 shares may be issued or transferred pursuant to new awards granted on or following the effective date of the 2009 EIP. We may grant awards to employees, directors and other service providers. In the case of an incentive stock option granted to an employee who, at the time of the grant, owns stock representing more than 10% of the voting power of all classes of stock, the exercise price shall be no less than 110% of the fair market value per share on the date of grant and expire no more than five years from the date of grant, and options granted to any other employee, the per share exercise price shall be no less than 100% of the closing stock price on the date of grant. In the case of a non-statutory stock option and options granted to other service providers, the per share exercise price shall be no less than 100% of the fair market value per share on the date of grant. Options granted to individuals owning less than 10% of the total combined voting power of all classes of stock generally have a contractual term of no more than ten years and options generally vest over four years.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a total of 48.1 million shares of common stock available for grant under the 2009 EIP.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and related information for RSUs for the periods presented below (in millions, except per share amounts):</w:t>
      </w:r>
    </w:p>
    <w:tbl>
      <w:tblPr>
        <w:tblW w:w="8826" w:type="dxa"/>
        <w:jc w:val="center"/>
        <w:tblInd w:w="0" w:type="dxa"/>
        <w:tblLayout w:type="fixed"/>
        <w:tblCellMar>
          <w:top w:w="28" w:type="dxa"/>
          <w:left w:w="28" w:type="dxa"/>
          <w:bottom w:w="28" w:type="dxa"/>
          <w:right w:w="28" w:type="dxa"/>
        </w:tblCellMar>
      </w:tblPr>
      <w:tblGrid>
        <w:gridCol w:w="922"/>
        <w:gridCol w:w="812"/>
        <w:gridCol w:w="815"/>
        <w:gridCol w:w="504"/>
        <w:gridCol w:w="504"/>
        <w:gridCol w:w="506"/>
        <w:gridCol w:w="193"/>
        <w:gridCol w:w="193"/>
        <w:gridCol w:w="193"/>
        <w:gridCol w:w="899"/>
        <w:gridCol w:w="2630"/>
        <w:gridCol w:w="655"/>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Restricted Stock Units Outstanding</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Grant Date Fair Value per Share </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2022</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60.14 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35.47 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2023</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53.61 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61.98 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76.00 </w:t>
            </w:r>
          </w:p>
        </w:tc>
        <w:tc>
          <w:tcPr>
            <w:tcW w:w="6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62.01 </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compensation expense is recognized on a straight-line basis over the vesting period of each RSU. As of December 31, 2025, total compensation expense related to unvested RSUs granted to employees and non-employees under the 2009 EIP, but not yet recognized, was $537.2 million, with a weighted-average remaining vesting period of 2.7 years.</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i/>
          <w:color w:val="000000"/>
          <w:sz w:val="20"/>
        </w:rPr>
      </w:pPr>
      <w:r>
        <w:rPr>
          <w:rFonts w:ascii="Times New Roman;serif" w:hAnsi="Times New Roman;serif"/>
          <w:b/>
          <w:i/>
          <w:color w:val="000000"/>
          <w:sz w:val="20"/>
        </w:rPr>
        <w:t>Market/Performance-Based PSUs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grant market/performance-based PSUs under the 2009 EIP to certain of our executives. Based on the achievement of the market/performance-based vesting conditions during the performance period, the final settlement of the PSUs will range between 0% and 200% of the target shares underlying the PSUs based on the percentile ranking of our total stockholder return over one-, two-, three- and four-year periods among companies included in the S&amp;P 500 Index. 20%, 20%, 20% and 40% of the PSUs vest over one-, two-, three- and four-year service periods,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relating to our PSUs:</w:t>
      </w:r>
    </w:p>
    <w:tbl>
      <w:tblPr>
        <w:tblW w:w="5009" w:type="dxa"/>
        <w:jc w:val="left"/>
        <w:tblInd w:w="0" w:type="dxa"/>
        <w:tblLayout w:type="fixed"/>
        <w:tblCellMar>
          <w:top w:w="28" w:type="dxa"/>
          <w:left w:w="28" w:type="dxa"/>
          <w:bottom w:w="28" w:type="dxa"/>
          <w:right w:w="28" w:type="dxa"/>
        </w:tblCellMar>
      </w:tblPr>
      <w:tblGrid>
        <w:gridCol w:w="712"/>
        <w:gridCol w:w="625"/>
        <w:gridCol w:w="627"/>
        <w:gridCol w:w="255"/>
        <w:gridCol w:w="256"/>
        <w:gridCol w:w="271"/>
        <w:gridCol w:w="109"/>
        <w:gridCol w:w="109"/>
        <w:gridCol w:w="109"/>
        <w:gridCol w:w="255"/>
        <w:gridCol w:w="256"/>
        <w:gridCol w:w="271"/>
        <w:gridCol w:w="109"/>
        <w:gridCol w:w="109"/>
        <w:gridCol w:w="109"/>
        <w:gridCol w:w="255"/>
        <w:gridCol w:w="256"/>
        <w:gridCol w:w="316"/>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and related information for PSUs for the periods presented below (in millions, except per share amounts):</w:t>
      </w:r>
    </w:p>
    <w:tbl>
      <w:tblPr>
        <w:tblW w:w="9186" w:type="dxa"/>
        <w:jc w:val="center"/>
        <w:tblInd w:w="0" w:type="dxa"/>
        <w:tblLayout w:type="fixed"/>
        <w:tblCellMar>
          <w:top w:w="28" w:type="dxa"/>
          <w:left w:w="28" w:type="dxa"/>
          <w:bottom w:w="28" w:type="dxa"/>
          <w:right w:w="28" w:type="dxa"/>
        </w:tblCellMar>
      </w:tblPr>
      <w:tblGrid>
        <w:gridCol w:w="922"/>
        <w:gridCol w:w="812"/>
        <w:gridCol w:w="815"/>
        <w:gridCol w:w="504"/>
        <w:gridCol w:w="504"/>
        <w:gridCol w:w="506"/>
        <w:gridCol w:w="240"/>
        <w:gridCol w:w="240"/>
        <w:gridCol w:w="240"/>
        <w:gridCol w:w="834"/>
        <w:gridCol w:w="2855"/>
        <w:gridCol w:w="451"/>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74" w:type="dxa"/>
            <w:gridSpan w:val="9"/>
            <w:tcBorders/>
            <w:tcMar>
              <w:top w:w="0" w:type="dxa"/>
              <w:left w:w="0" w:type="dxa"/>
              <w:bottom w:w="0" w:type="dxa"/>
              <w:right w:w="0" w:type="dxa"/>
            </w:tcMar>
            <w:vAlign w:val="center"/>
          </w:tcPr>
          <w:p>
            <w:pPr>
              <w:pStyle w:val="TableContents"/>
              <w:bidi w:val="0"/>
              <w:spacing w:lineRule="auto" w:line="26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Performance Stock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Weighted-Average Grant Date Fair Value per Share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2022</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2023</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1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117.17 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total compensation expense related to unvested PSUs that were granted to certain of our executives, but not yet recognized, was $21.2 million. This expense is expected to be amortized on a graded vesting method over a weighted-average vesting period of 2.1 years.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RSUs and PSUs settle into shares of common stock upon vesting. Upon the vesting of the RSUs and PSUs, we net-settle the RSUs and PSUs and withhold a portion of the shares to satisfy employee withholding tax requirements. The payment of the withheld taxes to the tax authorities is reflected as a financing activity within the consolidated statements of cash flows.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number and value of the shares withheld for employee taxes (in millions):</w:t>
      </w:r>
    </w:p>
    <w:tbl>
      <w:tblPr>
        <w:tblW w:w="5786" w:type="dxa"/>
        <w:jc w:val="center"/>
        <w:tblInd w:w="0" w:type="dxa"/>
        <w:tblLayout w:type="fixed"/>
        <w:tblCellMar>
          <w:top w:w="28" w:type="dxa"/>
          <w:left w:w="28" w:type="dxa"/>
          <w:bottom w:w="28" w:type="dxa"/>
          <w:right w:w="28" w:type="dxa"/>
        </w:tblCellMar>
      </w:tblPr>
      <w:tblGrid>
        <w:gridCol w:w="824"/>
        <w:gridCol w:w="726"/>
        <w:gridCol w:w="729"/>
        <w:gridCol w:w="211"/>
        <w:gridCol w:w="616"/>
        <w:gridCol w:w="109"/>
        <w:gridCol w:w="109"/>
        <w:gridCol w:w="109"/>
        <w:gridCol w:w="109"/>
        <w:gridCol w:w="211"/>
        <w:gridCol w:w="616"/>
        <w:gridCol w:w="109"/>
        <w:gridCol w:w="109"/>
        <w:gridCol w:w="109"/>
        <w:gridCol w:w="109"/>
        <w:gridCol w:w="211"/>
        <w:gridCol w:w="616"/>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withheld for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withheld for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the fair value of our stock options, we use the Black-Scholes model, which employs the following assumptions.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The expected term represents the period that our stock-based awards are expected to be outstanding. We believe that we have sufficient historical experience for determining the expected term of the stock option award, and therefore, we calculated our expected term based on historical experience instead of using the simplified method.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Expected Volatility</w:t>
      </w:r>
      <w:r>
        <w:rPr>
          <w:color w:val="000000"/>
        </w:rPr>
        <w:t>—</w:t>
      </w:r>
      <w:r>
        <w:rPr>
          <w:rFonts w:ascii="Times New Roman;serif" w:hAnsi="Times New Roman;serif"/>
          <w:b w:val="false"/>
          <w:color w:val="000000"/>
          <w:sz w:val="20"/>
        </w:rPr>
        <w:t xml:space="preserve">The expected volatility of our common stock is based on our weighted-average implied and historical volatility.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The fair value of our common stock is the closing sales price of the common stock effective on the date of grant.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We base the risk-free interest rate on the implied yield available on U.S. Treasury zero-coupon issues with an equivalent remaining term.</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Expected Dividend</w:t>
      </w:r>
      <w:r>
        <w:rPr>
          <w:color w:val="000000"/>
        </w:rPr>
        <w:t>—</w:t>
      </w:r>
      <w:r>
        <w:rPr>
          <w:rFonts w:ascii="Times New Roman;serif" w:hAnsi="Times New Roman;serif"/>
          <w:b w:val="false"/>
          <w:color w:val="000000"/>
          <w:sz w:val="20"/>
        </w:rPr>
        <w:t>The expected dividend weighted-average assumption is zero.</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assumptions relating to our stock options:</w:t>
      </w:r>
    </w:p>
    <w:tbl>
      <w:tblPr>
        <w:tblW w:w="5009" w:type="dxa"/>
        <w:jc w:val="center"/>
        <w:tblInd w:w="0" w:type="dxa"/>
        <w:tblLayout w:type="fixed"/>
        <w:tblCellMar>
          <w:top w:w="28" w:type="dxa"/>
          <w:left w:w="28" w:type="dxa"/>
          <w:bottom w:w="28" w:type="dxa"/>
          <w:right w:w="28" w:type="dxa"/>
        </w:tblCellMar>
      </w:tblPr>
      <w:tblGrid>
        <w:gridCol w:w="712"/>
        <w:gridCol w:w="625"/>
        <w:gridCol w:w="627"/>
        <w:gridCol w:w="255"/>
        <w:gridCol w:w="256"/>
        <w:gridCol w:w="271"/>
        <w:gridCol w:w="109"/>
        <w:gridCol w:w="109"/>
        <w:gridCol w:w="109"/>
        <w:gridCol w:w="255"/>
        <w:gridCol w:w="256"/>
        <w:gridCol w:w="271"/>
        <w:gridCol w:w="109"/>
        <w:gridCol w:w="109"/>
        <w:gridCol w:w="109"/>
        <w:gridCol w:w="255"/>
        <w:gridCol w:w="256"/>
        <w:gridCol w:w="316"/>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 and related information for the periods presented below (in millions, except exercise prices and contractual life):</w:t>
      </w:r>
    </w:p>
    <w:tbl>
      <w:tblPr>
        <w:tblW w:w="9574" w:type="dxa"/>
        <w:jc w:val="center"/>
        <w:tblInd w:w="0" w:type="dxa"/>
        <w:tblLayout w:type="fixed"/>
        <w:tblCellMar>
          <w:top w:w="28" w:type="dxa"/>
          <w:left w:w="28" w:type="dxa"/>
          <w:bottom w:w="28" w:type="dxa"/>
          <w:right w:w="28" w:type="dxa"/>
        </w:tblCellMar>
      </w:tblPr>
      <w:tblGrid>
        <w:gridCol w:w="1741"/>
        <w:gridCol w:w="1534"/>
        <w:gridCol w:w="1539"/>
        <w:gridCol w:w="275"/>
        <w:gridCol w:w="275"/>
        <w:gridCol w:w="276"/>
        <w:gridCol w:w="109"/>
        <w:gridCol w:w="109"/>
        <w:gridCol w:w="109"/>
        <w:gridCol w:w="211"/>
        <w:gridCol w:w="616"/>
        <w:gridCol w:w="109"/>
        <w:gridCol w:w="109"/>
        <w:gridCol w:w="109"/>
        <w:gridCol w:w="109"/>
        <w:gridCol w:w="345"/>
        <w:gridCol w:w="345"/>
        <w:gridCol w:w="346"/>
        <w:gridCol w:w="109"/>
        <w:gridCol w:w="109"/>
        <w:gridCol w:w="109"/>
        <w:gridCol w:w="211"/>
        <w:gridCol w:w="616"/>
        <w:gridCol w:w="154"/>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 xml:space="preserve">Price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 xml:space="preserve">Value </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2022</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2023</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2024</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Balance—December 31, 2025</w:t>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vest—December 31, 2025</w:t>
            </w:r>
          </w:p>
        </w:tc>
        <w:tc>
          <w:tcPr>
            <w:tcW w:w="5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Options exercisable—December 31, 2025</w:t>
            </w:r>
          </w:p>
        </w:tc>
        <w:tc>
          <w:tcPr>
            <w:tcW w:w="55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 represents the difference between the exercise price of stock options and the quoted market price of our common stock at the date of the balance sheet for all in-the-money stock options. Stock compensation expense is recognized on a straight-line basis over the vesting period of each stock option. As of December 31, 2025, total compensation expense related to unvested stock options granted to employees but not yet recognized was $50.6 million, with a weighted-average remaining vesting period of 2.6 years.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information related to our stock options is summarized below (in millions, except per share amounts):</w:t>
      </w:r>
    </w:p>
    <w:tbl>
      <w:tblPr>
        <w:tblW w:w="7392" w:type="dxa"/>
        <w:jc w:val="center"/>
        <w:tblInd w:w="0" w:type="dxa"/>
        <w:tblLayout w:type="fixed"/>
        <w:tblCellMar>
          <w:top w:w="28" w:type="dxa"/>
          <w:left w:w="28" w:type="dxa"/>
          <w:bottom w:w="28" w:type="dxa"/>
          <w:right w:w="28" w:type="dxa"/>
        </w:tblCellMar>
      </w:tblPr>
      <w:tblGrid>
        <w:gridCol w:w="1408"/>
        <w:gridCol w:w="1236"/>
        <w:gridCol w:w="1241"/>
        <w:gridCol w:w="211"/>
        <w:gridCol w:w="616"/>
        <w:gridCol w:w="109"/>
        <w:gridCol w:w="109"/>
        <w:gridCol w:w="109"/>
        <w:gridCol w:w="109"/>
        <w:gridCol w:w="211"/>
        <w:gridCol w:w="616"/>
        <w:gridCol w:w="109"/>
        <w:gridCol w:w="109"/>
        <w:gridCol w:w="109"/>
        <w:gridCol w:w="109"/>
        <w:gridCol w:w="211"/>
        <w:gridCol w:w="616"/>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fair value per share granted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Intrinsic value of options exercised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options vested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about outstanding and exercisable stock options as of December 31, 2025, (in millions, except exercise prices and contractual life):</w:t>
      </w:r>
    </w:p>
    <w:p>
      <w:pPr>
        <w:pStyle w:val="TextBody"/>
        <w:bidi w:val="0"/>
        <w:spacing w:lineRule="auto" w:line="288" w:before="0" w:after="0"/>
        <w:ind w:left="0" w:right="0" w:firstLine="720"/>
        <w:jc w:val="left"/>
        <w:rPr>
          <w:color w:val="000000"/>
        </w:rPr>
      </w:pPr>
      <w:r>
        <w:rPr>
          <w:color w:val="000000"/>
        </w:rPr>
        <w:t> </w:t>
      </w:r>
    </w:p>
    <w:tbl>
      <w:tblPr>
        <w:tblW w:w="8704" w:type="dxa"/>
        <w:jc w:val="center"/>
        <w:tblInd w:w="0" w:type="dxa"/>
        <w:tblLayout w:type="fixed"/>
        <w:tblCellMar>
          <w:top w:w="28" w:type="dxa"/>
          <w:left w:w="28" w:type="dxa"/>
          <w:bottom w:w="28" w:type="dxa"/>
          <w:right w:w="28" w:type="dxa"/>
        </w:tblCellMar>
      </w:tblPr>
      <w:tblGrid>
        <w:gridCol w:w="733"/>
        <w:gridCol w:w="644"/>
        <w:gridCol w:w="647"/>
        <w:gridCol w:w="109"/>
        <w:gridCol w:w="109"/>
        <w:gridCol w:w="109"/>
        <w:gridCol w:w="360"/>
        <w:gridCol w:w="360"/>
        <w:gridCol w:w="361"/>
        <w:gridCol w:w="109"/>
        <w:gridCol w:w="109"/>
        <w:gridCol w:w="109"/>
        <w:gridCol w:w="345"/>
        <w:gridCol w:w="345"/>
        <w:gridCol w:w="346"/>
        <w:gridCol w:w="109"/>
        <w:gridCol w:w="109"/>
        <w:gridCol w:w="109"/>
        <w:gridCol w:w="211"/>
        <w:gridCol w:w="616"/>
        <w:gridCol w:w="109"/>
        <w:gridCol w:w="109"/>
        <w:gridCol w:w="109"/>
        <w:gridCol w:w="109"/>
        <w:gridCol w:w="325"/>
        <w:gridCol w:w="325"/>
        <w:gridCol w:w="326"/>
        <w:gridCol w:w="112"/>
        <w:gridCol w:w="112"/>
        <w:gridCol w:w="112"/>
        <w:gridCol w:w="216"/>
        <w:gridCol w:w="633"/>
        <w:gridCol w:w="158"/>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Exercisable</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Range of Exercise Prices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br/>
              <w:t>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w:t>
              <w:br/>
              <w:t>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 xml:space="preserve">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br/>
              <w:t>Exercisable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 xml:space="preserve">Price </w:t>
            </w:r>
          </w:p>
        </w:tc>
      </w:tr>
      <w:tr>
        <w:trPr/>
        <w:tc>
          <w:tcPr>
            <w:tcW w:w="2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$16.02-$29.12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$34.39-$60.21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$61.13-$79.61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$79.73-$110.02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Shares Reserved for Future Issuances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common stock reserved for future issuance (in millions):</w:t>
      </w:r>
    </w:p>
    <w:tbl>
      <w:tblPr>
        <w:tblW w:w="5294" w:type="dxa"/>
        <w:jc w:val="center"/>
        <w:tblInd w:w="0" w:type="dxa"/>
        <w:tblLayout w:type="fixed"/>
        <w:tblCellMar>
          <w:top w:w="28" w:type="dxa"/>
          <w:left w:w="28" w:type="dxa"/>
          <w:bottom w:w="28" w:type="dxa"/>
          <w:right w:w="28" w:type="dxa"/>
        </w:tblCellMar>
      </w:tblPr>
      <w:tblGrid>
        <w:gridCol w:w="1486"/>
        <w:gridCol w:w="1307"/>
        <w:gridCol w:w="1317"/>
        <w:gridCol w:w="346"/>
        <w:gridCol w:w="346"/>
        <w:gridCol w:w="492"/>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 for future equity award grants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stock options, RSUs and PSUs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issuances</w:t>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4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including stock-based compensation expense related to awards classified as liabilities, is included in costs and expenses (in millions):</w:t>
      </w:r>
    </w:p>
    <w:tbl>
      <w:tblPr>
        <w:tblW w:w="6957" w:type="dxa"/>
        <w:jc w:val="center"/>
        <w:tblInd w:w="0" w:type="dxa"/>
        <w:tblLayout w:type="fixed"/>
        <w:tblCellMar>
          <w:top w:w="28" w:type="dxa"/>
          <w:left w:w="28" w:type="dxa"/>
          <w:bottom w:w="28" w:type="dxa"/>
          <w:right w:w="28" w:type="dxa"/>
        </w:tblCellMar>
      </w:tblPr>
      <w:tblGrid>
        <w:gridCol w:w="1247"/>
        <w:gridCol w:w="1099"/>
        <w:gridCol w:w="1104"/>
        <w:gridCol w:w="211"/>
        <w:gridCol w:w="616"/>
        <w:gridCol w:w="109"/>
        <w:gridCol w:w="109"/>
        <w:gridCol w:w="109"/>
        <w:gridCol w:w="109"/>
        <w:gridCol w:w="211"/>
        <w:gridCol w:w="616"/>
        <w:gridCol w:w="109"/>
        <w:gridCol w:w="109"/>
        <w:gridCol w:w="109"/>
        <w:gridCol w:w="109"/>
        <w:gridCol w:w="211"/>
        <w:gridCol w:w="616"/>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including stock-based compensation expense related to awards classified as liabilities, by award type (in millions):</w:t>
      </w:r>
    </w:p>
    <w:tbl>
      <w:tblPr>
        <w:tblW w:w="6956" w:type="dxa"/>
        <w:jc w:val="center"/>
        <w:tblInd w:w="0" w:type="dxa"/>
        <w:tblLayout w:type="fixed"/>
        <w:tblCellMar>
          <w:top w:w="28" w:type="dxa"/>
          <w:left w:w="28" w:type="dxa"/>
          <w:bottom w:w="28" w:type="dxa"/>
          <w:right w:w="28" w:type="dxa"/>
        </w:tblCellMar>
      </w:tblPr>
      <w:tblGrid>
        <w:gridCol w:w="1245"/>
        <w:gridCol w:w="1091"/>
        <w:gridCol w:w="1113"/>
        <w:gridCol w:w="211"/>
        <w:gridCol w:w="616"/>
        <w:gridCol w:w="109"/>
        <w:gridCol w:w="109"/>
        <w:gridCol w:w="109"/>
        <w:gridCol w:w="109"/>
        <w:gridCol w:w="211"/>
        <w:gridCol w:w="616"/>
        <w:gridCol w:w="109"/>
        <w:gridCol w:w="109"/>
        <w:gridCol w:w="109"/>
        <w:gridCol w:w="109"/>
        <w:gridCol w:w="211"/>
        <w:gridCol w:w="61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income tax benefit associated with stock-based compensation that is recognized in the consolidated statements of income is (in millions):</w:t>
      </w:r>
    </w:p>
    <w:tbl>
      <w:tblPr>
        <w:tblW w:w="8352" w:type="dxa"/>
        <w:jc w:val="center"/>
        <w:tblInd w:w="0" w:type="dxa"/>
        <w:tblLayout w:type="fixed"/>
        <w:tblCellMar>
          <w:top w:w="28" w:type="dxa"/>
          <w:left w:w="28" w:type="dxa"/>
          <w:bottom w:w="28" w:type="dxa"/>
          <w:right w:w="28" w:type="dxa"/>
        </w:tblCellMar>
      </w:tblPr>
      <w:tblGrid>
        <w:gridCol w:w="1870"/>
        <w:gridCol w:w="1641"/>
        <w:gridCol w:w="1649"/>
        <w:gridCol w:w="211"/>
        <w:gridCol w:w="511"/>
        <w:gridCol w:w="109"/>
        <w:gridCol w:w="109"/>
        <w:gridCol w:w="109"/>
        <w:gridCol w:w="109"/>
        <w:gridCol w:w="211"/>
        <w:gridCol w:w="511"/>
        <w:gridCol w:w="109"/>
        <w:gridCol w:w="109"/>
        <w:gridCol w:w="109"/>
        <w:gridCol w:w="109"/>
        <w:gridCol w:w="211"/>
        <w:gridCol w:w="511"/>
        <w:gridCol w:w="154"/>
      </w:tblGrid>
      <w:tr>
        <w:trPr/>
        <w:tc>
          <w:tcPr>
            <w:tcW w:w="187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associated with stock-based compensation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January 2016, our board of directors approved the Repurchase Program, which authorized the repurchase of up to $200.0 million of our outstanding common stock through December 31, 2017. From 2016 through 2024, our board of directors approved increases to our Repurchase Program by various amounts and extended the term of the Repurchase Program to February 28, 2026. In August 2025, our board of directors approved a $1.0 billion increase in the authorized stock repurchase amount under the Repurchase Program and extended the term of the Repurchase Program to February 28, 2027, bringing the aggregate amount authorized for repurchases to $9.25 billion of our outstanding common stock through February 28, 2027. Under the Repurchase Program, we may repurchase common stock from time to time in privately negotiated transactions or in open market transactions. The Repurchase Program does not require us to purchase a minimum number of shares, and may be suspended, modified or discontinued at any time without prior notice. Refer to Note </w:t>
      </w:r>
      <w:r>
        <w:rPr>
          <w:rFonts w:ascii="Times New Roman;serif" w:hAnsi="Times New Roman;serif"/>
          <w:b w:val="false"/>
          <w:color w:val="000000"/>
          <w:sz w:val="20"/>
          <w:shd w:fill="FFFFFF" w:val="clear"/>
        </w:rPr>
        <w:t>16</w:t>
      </w:r>
      <w:r>
        <w:rPr>
          <w:rFonts w:ascii="Times New Roman;serif" w:hAnsi="Times New Roman;serif"/>
          <w:b w:val="false"/>
          <w:color w:val="000000"/>
          <w:sz w:val="20"/>
        </w:rPr>
        <w:t xml:space="preserve">, Subsequent Events, for information regarding the approved $1.0 billion increase in the authorized stock repurchase amount under the Repurchase Program in January 2026.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repurchased 28.7 million shares of common stock under the Repurchase Program in open market transactions for an aggregate purchase price of $2.29 billion, which excludes an $18.3 million accrual related to the 1% excise tax imposed by the Inflation Reduction Act of 2022. As of December 31, 2025, $738.6 million remained available for future share repurchases under the Repurchase Program.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13.     INCOME TAXES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before income taxes and loss from equity method investments consisted of (in millions):</w:t>
      </w:r>
    </w:p>
    <w:tbl>
      <w:tblPr>
        <w:tblW w:w="10196" w:type="dxa"/>
        <w:jc w:val="center"/>
        <w:tblInd w:w="0" w:type="dxa"/>
        <w:tblLayout w:type="fixed"/>
        <w:tblCellMar>
          <w:top w:w="28" w:type="dxa"/>
          <w:left w:w="28" w:type="dxa"/>
          <w:bottom w:w="28" w:type="dxa"/>
          <w:right w:w="28" w:type="dxa"/>
        </w:tblCellMar>
      </w:tblPr>
      <w:tblGrid>
        <w:gridCol w:w="2260"/>
        <w:gridCol w:w="1981"/>
        <w:gridCol w:w="1998"/>
        <w:gridCol w:w="211"/>
        <w:gridCol w:w="766"/>
        <w:gridCol w:w="109"/>
        <w:gridCol w:w="109"/>
        <w:gridCol w:w="109"/>
        <w:gridCol w:w="109"/>
        <w:gridCol w:w="211"/>
        <w:gridCol w:w="766"/>
        <w:gridCol w:w="109"/>
        <w:gridCol w:w="109"/>
        <w:gridCol w:w="109"/>
        <w:gridCol w:w="109"/>
        <w:gridCol w:w="211"/>
        <w:gridCol w:w="766"/>
        <w:gridCol w:w="154"/>
      </w:tblGrid>
      <w:tr>
        <w:trPr/>
        <w:tc>
          <w:tcPr>
            <w:tcW w:w="2260"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income before income taxes and loss from equity method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consisted of (in millions):</w:t>
      </w:r>
    </w:p>
    <w:tbl>
      <w:tblPr>
        <w:tblW w:w="5936" w:type="dxa"/>
        <w:jc w:val="center"/>
        <w:tblInd w:w="0" w:type="dxa"/>
        <w:tblLayout w:type="fixed"/>
        <w:tblCellMar>
          <w:top w:w="28" w:type="dxa"/>
          <w:left w:w="28" w:type="dxa"/>
          <w:bottom w:w="28" w:type="dxa"/>
          <w:right w:w="28" w:type="dxa"/>
        </w:tblCellMar>
      </w:tblPr>
      <w:tblGrid>
        <w:gridCol w:w="823"/>
        <w:gridCol w:w="725"/>
        <w:gridCol w:w="731"/>
        <w:gridCol w:w="211"/>
        <w:gridCol w:w="616"/>
        <w:gridCol w:w="109"/>
        <w:gridCol w:w="109"/>
        <w:gridCol w:w="109"/>
        <w:gridCol w:w="109"/>
        <w:gridCol w:w="211"/>
        <w:gridCol w:w="691"/>
        <w:gridCol w:w="109"/>
        <w:gridCol w:w="109"/>
        <w:gridCol w:w="109"/>
        <w:gridCol w:w="109"/>
        <w:gridCol w:w="211"/>
        <w:gridCol w:w="691"/>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foreign tax provision included the tax impacts from U.S. GAAP to local tax return book to tax differences that create a permanent addback including but not limited to stock compensation, meals and entertainment, and settlement of prior year tax audits with foreign jurisdiction adjustments.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adopted ASU 2023-09 “Income Taxes (Topic 740): Improvements to Income Tax Disclosures” on a prospective basis beginning with the year ended December 31, 2025. The following table reconciles the U.S. federal statutory tax amount and rate to our actual global effective amount and rate for the year ended December 31, 2025 (in millions, except percentages):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555"/>
        <w:gridCol w:w="2037"/>
        <w:gridCol w:w="2051"/>
        <w:gridCol w:w="383"/>
        <w:gridCol w:w="1119"/>
        <w:gridCol w:w="196"/>
        <w:gridCol w:w="196"/>
        <w:gridCol w:w="196"/>
        <w:gridCol w:w="196"/>
        <w:gridCol w:w="346"/>
        <w:gridCol w:w="348"/>
        <w:gridCol w:w="582"/>
      </w:tblGrid>
      <w:tr>
        <w:trPr/>
        <w:tc>
          <w:tcPr>
            <w:tcW w:w="2555"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6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6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Taxes, Net of Federal Income Tax Effect </w:t>
            </w:r>
            <w:r>
              <w:rPr>
                <w:rFonts w:ascii="Times New Roman;serif" w:hAnsi="Times New Roman;serif"/>
                <w:b w:val="false"/>
                <w:color w:val="000000"/>
                <w:sz w:val="13"/>
              </w:rPr>
              <w:t>(1)</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Tax Effects </w:t>
            </w:r>
            <w:r>
              <w:rPr>
                <w:rFonts w:ascii="Times New Roman;serif" w:hAnsi="Times New Roman;serif"/>
                <w:b w:val="false"/>
                <w:color w:val="000000"/>
                <w:sz w:val="13"/>
              </w:rPr>
              <w:t>(2)</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the Current Period</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 deduction</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Branch income</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Excess tax benefit from stock-based compensation</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effects</w:t>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 2025, State and local income taxes in California, Illinois, New Jersey, New York and Pennsylvania made up the majority (greater than 50%) of the tax effect in this category.</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Presented on an aggregated basis as no individual foreign jurisdiction and no individual reconciling item by nature within any jurisdiction met the disaggregation threshold.</w:t>
            </w:r>
          </w:p>
        </w:tc>
      </w:tr>
    </w:tbl>
    <w:p>
      <w:pPr>
        <w:pStyle w:val="TextBody"/>
        <w:bidi w:val="0"/>
        <w:spacing w:before="60" w:after="283"/>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represents the required disclosures prior to our adoption of ASU 2023-09 and reconciles the U.S. federal statutory income tax rate to the actual global effective tax rate for the years ended December 31, 2024 and 2023 (in millions):</w:t>
      </w:r>
    </w:p>
    <w:tbl>
      <w:tblPr>
        <w:tblW w:w="6032" w:type="dxa"/>
        <w:jc w:val="center"/>
        <w:tblInd w:w="0" w:type="dxa"/>
        <w:tblLayout w:type="fixed"/>
        <w:tblCellMar>
          <w:top w:w="28" w:type="dxa"/>
          <w:left w:w="28" w:type="dxa"/>
          <w:bottom w:w="28" w:type="dxa"/>
          <w:right w:w="28" w:type="dxa"/>
        </w:tblCellMar>
      </w:tblPr>
      <w:tblGrid>
        <w:gridCol w:w="1291"/>
        <w:gridCol w:w="1137"/>
        <w:gridCol w:w="1142"/>
        <w:gridCol w:w="109"/>
        <w:gridCol w:w="109"/>
        <w:gridCol w:w="211"/>
        <w:gridCol w:w="616"/>
        <w:gridCol w:w="109"/>
        <w:gridCol w:w="109"/>
        <w:gridCol w:w="109"/>
        <w:gridCol w:w="109"/>
        <w:gridCol w:w="211"/>
        <w:gridCol w:w="616"/>
        <w:gridCol w:w="154"/>
      </w:tblGrid>
      <w:tr>
        <w:trPr/>
        <w:tc>
          <w:tcPr>
            <w:tcW w:w="129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at federal statutory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taxed at different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withholding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taxes—net of federal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the 2017 Tax Cuts and Jobs 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effect of a law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Adjustment to prior year’s FDII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4, 2022, the U.S. Treasury published another tranche of final regulations regarding the foreign tax credit. These final regulations impose new requirements that a foreign tax must meet in order to be creditable against U.S. income taxes, and generally apply to tax years beginning on or after December 28, 2021. On July 26, 2022, the U.S. Treasury released corrections to the final regulations. On July 21, 2023, the IRS released a notice that suspended the application of significant portions of the final regulations regarding the foreign tax credit for tax years 2022 and 2023. The notice released in July 2023 favorably impacted our ability to claim foreign tax credits in the United States for certain taxes imposed by certain foreign jurisdictions. On December 11, 2023, the IRS released a notice that extended the suspension of significant portions of the final regulations beyond December 31, 2023, until further guidance is issued.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2021, the Organisation for Economic Co-operation and Development enacted model rules for a new global minimum tax framework (“BEPS Pillar Two”), and various governments around the world have enacted, or are in the process of enacting, legislation on this. For the tax year 2025, BEPS Pillar Two has no impact to our effective tax rate or cash flows. We will continue to evaluate the impact of these tax law changes for future periods.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that give rise to significant portions of the deferred tax assets as of the years ended are presented below (in millions):</w:t>
      </w:r>
    </w:p>
    <w:tbl>
      <w:tblPr>
        <w:tblW w:w="6686" w:type="dxa"/>
        <w:jc w:val="center"/>
        <w:tblInd w:w="0" w:type="dxa"/>
        <w:tblLayout w:type="fixed"/>
        <w:tblCellMar>
          <w:top w:w="28" w:type="dxa"/>
          <w:left w:w="28" w:type="dxa"/>
          <w:bottom w:w="28" w:type="dxa"/>
          <w:right w:w="28" w:type="dxa"/>
        </w:tblCellMar>
      </w:tblPr>
      <w:tblGrid>
        <w:gridCol w:w="1464"/>
        <w:gridCol w:w="1283"/>
        <w:gridCol w:w="1288"/>
        <w:gridCol w:w="221"/>
        <w:gridCol w:w="804"/>
        <w:gridCol w:w="114"/>
        <w:gridCol w:w="109"/>
        <w:gridCol w:w="109"/>
        <w:gridCol w:w="109"/>
        <w:gridCol w:w="221"/>
        <w:gridCol w:w="803"/>
        <w:gridCol w:w="161"/>
      </w:tblGrid>
      <w:tr>
        <w:trPr/>
        <w:tc>
          <w:tcPr>
            <w:tcW w:w="1464"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business credit carryforward</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 and accruals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and capital loss carryforwards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expenditures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costs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ROU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assessing the realizability of deferred tax assets, we considered whether it is more likely than not that some portion or all of our deferred tax assets will be realized. This realization is dependent upon the generation of future taxable income during the periods in which those temporary differences become deductible. We concluded that it is more likely than not that we will be able to realize the benefits of our deferred tax assets in the future except for our California research and development credits carryforward, certain impairment losses in business investments and certain tax attributes from business acquisitions. As of December 31, 2025, we had a valuation allowance of $71.8 million against those items.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federal and California net operating loss carryforwards for income tax purposes were $1.22 billion and $32.7 million, respectively. All the net operating loss carryforwards were from acquisitions which were limited by Section 382 of the Internal Revenue Code. If not utilized, the federal net operating loss carryforwards will begin to expire in 2028, and California net operating loss carryforwards will begin to expire in 2034.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state tax credit carryforwards of $60.0 million. The state credits can be carried forward indefinitely.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changes in the balance of unrecognized tax benefits are (in millions):</w:t>
      </w:r>
    </w:p>
    <w:tbl>
      <w:tblPr>
        <w:tblW w:w="9566" w:type="dxa"/>
        <w:jc w:val="center"/>
        <w:tblInd w:w="0" w:type="dxa"/>
        <w:tblLayout w:type="fixed"/>
        <w:tblCellMar>
          <w:top w:w="28" w:type="dxa"/>
          <w:left w:w="28" w:type="dxa"/>
          <w:bottom w:w="28" w:type="dxa"/>
          <w:right w:w="28" w:type="dxa"/>
        </w:tblCellMar>
      </w:tblPr>
      <w:tblGrid>
        <w:gridCol w:w="2310"/>
        <w:gridCol w:w="2027"/>
        <w:gridCol w:w="2037"/>
        <w:gridCol w:w="211"/>
        <w:gridCol w:w="511"/>
        <w:gridCol w:w="109"/>
        <w:gridCol w:w="109"/>
        <w:gridCol w:w="109"/>
        <w:gridCol w:w="109"/>
        <w:gridCol w:w="211"/>
        <w:gridCol w:w="511"/>
        <w:gridCol w:w="109"/>
        <w:gridCol w:w="109"/>
        <w:gridCol w:w="109"/>
        <w:gridCol w:w="109"/>
        <w:gridCol w:w="211"/>
        <w:gridCol w:w="511"/>
        <w:gridCol w:w="154"/>
      </w:tblGrid>
      <w:tr>
        <w:trPr/>
        <w:tc>
          <w:tcPr>
            <w:tcW w:w="23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the current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related to the current year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related to the prior year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related to prior year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related to prior year audit settlements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related to expiration of statute of limitations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$90.4 million of unrecognized tax benefits, of which, if recognized, $74.1 million would favorably affect our effective tax rate. Our gross unrecognized tax benefits increased approximately $14.5 million during the year ended December 31, 2025. The net increase was primarily due to the normal buildup of reserves related to the Federal Research &amp; Development credit and transfer pricing. Our policy is to include accrued interest and penalties related to uncertain tax benefits in income tax expense. As of December 31, 2025, 2024 and 2023, accrued interest and penalties were $12.5 million, $8.8 million and $6.4 million, respectively.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file income tax returns in the U.S. federal jurisdiction and in various U.S. state and foreign jurisdictions. Generally, we are no longer subject to examination by U.S. federal income tax authorities for tax years prior to 2020 and by U.S. state and foreign tax authorities in our significant jurisdictions for tax years prior to 2016. We currently have ongoing tax audits in the United Kingdom, Canada, Germany and several other foreign jurisdictions. The focus of these audits is the inter-company profit allocation.</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Act makes permanent certain elements of the Tax Cuts and Jobs Act, including immediate expensing of U.S. research and development expenditures, immediate expensing of certain eligible assets, and various modifications to the international tax framework. The income tax effects of the Act have been recognized in our provision for income taxes as of December 31, 2025. As a result of the Act, our income tax liability in 2025 decreased by $120.0 million and our GAAP effective tax rate for 2025 increased by one percentage point.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adopted ASU 2023-09 on a prospective basis for the year ended December 31, 2025 and have included the following table as a result of our adoption, which presents income taxes paid (net of refunds received) for the year ended December 31, 2025 (in millions):</w:t>
      </w:r>
    </w:p>
    <w:tbl>
      <w:tblPr>
        <w:tblW w:w="4459" w:type="dxa"/>
        <w:jc w:val="left"/>
        <w:tblInd w:w="0" w:type="dxa"/>
        <w:tblLayout w:type="fixed"/>
        <w:tblCellMar>
          <w:top w:w="28" w:type="dxa"/>
          <w:left w:w="28" w:type="dxa"/>
          <w:bottom w:w="28" w:type="dxa"/>
          <w:right w:w="28" w:type="dxa"/>
        </w:tblCellMar>
      </w:tblPr>
      <w:tblGrid>
        <w:gridCol w:w="647"/>
        <w:gridCol w:w="567"/>
        <w:gridCol w:w="571"/>
        <w:gridCol w:w="568"/>
        <w:gridCol w:w="1659"/>
        <w:gridCol w:w="293"/>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US state and local </w:t>
            </w:r>
            <w:r>
              <w:rPr>
                <w:rFonts w:ascii="Times New Roman;serif" w:hAnsi="Times New Roman;serif"/>
                <w:b w:val="false"/>
                <w:color w:val="000000"/>
                <w:sz w:val="13"/>
              </w:rPr>
              <w:t>(1)</w:t>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w:t>
            </w:r>
            <w:r>
              <w:rPr>
                <w:rFonts w:ascii="Times New Roman;serif" w:hAnsi="Times New Roman;serif"/>
                <w:b w:val="false"/>
                <w:color w:val="000000"/>
                <w:sz w:val="13"/>
              </w:rPr>
              <w:t>(1)</w:t>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(1)</w:t>
            </w:r>
            <w:r>
              <w:rPr>
                <w:color w:val="000000"/>
              </w:rPr>
              <w:t xml:space="preserve"> </w:t>
            </w:r>
            <w:r>
              <w:rPr>
                <w:rFonts w:ascii="Times New Roman;serif" w:hAnsi="Times New Roman;serif"/>
                <w:b w:val="false"/>
                <w:color w:val="000000"/>
                <w:sz w:val="18"/>
              </w:rPr>
              <w:t>Jurisdiction below the disaggregation threshold</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DEFINED CONTRIBUTION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tax-deferred savings plan under our 401(k) Plan permits participating U.S. employees to contribute a portion of their pre-tax or after-tax earnings. In Canada, we have a Group Registered Retirement Savings Plan Program (the “RRSP”), which permits participants to make pre-tax contributions. Our board of directors approved 50% matching contributions on employee contributions up to 4% of each employee’s eligible earnings. Our matching contributions to our 401(k) Plan and the RRSP for 2025, 2024 and 2023 were $20.6 million, $19.3 million and $17.1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segments are determined based on the financial information that is regularly reviewed by the Chief Operating Decision Maker (“CODM”) to allocate resources and assess performance. The Company’s Chief Operating Decision Maker is our Chief Executive Officer, who reviews financial information presented on a consolidated basis, accompanied by information about revenue by geographic region. We have one operating and reportable segment. Our CODM uses consolidated net income as a measure to monitor actual results versus budget and historical performance of our reportable segment. The measure of the segment assets is reported on the consolidated balance sheets as total consolidated assets.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certain financial data for our reportable segment (in millions):</w:t>
      </w:r>
    </w:p>
    <w:tbl>
      <w:tblPr>
        <w:tblW w:w="7451" w:type="dxa"/>
        <w:jc w:val="left"/>
        <w:tblInd w:w="0" w:type="dxa"/>
        <w:tblLayout w:type="fixed"/>
        <w:tblCellMar>
          <w:top w:w="28" w:type="dxa"/>
          <w:left w:w="28" w:type="dxa"/>
          <w:bottom w:w="28" w:type="dxa"/>
          <w:right w:w="28" w:type="dxa"/>
        </w:tblCellMar>
      </w:tblPr>
      <w:tblGrid>
        <w:gridCol w:w="1264"/>
        <w:gridCol w:w="1113"/>
        <w:gridCol w:w="1117"/>
        <w:gridCol w:w="211"/>
        <w:gridCol w:w="766"/>
        <w:gridCol w:w="109"/>
        <w:gridCol w:w="109"/>
        <w:gridCol w:w="109"/>
        <w:gridCol w:w="109"/>
        <w:gridCol w:w="211"/>
        <w:gridCol w:w="766"/>
        <w:gridCol w:w="109"/>
        <w:gridCol w:w="109"/>
        <w:gridCol w:w="109"/>
        <w:gridCol w:w="109"/>
        <w:gridCol w:w="211"/>
        <w:gridCol w:w="766"/>
        <w:gridCol w:w="154"/>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494"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sales and marketing expenses </w:t>
            </w:r>
            <w:r>
              <w:rPr>
                <w:rFonts w:ascii="Times New Roman;serif" w:hAnsi="Times New Roman;serif"/>
                <w:b w:val="false"/>
                <w:color w:val="000000"/>
                <w:sz w:val="13"/>
              </w:rPr>
              <w:t>(1)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segment items </w:t>
            </w:r>
            <w:r>
              <w:rPr>
                <w:rFonts w:ascii="Times New Roman;serif" w:hAnsi="Times New Roman;serif"/>
                <w:b w:val="false"/>
                <w:color w:val="000000"/>
                <w:sz w:val="13"/>
              </w:rPr>
              <w:t>(2)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1"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Excludes commission expense.</w:t>
            </w:r>
          </w:p>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The following table presents other segment items (in millions):</w:t>
            </w:r>
          </w:p>
        </w:tc>
      </w:tr>
    </w:tbl>
    <w:tbl>
      <w:tblPr>
        <w:tblW w:w="7062" w:type="dxa"/>
        <w:jc w:val="left"/>
        <w:tblInd w:w="0" w:type="dxa"/>
        <w:tblLayout w:type="fixed"/>
        <w:tblCellMar>
          <w:top w:w="28" w:type="dxa"/>
          <w:left w:w="28" w:type="dxa"/>
          <w:bottom w:w="28" w:type="dxa"/>
          <w:right w:w="28" w:type="dxa"/>
        </w:tblCellMar>
      </w:tblPr>
      <w:tblGrid>
        <w:gridCol w:w="1326"/>
        <w:gridCol w:w="1164"/>
        <w:gridCol w:w="1170"/>
        <w:gridCol w:w="211"/>
        <w:gridCol w:w="616"/>
        <w:gridCol w:w="109"/>
        <w:gridCol w:w="109"/>
        <w:gridCol w:w="109"/>
        <w:gridCol w:w="109"/>
        <w:gridCol w:w="211"/>
        <w:gridCol w:w="616"/>
        <w:gridCol w:w="109"/>
        <w:gridCol w:w="109"/>
        <w:gridCol w:w="109"/>
        <w:gridCol w:w="109"/>
        <w:gridCol w:w="211"/>
        <w:gridCol w:w="511"/>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intellectual property matters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from equity method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other segment information (in millions):</w:t>
      </w:r>
    </w:p>
    <w:tbl>
      <w:tblPr>
        <w:tblW w:w="7362" w:type="dxa"/>
        <w:jc w:val="left"/>
        <w:tblInd w:w="0" w:type="dxa"/>
        <w:tblLayout w:type="fixed"/>
        <w:tblCellMar>
          <w:top w:w="28" w:type="dxa"/>
          <w:left w:w="28" w:type="dxa"/>
          <w:bottom w:w="28" w:type="dxa"/>
          <w:right w:w="28" w:type="dxa"/>
        </w:tblCellMar>
      </w:tblPr>
      <w:tblGrid>
        <w:gridCol w:w="1196"/>
        <w:gridCol w:w="1050"/>
        <w:gridCol w:w="1054"/>
        <w:gridCol w:w="211"/>
        <w:gridCol w:w="871"/>
        <w:gridCol w:w="109"/>
        <w:gridCol w:w="109"/>
        <w:gridCol w:w="109"/>
        <w:gridCol w:w="109"/>
        <w:gridCol w:w="211"/>
        <w:gridCol w:w="766"/>
        <w:gridCol w:w="109"/>
        <w:gridCol w:w="109"/>
        <w:gridCol w:w="109"/>
        <w:gridCol w:w="109"/>
        <w:gridCol w:w="211"/>
        <w:gridCol w:w="76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300" w:type="dxa"/>
            <w:gridSpan w:val="3"/>
            <w:vMerge w:val="continue"/>
            <w:tcBorders/>
            <w:tcMar>
              <w:top w:w="0" w:type="dxa"/>
              <w:left w:w="0" w:type="dxa"/>
              <w:bottom w:w="0" w:type="dxa"/>
              <w:right w:w="0" w:type="dxa"/>
            </w:tcMar>
            <w:vAlign w:val="center"/>
          </w:tcPr>
          <w:p>
            <w:pPr>
              <w:pStyle w:val="Normal"/>
              <w:bidi w:val="0"/>
              <w:jc w:val="left"/>
              <w:rPr/>
            </w:pPr>
            <w:r>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non-cash items: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 is based on the billing address of our customers. The following tables set forth revenue and property and equipment—net by geographic region (in millions):</w:t>
      </w:r>
    </w:p>
    <w:tbl>
      <w:tblPr>
        <w:tblW w:w="5321" w:type="dxa"/>
        <w:jc w:val="center"/>
        <w:tblInd w:w="0" w:type="dxa"/>
        <w:tblLayout w:type="fixed"/>
        <w:tblCellMar>
          <w:top w:w="28" w:type="dxa"/>
          <w:left w:w="28" w:type="dxa"/>
          <w:bottom w:w="28" w:type="dxa"/>
          <w:right w:w="28" w:type="dxa"/>
        </w:tblCellMar>
      </w:tblPr>
      <w:tblGrid>
        <w:gridCol w:w="493"/>
        <w:gridCol w:w="432"/>
        <w:gridCol w:w="439"/>
        <w:gridCol w:w="211"/>
        <w:gridCol w:w="766"/>
        <w:gridCol w:w="109"/>
        <w:gridCol w:w="109"/>
        <w:gridCol w:w="109"/>
        <w:gridCol w:w="109"/>
        <w:gridCol w:w="211"/>
        <w:gridCol w:w="766"/>
        <w:gridCol w:w="109"/>
        <w:gridCol w:w="109"/>
        <w:gridCol w:w="109"/>
        <w:gridCol w:w="109"/>
        <w:gridCol w:w="211"/>
        <w:gridCol w:w="766"/>
        <w:gridCol w:w="154"/>
      </w:tblGrid>
      <w:tr>
        <w:trPr/>
        <w:tc>
          <w:tcPr>
            <w:tcW w:w="49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Revenue</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tbl>
      <w:tblPr>
        <w:tblW w:w="5651" w:type="dxa"/>
        <w:jc w:val="center"/>
        <w:tblInd w:w="0" w:type="dxa"/>
        <w:tblLayout w:type="fixed"/>
        <w:tblCellMar>
          <w:top w:w="28" w:type="dxa"/>
          <w:left w:w="28" w:type="dxa"/>
          <w:bottom w:w="28" w:type="dxa"/>
          <w:right w:w="28" w:type="dxa"/>
        </w:tblCellMar>
      </w:tblPr>
      <w:tblGrid>
        <w:gridCol w:w="1087"/>
        <w:gridCol w:w="955"/>
        <w:gridCol w:w="958"/>
        <w:gridCol w:w="221"/>
        <w:gridCol w:w="804"/>
        <w:gridCol w:w="114"/>
        <w:gridCol w:w="109"/>
        <w:gridCol w:w="109"/>
        <w:gridCol w:w="109"/>
        <w:gridCol w:w="221"/>
        <w:gridCol w:w="803"/>
        <w:gridCol w:w="161"/>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u w:val="single"/>
              </w:rPr>
              <w:t>Property and Equipment</w:t>
            </w:r>
            <w:r>
              <w:rPr>
                <w:color w:val="000000"/>
                <w:u w:val="single"/>
              </w:rPr>
              <w:t>—</w:t>
            </w:r>
            <w:r>
              <w:rPr>
                <w:rFonts w:ascii="Times New Roman;serif" w:hAnsi="Times New Roman;serif"/>
                <w:b/>
                <w:color w:val="000000"/>
                <w:sz w:val="18"/>
                <w:u w:val="single"/>
              </w:rPr>
              <w:t>net</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Americas</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equipment—net</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1,349.5 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distributor customers accounted for 10% or more of our revenue:</w:t>
      </w:r>
    </w:p>
    <w:tbl>
      <w:tblPr>
        <w:tblW w:w="3780" w:type="dxa"/>
        <w:jc w:val="left"/>
        <w:tblInd w:w="0" w:type="dxa"/>
        <w:tblLayout w:type="fixed"/>
        <w:tblCellMar>
          <w:top w:w="28" w:type="dxa"/>
          <w:left w:w="28" w:type="dxa"/>
          <w:bottom w:w="28" w:type="dxa"/>
          <w:right w:w="28" w:type="dxa"/>
        </w:tblCellMar>
      </w:tblPr>
      <w:tblGrid>
        <w:gridCol w:w="429"/>
        <w:gridCol w:w="377"/>
        <w:gridCol w:w="379"/>
        <w:gridCol w:w="180"/>
        <w:gridCol w:w="181"/>
        <w:gridCol w:w="271"/>
        <w:gridCol w:w="109"/>
        <w:gridCol w:w="109"/>
        <w:gridCol w:w="109"/>
        <w:gridCol w:w="180"/>
        <w:gridCol w:w="181"/>
        <w:gridCol w:w="271"/>
        <w:gridCol w:w="109"/>
        <w:gridCol w:w="109"/>
        <w:gridCol w:w="109"/>
        <w:gridCol w:w="180"/>
        <w:gridCol w:w="181"/>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distributor customers accounted for 10% or more of net accounts receivable:</w:t>
      </w:r>
    </w:p>
    <w:tbl>
      <w:tblPr>
        <w:tblW w:w="2821" w:type="dxa"/>
        <w:jc w:val="left"/>
        <w:tblInd w:w="0" w:type="dxa"/>
        <w:tblLayout w:type="fixed"/>
        <w:tblCellMar>
          <w:top w:w="28" w:type="dxa"/>
          <w:left w:w="28" w:type="dxa"/>
          <w:bottom w:w="28" w:type="dxa"/>
          <w:right w:w="28" w:type="dxa"/>
        </w:tblCellMar>
      </w:tblPr>
      <w:tblGrid>
        <w:gridCol w:w="429"/>
        <w:gridCol w:w="377"/>
        <w:gridCol w:w="379"/>
        <w:gridCol w:w="180"/>
        <w:gridCol w:w="181"/>
        <w:gridCol w:w="271"/>
        <w:gridCol w:w="109"/>
        <w:gridCol w:w="109"/>
        <w:gridCol w:w="109"/>
        <w:gridCol w:w="180"/>
        <w:gridCol w:w="181"/>
        <w:gridCol w:w="316"/>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A</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B</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C</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16.     SUBSEQUENT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our board of directors approved a $1.0 billion increase in the authorized stock repurchase amount under the Repurchase Program, bringing the aggregate amount authorized to be repurchased to $10.25 billion of our outstanding common stock through February 28, 2027.</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to December 31, 2025 and through the filing of this Annual Report on Form 10-K, we repurchased 6.1 million shares of our common stock at an average price of $76.68 per share, for an aggregate purchase price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FORTINET,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$470.5 million, under the Repurchase Program. As of the filing of this Annual Report on Form 10-K, approximately $1.27 billion remained available for future share repurchases through February 28, 2027 under the Repurchase Program.</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Real Property Purchases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2026, we signed a definitive agreement to purchase real property in Sunnyvale, California, totaling approximately 5.3 acres for $47.0 million in cash, excluding acquisition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 13a-15(e) or 15d-15(e) under the Securities Exchange Act of 1934 (the “Exchange Act”)) as of the end of the period covered by this Annual Report on Form 10-K.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our disclosure controls and procedures were effective as of December 31, 2025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i/>
          <w:color w:val="000000"/>
          <w:sz w:val="20"/>
        </w:rPr>
        <w:t>Management</w:t>
      </w:r>
      <w:r>
        <w:rPr>
          <w:color w:val="000000"/>
        </w:rPr>
        <w:t>’</w:t>
      </w:r>
      <w:r>
        <w:rPr>
          <w:rFonts w:ascii="Times New Roman;serif" w:hAnsi="Times New Roman;serif"/>
          <w:b/>
          <w:i/>
          <w:color w:val="000000"/>
          <w:sz w:val="20"/>
        </w:rPr>
        <w:t>s Report on Internal Control over Financial Reporting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Our management is responsible for establishing and maintaining adequate internal control over financial reporting, as defined in Rule 13a-15(f) and 15d-15(f) under the Exchange Act. Management conducted an evaluation of the effectiveness of our internal control over financial reporting based on the framework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set forth by the Committee of Sponsoring Organizations of the Treadway Commission.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Based on this evaluation, management concluded that our internal control over financial reporting was effective as of December 31, 2025. Management reviewed the results of its assessment with our Audit Committee. The effectiveness of our internal control over financial reporting as of December 31, 2025 has been audited by Deloitte &amp; Touche LLP, an independent registered public accounting firm, as stated in its report, which appears in this Item under the heading “Report of Independent Registered Public Accounting Firm.”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(as defined in Rules 13a-15(f) or 15d-15(f) under the Exchange Act) during 2025 that have materially affected, or are reasonably likely to materially affect, our internal controls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Fortinet,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80" w:after="180"/>
        <w:jc w:val="left"/>
        <w:rPr/>
      </w:pPr>
      <w:r>
        <w:rPr>
          <w:rFonts w:ascii="Times New Roman;serif" w:hAnsi="Times New Roman;serif"/>
          <w:b w:val="false"/>
          <w:color w:val="000000"/>
          <w:sz w:val="20"/>
        </w:rPr>
        <w:t xml:space="preserve">We have audited the internal control over financial reporting of Fortinet, Inc.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18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i/>
          <w:color w:val="000000"/>
          <w:sz w:val="20"/>
        </w:rPr>
        <w:t>DELOITTE &amp; TOUCHE LLP</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director or Section 16 officer of the Company adopted or terminated a “Rule 10b5-1 trading arrangement” or “non-Rule 10b5-1 trading arrangement,” as each term is defined in Item 408(a) of Regulation S-K, during the three months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Prevents Inspections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our employees, with regard to their Fortinet-related activities. Our code of business conduct and ethics is available on our website at www.fortinet.com under “Corporate—Investor Relations—Corporate Governance.” We will post on this section of our website any amendment to our code of business conduct and ethics, as well as any waivers of our code of business conduct and ethics, which are required to be disclosed by the rules of the SEC or the Nasdaq Stock Market.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Insider Trading Policy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that governs the purchase, sale and/or other dispositions of our securities by directors, officers and employees. Our Insider Trading Policy also provides that we will not transact in any of our own securities unless in compliance with U.S. securities laws. We believe that our Insider Trading Policy is reasonably designed to promote compliance with insider trading laws, rules and regulations, and the Nasdaq listing standards applicable to us. A copy of our Insider Trading Policy is filed as Exhibit 19.1 to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responsive to this item is incorporated herein by reference to our definitive proxy statement with respect to our 2026 Annual Meeting of Stockholders to be filed with the SEC within 120 days after the end of the fiscal year covered by this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Annual Report on Form 10-K:</w:t>
      </w:r>
    </w:p>
    <w:p>
      <w:pPr>
        <w:pStyle w:val="TextBody"/>
        <w:bidi w:val="0"/>
        <w:spacing w:before="0" w:after="0"/>
        <w:ind w:left="0" w:right="0" w:firstLine="72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1.</w:t>
      </w:r>
      <w:r>
        <w:rPr>
          <w:rFonts w:ascii="Times New Roman;serif" w:hAnsi="Times New Roman;serif"/>
          <w:b w:val="false"/>
          <w:i/>
          <w:color w:val="000000"/>
          <w:sz w:val="20"/>
        </w:rPr>
        <w:t>Financial Statements:</w:t>
      </w:r>
      <w:r>
        <w:rPr>
          <w:color w:val="000000"/>
        </w:rPr>
        <w:t xml:space="preserve"> </w:t>
      </w:r>
      <w:r>
        <w:rPr>
          <w:rFonts w:ascii="Times New Roman;serif" w:hAnsi="Times New Roman;serif"/>
          <w:b w:val="false"/>
          <w:color w:val="000000"/>
          <w:sz w:val="20"/>
        </w:rPr>
        <w:t>The information concerning Fortinet’s financial statements and the Report of Independent Registered Public Accounting Firm required by this Item 15(a)(1) is incorporated by reference herein to the section of this Annual Report on Form 10-K in Part II, Item 8, titled “Financial Statements and Supplementary Data.”</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2.</w:t>
      </w:r>
      <w:r>
        <w:rPr>
          <w:rFonts w:ascii="Times New Roman;serif" w:hAnsi="Times New Roman;serif"/>
          <w:b w:val="false"/>
          <w:i/>
          <w:color w:val="000000"/>
          <w:sz w:val="20"/>
        </w:rPr>
        <w:t xml:space="preserve">Financial Statement Schedule: </w:t>
      </w:r>
      <w:r>
        <w:rPr>
          <w:rFonts w:ascii="Times New Roman;serif" w:hAnsi="Times New Roman;serif"/>
          <w:b w:val="false"/>
          <w:color w:val="000000"/>
          <w:sz w:val="20"/>
        </w:rPr>
        <w:t>Financial statement schedules have been omitted because they are not applicable or are not required or the information required to be set forth therein is included in the consolidated financial statements or notes thereto.</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0"/>
        </w:rPr>
        <w:t>3.</w:t>
      </w:r>
      <w:r>
        <w:rPr>
          <w:color w:val="000000"/>
        </w:rPr>
        <w:t xml:space="preserve"> </w:t>
      </w:r>
      <w:r>
        <w:rPr>
          <w:rFonts w:ascii="Times New Roman;serif" w:hAnsi="Times New Roman;serif"/>
          <w:b w:val="false"/>
          <w:i/>
          <w:color w:val="000000"/>
          <w:sz w:val="20"/>
        </w:rPr>
        <w:t>Exhibits</w:t>
      </w:r>
      <w:r>
        <w:rPr>
          <w:rFonts w:ascii="Times New Roman;serif" w:hAnsi="Times New Roman;serif"/>
          <w:b w:val="false"/>
          <w:color w:val="000000"/>
          <w:sz w:val="20"/>
        </w:rPr>
        <w:t>: See Item 15(b) below. We have filed, or incorporated into this Annual Report on Form 10-K by reference, the exhibits listed on the accompanying Exhibit Index immediately preceding the signature page of this Annual Report on Form 10-K.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Exhibits: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exhibits listed on the Exhibit Index immediately preceding the signature page of this Annual Report on Form 10-K is incorporated herein by reference as the list of exhibits required by this Item 15(b).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Financial Statement Schedules: See Item 15(a)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460"/>
        <w:gridCol w:w="1354"/>
        <w:gridCol w:w="1368"/>
        <w:gridCol w:w="109"/>
        <w:gridCol w:w="109"/>
        <w:gridCol w:w="109"/>
        <w:gridCol w:w="751"/>
        <w:gridCol w:w="751"/>
        <w:gridCol w:w="753"/>
        <w:gridCol w:w="109"/>
        <w:gridCol w:w="109"/>
        <w:gridCol w:w="109"/>
        <w:gridCol w:w="417"/>
        <w:gridCol w:w="345"/>
        <w:gridCol w:w="251"/>
        <w:gridCol w:w="109"/>
        <w:gridCol w:w="109"/>
        <w:gridCol w:w="109"/>
        <w:gridCol w:w="215"/>
        <w:gridCol w:w="215"/>
        <w:gridCol w:w="31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 Incorporated by reference herein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Filed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6"/>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Restated Certificate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6"/>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Report on Form 8-K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23,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6"/>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Specimen common stock certificate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Registration Statement on Form S-l, as amended (File No. 333-161190)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November 2,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42_20251231xk.htm">
              <w:r>
                <w:rPr>
                  <w:rStyle w:val="InternetLink"/>
                  <w:rFonts w:ascii="Times New Roman;serif" w:hAnsi="Times New Roman;serif"/>
                  <w:b w:val="false"/>
                  <w:color w:val="0000FF"/>
                  <w:sz w:val="16"/>
                  <w:u w:val="single"/>
                </w:rPr>
                <w:t>4.2</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Securities Registered Pursuant to Section 12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16"/>
                  <w:u w:val="single"/>
                </w:rPr>
                <w:t>10.1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Forms of Indemnification Agreement between the Company and its directors and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Registration Statement on Form S-l (File No. 333-161190)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10,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16"/>
                  <w:u w:val="single"/>
                </w:rPr>
                <w:t>10.2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2009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6"/>
                  <w:u w:val="single"/>
                </w:rPr>
                <w:t>10.3</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Forms of stock option agreement under Amended and Restated 2009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28, 2012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16"/>
                  <w:u w:val="single"/>
                </w:rPr>
                <w:t>10.4</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performance stock unit award agreement under Amended and Restated 2009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6,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99.1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16"/>
                  <w:u w:val="single"/>
                </w:rPr>
                <w:t>10.5</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Forms of restricted stock unit award and performance stock unit award agreement under Amended and Restated 2009 Equity Incentive Plan (Additional Forms)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March 2,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6"/>
                  <w:u w:val="single"/>
                </w:rPr>
                <w:t>10.6</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award agreement under Amended and Restated 2009 Equity Incentive Plan (Additional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6"/>
                  <w:u w:val="single"/>
                </w:rPr>
                <w:t>10.7</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stock option award agreement under Amended and Restated 2009 Equity Incentive Plan (Additional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26,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10.7</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6"/>
                  <w:u w:val="single"/>
                </w:rPr>
                <w:t>10.8</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Fortinet, Inc. Amended Bonus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19,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10.8</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6"/>
                  <w:u w:val="single"/>
                </w:rPr>
                <w:t>10.9</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Fortinet, Inc. Cash and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November 5, 2013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6"/>
                  <w:u w:val="single"/>
                </w:rPr>
                <w:t>10.10</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Change of Control Agreement between the Company and its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August 4,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6"/>
                  <w:u w:val="single"/>
                </w:rPr>
                <w:t>10.11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Amended and Restated Change of Control Severance Agreement, effective as of August 7, 2024, between the Company and Ken Xie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6"/>
                  <w:u w:val="single"/>
                </w:rPr>
                <w:t>10.12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Amended and Restated Change of Control Severance Agreement, effective as of August 7, 2024, between the Company and Michael Xie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6"/>
                  <w:u w:val="single"/>
                </w:rPr>
                <w:t>10.13</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Amended and Restated Change of Control Severance Agreement, effective as of August 7, 2024, between the Company and John Whittle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10.3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6"/>
                  <w:u w:val="single"/>
                </w:rPr>
                <w:t>10.14</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dated as of October 23, 2006, by and between the Company and John Whittle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Registration Statement on Form S-l, as amended (File No. 333-161190)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August 10, 2009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10.10</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80"/>
                  <w:sz w:val="16"/>
                  <w:u w:val="single"/>
                </w:rPr>
                <w:t>10.1</w:t>
              </w:r>
            </w:hyperlink>
            <w:hyperlink r:id="rId21">
              <w:r>
                <w:rPr>
                  <w:rStyle w:val="InternetLink"/>
                  <w:rFonts w:ascii="Times New Roman;serif" w:hAnsi="Times New Roman;serif"/>
                  <w:b w:val="false"/>
                  <w:color w:val="000080"/>
                  <w:sz w:val="16"/>
                  <w:u w:val="single"/>
                </w:rPr>
                <w:t>5</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of Control Severance Agreement, effective as of May 15, 2025, between the Company and Christian Ohlgart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August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80"/>
                  <w:sz w:val="16"/>
                  <w:u w:val="single"/>
                </w:rPr>
                <w:t>10.1</w:t>
              </w:r>
            </w:hyperlink>
            <w:hyperlink r:id="rId23">
              <w:r>
                <w:rPr>
                  <w:rStyle w:val="InternetLink"/>
                  <w:rFonts w:ascii="Times New Roman;serif" w:hAnsi="Times New Roman;serif"/>
                  <w:b w:val="false"/>
                  <w:color w:val="000080"/>
                  <w:sz w:val="16"/>
                  <w:u w:val="single"/>
                </w:rPr>
                <w:t>6</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performance stock unit award agreement under Amended and Restated 2009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80"/>
                  <w:sz w:val="16"/>
                  <w:u w:val="single"/>
                </w:rPr>
                <w:t>10.1</w:t>
              </w:r>
            </w:hyperlink>
            <w:hyperlink r:id="rId25">
              <w:r>
                <w:rPr>
                  <w:rStyle w:val="InternetLink"/>
                  <w:rFonts w:ascii="Times New Roman;serif" w:hAnsi="Times New Roman;serif"/>
                  <w:b w:val="false"/>
                  <w:color w:val="000080"/>
                  <w:sz w:val="16"/>
                  <w:u w:val="single"/>
                </w:rPr>
                <w:t>7</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award agreement under Amended and Restated 2009 Equity Incentive Plan (Additional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Quarterly Report on Form 10-Q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May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6"/>
                  <w:u w:val="single"/>
                </w:rPr>
                <w:t>19.1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Insider Trading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19.1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211_20251231xk.htm">
              <w:r>
                <w:rPr>
                  <w:rStyle w:val="InternetLink"/>
                  <w:rFonts w:ascii="Times New Roman;serif" w:hAnsi="Times New Roman;serif"/>
                  <w:b w:val="false"/>
                  <w:color w:val="0000FF"/>
                  <w:sz w:val="16"/>
                  <w:u w:val="single"/>
                </w:rPr>
                <w:t>21.1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231_20251231xk.htm">
              <w:r>
                <w:rPr>
                  <w:rStyle w:val="InternetLink"/>
                  <w:rFonts w:ascii="Times New Roman;serif" w:hAnsi="Times New Roman;serif"/>
                  <w:b w:val="false"/>
                  <w:color w:val="0000FF"/>
                  <w:sz w:val="16"/>
                  <w:u w:val="single"/>
                </w:rPr>
                <w:t>23.1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1fcb98cc5f34eafa1d5d1bdeaf1bef2_226">
              <w:r>
                <w:rPr>
                  <w:rStyle w:val="InternetLink"/>
                  <w:rFonts w:ascii="Times New Roman;serif" w:hAnsi="Times New Roman;serif"/>
                  <w:b w:val="false"/>
                  <w:color w:val="0000FF"/>
                  <w:sz w:val="16"/>
                  <w:u w:val="single"/>
                </w:rPr>
                <w:t>24.1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Power of Attorney (incorporated by reference to the signature page of this Annual Report on Form 10-K)</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34"/>
        <w:gridCol w:w="197"/>
        <w:gridCol w:w="201"/>
        <w:gridCol w:w="109"/>
        <w:gridCol w:w="109"/>
        <w:gridCol w:w="109"/>
        <w:gridCol w:w="666"/>
        <w:gridCol w:w="579"/>
        <w:gridCol w:w="425"/>
        <w:gridCol w:w="336"/>
        <w:gridCol w:w="336"/>
        <w:gridCol w:w="336"/>
        <w:gridCol w:w="807"/>
        <w:gridCol w:w="658"/>
        <w:gridCol w:w="658"/>
        <w:gridCol w:w="336"/>
        <w:gridCol w:w="336"/>
        <w:gridCol w:w="336"/>
        <w:gridCol w:w="547"/>
        <w:gridCol w:w="336"/>
        <w:gridCol w:w="336"/>
        <w:gridCol w:w="336"/>
        <w:gridCol w:w="336"/>
        <w:gridCol w:w="336"/>
        <w:gridCol w:w="385"/>
        <w:gridCol w:w="336"/>
        <w:gridCol w:w="489"/>
      </w:tblGrid>
      <w:tr>
        <w:trPr/>
        <w:tc>
          <w:tcPr>
            <w:tcW w:w="2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11_20251231xk.htm">
              <w:r>
                <w:rPr>
                  <w:rStyle w:val="InternetLink"/>
                  <w:rFonts w:ascii="Times New Roman;serif" w:hAnsi="Times New Roman;serif"/>
                  <w:b w:val="false"/>
                  <w:color w:val="0000FF"/>
                  <w:sz w:val="16"/>
                  <w:u w:val="single"/>
                </w:rPr>
                <w:t>31.1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Executive Officer pursuant to Exchange Act Rules 13a-14(a) and 15d-14(a), as adopted pursuant to Section 302 of the Sarbanes-Oxley Act of 2002</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12_20251231xk.htm">
              <w:r>
                <w:rPr>
                  <w:rStyle w:val="InternetLink"/>
                  <w:rFonts w:ascii="Times New Roman;serif" w:hAnsi="Times New Roman;serif"/>
                  <w:b w:val="false"/>
                  <w:color w:val="0000FF"/>
                  <w:sz w:val="16"/>
                  <w:u w:val="single"/>
                </w:rPr>
                <w:t>31.2</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Chief Financial Officer pursuant to Exchange Act Rules 13a-14(a) and 15d-14(a), as adopted pursuant to Section 302 of the Sarbanes-Oxley Act of 2002</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tnt-ex321_20251231xk.htm">
              <w:r>
                <w:rPr>
                  <w:rStyle w:val="InternetLink"/>
                  <w:rFonts w:ascii="Times New Roman;serif" w:hAnsi="Times New Roman;serif"/>
                  <w:b w:val="false"/>
                  <w:color w:val="0000FF"/>
                  <w:sz w:val="16"/>
                  <w:u w:val="single"/>
                </w:rPr>
                <w:t>32.1</w:t>
              </w:r>
            </w:hyperlink>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Certifications of Chief Executive Officer and Chief Financial Officer pursuant to 18 U.S.C. Section 1350, as adopted pursuant to Section 906 of the Sarbanes-Oxley Act of 2002</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6"/>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Recovery Policy</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Annual Report on Form 10-K (File No. 001-34511)</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February 6, 2024</w:t>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97.1</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101.INS</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Instance Document - the instance document does not appear in the interactive data file because its XBRL tags are embedded within the inline XBRL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101.SCH</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Schema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101.CAL</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Calculation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101.DEF</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Definition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101.LAB</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Label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101.PRE</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Inline XBRL Taxonomy Extension Presentation Linkbase Document</w:t>
            </w:r>
          </w:p>
        </w:tc>
      </w:tr>
      <w:tr>
        <w:trPr/>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104</w:t>
            </w:r>
            <w:r>
              <w:rPr>
                <w:rFonts w:ascii="Times New Roman;serif" w:hAnsi="Times New Roman;serif"/>
                <w:b w:val="false"/>
                <w:color w:val="000000"/>
                <w:sz w:val="1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2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 the cover page from the Company’s Annual Report on Form 10-K for the year ended December 31, 2025 is formatted in inline XBRL.</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6"/>
        </w:rPr>
        <w:t>Indicates management compensatory plan, contract or arrangement.</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450"/>
        <w:jc w:val="left"/>
        <w:rPr>
          <w:rFonts w:ascii="Times New Roman;serif" w:hAnsi="Times New Roman;serif"/>
          <w:b w:val="false"/>
          <w:color w:val="000000"/>
          <w:sz w:val="16"/>
        </w:rPr>
      </w:pPr>
      <w:r>
        <w:rPr>
          <w:rFonts w:ascii="Times New Roman;serif" w:hAnsi="Times New Roman;serif"/>
          <w:b w:val="false"/>
          <w:color w:val="000000"/>
          <w:sz w:val="16"/>
        </w:rPr>
        <w:t>** Furnished herewith. This certification is deemed not filed for purposes of Section 18 of the Exchange Act, or otherwise subject to the liability of that section, nor shall it be deemed incorporated by reference into any filing under the Securities Act or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704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331"/>
        <w:gridCol w:w="1331"/>
        <w:gridCol w:w="189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FORTINET,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Ken Xie, Chief Executive Officer and Chairman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9" w:type="dxa"/>
            <w:gridSpan w:val="3"/>
            <w:tcBorders/>
            <w:tcMar>
              <w:top w:w="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color w:val="000000"/>
                <w:sz w:val="18"/>
              </w:rPr>
            </w:pPr>
            <w:r>
              <w:rPr>
                <w:rFonts w:ascii="Times New Roman;serif" w:hAnsi="Times New Roman;serif"/>
                <w:b/>
                <w:color w:val="000000"/>
                <w:sz w:val="18"/>
              </w:rPr>
              <w:t>(Duly Authorized Officer and Principal Executive Officer)</w:t>
            </w:r>
          </w:p>
        </w:tc>
      </w:tr>
    </w:tbl>
    <w:p>
      <w:pPr>
        <w:pStyle w:val="TextBody"/>
        <w:bidi w:val="0"/>
        <w:spacing w:before="0" w:after="0"/>
        <w:jc w:val="left"/>
        <w:rPr/>
      </w:pPr>
      <w:r>
        <w:rPr/>
      </w:r>
    </w:p>
    <w:tbl>
      <w:tblPr>
        <w:tblW w:w="959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2082"/>
        <w:gridCol w:w="2082"/>
        <w:gridCol w:w="2945"/>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FORTINET,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Christiane Ohlgart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Christiane Ohlgart,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(Duly Authorized Officer and Principal Financial Officer and Principal Accounting Officer)</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71fcb98cc5f34eafa1d5d1bdeaf1bef2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Ken Xie and Christiane Ohlgart,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88" w:before="0" w:after="0"/>
        <w:ind w:left="0" w:right="0" w:firstLine="720"/>
        <w:jc w:val="left"/>
        <w:rPr>
          <w:color w:val="000000"/>
        </w:rPr>
      </w:pPr>
      <w:r>
        <w:rPr>
          <w:color w:val="000000"/>
        </w:rPr>
        <w:t> </w:t>
      </w:r>
    </w:p>
    <w:tbl>
      <w:tblPr>
        <w:tblW w:w="9699" w:type="dxa"/>
        <w:jc w:val="left"/>
        <w:tblInd w:w="0" w:type="dxa"/>
        <w:tblLayout w:type="fixed"/>
        <w:tblCellMar>
          <w:top w:w="28" w:type="dxa"/>
          <w:left w:w="28" w:type="dxa"/>
          <w:bottom w:w="28" w:type="dxa"/>
          <w:right w:w="28" w:type="dxa"/>
        </w:tblCellMar>
      </w:tblPr>
      <w:tblGrid>
        <w:gridCol w:w="835"/>
        <w:gridCol w:w="736"/>
        <w:gridCol w:w="739"/>
        <w:gridCol w:w="109"/>
        <w:gridCol w:w="109"/>
        <w:gridCol w:w="109"/>
        <w:gridCol w:w="1693"/>
        <w:gridCol w:w="1693"/>
        <w:gridCol w:w="1714"/>
        <w:gridCol w:w="109"/>
        <w:gridCol w:w="109"/>
        <w:gridCol w:w="109"/>
        <w:gridCol w:w="477"/>
        <w:gridCol w:w="477"/>
        <w:gridCol w:w="681"/>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 Xie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Chairman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Ken Xie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Christiane Ohlgart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Christiane Ohlgart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Xie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Technology Officer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Xie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Kenneth A. Goldman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Kenneth A. Goldman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Ming Hsieh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Ming Hsieh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Jean Hu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Jean Hu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Janet Napolitano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Judith Sim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Judith Sim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Admiral James Stavridis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Admiral James Stavridis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4.2</w:t>
      </w:r>
    </w:p>
    <w:p>
      <w:pPr>
        <w:pStyle w:val="TextBody"/>
        <w:bidi w:val="0"/>
        <w:spacing w:lineRule="auto" w:line="345" w:before="180" w:after="283"/>
        <w:jc w:val="center"/>
        <w:rPr>
          <w:rFonts w:ascii="Times New Roman;serif" w:hAnsi="Times New Roman;serif"/>
          <w:b/>
          <w:color w:val="000000"/>
          <w:sz w:val="20"/>
        </w:rPr>
      </w:pPr>
      <w:r>
        <w:rPr>
          <w:rFonts w:ascii="Times New Roman;serif" w:hAnsi="Times New Roman;serif"/>
          <w:b/>
          <w:color w:val="000000"/>
          <w:sz w:val="20"/>
        </w:rPr>
        <w:t>DESCRIPTION OF FORTINET’S SECURITIES REGISTERED</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PURSUANT TO SECTION 12 OF THE SECURITIES EXCHANGE ACT OF 1934</w:t>
      </w:r>
    </w:p>
    <w:p>
      <w:pPr>
        <w:pStyle w:val="TextBody"/>
        <w:bidi w:val="0"/>
        <w:spacing w:before="0" w:after="0"/>
        <w:jc w:val="center"/>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Fortinet, Inc. (“we,” “us” or “our”) had one class of securities registered under Section 12 of the Securities Exchange Act of 1934, as amended: our common stock.</w:t>
      </w:r>
    </w:p>
    <w:p>
      <w:pPr>
        <w:pStyle w:val="TextBody"/>
        <w:bidi w:val="0"/>
        <w:spacing w:before="0" w:after="0"/>
        <w:jc w:val="left"/>
        <w:rPr/>
      </w:pPr>
      <w:r>
        <w:rPr/>
      </w:r>
    </w:p>
    <w:p>
      <w:pPr>
        <w:pStyle w:val="TextBody"/>
        <w:bidi w:val="0"/>
        <w:spacing w:lineRule="auto" w:line="417"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summary of the terms of our common stock is based upon our restated certificate of incorporation and our amended and restated bylaws and applicable provisions of law. The summary is not complete, and is qualified by reference to our restated certificate of incorporation and our amended and restated bylaws, which are filed as exhibits to this Annual Report on Form 10-K and are incorporated by reference herein. We encourage you to read our restated certificate of incorporation, our amended and restated bylaws and the applicable provisions of the Delaware General Corporation Law (the “DGCL”) for additional information.</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i/>
          <w:color w:val="000000"/>
          <w:sz w:val="20"/>
        </w:rPr>
      </w:pPr>
      <w:r>
        <w:rPr>
          <w:rFonts w:ascii="Times New Roman;serif" w:hAnsi="Times New Roman;serif"/>
          <w:b/>
          <w:i/>
          <w:color w:val="000000"/>
          <w:sz w:val="20"/>
        </w:rPr>
        <w:t>Capitalization</w:t>
      </w:r>
    </w:p>
    <w:p>
      <w:pPr>
        <w:pStyle w:val="TextBody"/>
        <w:bidi w:val="0"/>
        <w:spacing w:before="0" w:after="0"/>
        <w:ind w:left="0" w:right="0" w:firstLine="36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1,510,000,000 shares of capital stock, including 1,500,000,000 shares of common stock, par value of $0.001 per share, and 10,000,000 shares of undesignated preferred stock, par value of $0.001 per share.</w:t>
      </w:r>
    </w:p>
    <w:p>
      <w:pPr>
        <w:pStyle w:val="TextBody"/>
        <w:bidi w:val="0"/>
        <w:spacing w:before="0" w:after="0"/>
        <w:ind w:left="0" w:right="0" w:firstLine="360"/>
        <w:jc w:val="left"/>
        <w:rPr/>
      </w:pPr>
      <w:r>
        <w:rPr/>
      </w:r>
    </w:p>
    <w:p>
      <w:pPr>
        <w:pStyle w:val="TextBody"/>
        <w:bidi w:val="0"/>
        <w:spacing w:lineRule="auto" w:line="345"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345"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Dividend Rights</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before="0" w:after="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our common stock are entitled to one vote for each share held on all matters submitted to a vote of stockholders. We have not provided for cumulative voting for the election of directors in our restated certificate of incorporation. Our restated certificate of incorporation provides for all members of our board of directors to stand for election annually for one-year terms. Our amended and restated bylaws provide for a majority voting standard for uncontested elections of directors.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Right to Receive Liquidation Distributions</w:t>
      </w:r>
    </w:p>
    <w:p>
      <w:pPr>
        <w:pStyle w:val="TextBody"/>
        <w:bidi w:val="0"/>
        <w:spacing w:before="0" w:after="0"/>
        <w:ind w:left="0" w:right="0" w:firstLine="720"/>
        <w:jc w:val="left"/>
        <w:rPr/>
      </w:pPr>
      <w:r>
        <w:rPr/>
      </w:r>
    </w:p>
    <w:p>
      <w:pPr>
        <w:pStyle w:val="TextBody"/>
        <w:bidi w:val="0"/>
        <w:spacing w:lineRule="auto" w:line="345"/>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Other Rights and Preferences</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not entitled to preemptive rights, and is not subject to conversion, redemption or sinking fund provisions.</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i/>
          <w:color w:val="000000"/>
          <w:sz w:val="20"/>
        </w:rPr>
      </w:pPr>
      <w:r>
        <w:rPr>
          <w:rFonts w:ascii="Times New Roman;serif" w:hAnsi="Times New Roman;serif"/>
          <w:b/>
          <w:i/>
          <w:color w:val="000000"/>
          <w:sz w:val="20"/>
        </w:rPr>
        <w:t xml:space="preserve">Preferred Stock </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i/>
          <w:color w:val="000000"/>
          <w:sz w:val="20"/>
        </w:rPr>
      </w:pPr>
      <w:r>
        <w:rPr>
          <w:rFonts w:ascii="Times New Roman;serif" w:hAnsi="Times New Roman;serif"/>
          <w:b/>
          <w:i/>
          <w:color w:val="000000"/>
          <w:sz w:val="20"/>
        </w:rPr>
        <w:t>Anti-Takeover Provisions</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provisions of Delaware law, our restated certificate of incorporation and our amended and restated bylaws could have the effect of delaying, deferring or discouraging another person from acquiring control of our company. These provisions, which are summarized below, may have the effect of discouraging takeover bids. </w:t>
      </w:r>
    </w:p>
    <w:p>
      <w:pPr>
        <w:pStyle w:val="TextBody"/>
        <w:bidi w:val="0"/>
        <w:spacing w:before="0" w:after="0"/>
        <w:jc w:val="left"/>
        <w:rPr/>
      </w:pPr>
      <w:r>
        <w:rPr/>
      </w:r>
    </w:p>
    <w:p>
      <w:pPr>
        <w:pStyle w:val="TextBody"/>
        <w:bidi w:val="0"/>
        <w:spacing w:lineRule="auto" w:line="345"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Delaware Law</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pStyle w:val="TextBody"/>
        <w:bidi w:val="0"/>
        <w:spacing w:before="0" w:after="0"/>
        <w:ind w:left="0" w:right="0" w:firstLine="72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before="0" w:after="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color w:val="000000"/>
          <w:sz w:val="20"/>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ind w:left="0" w:right="0" w:hanging="720"/>
        <w:jc w:val="left"/>
        <w:rPr/>
      </w:pPr>
      <w:r>
        <w:rPr>
          <w:color w:val="000000"/>
        </w:rPr>
        <w:t>•</w:t>
      </w:r>
      <w:r>
        <w:rPr>
          <w:rFonts w:ascii="Times New Roman;serif" w:hAnsi="Times New Roman;serif"/>
          <w:b w:val="false"/>
          <w:color w:val="000000"/>
          <w:sz w:val="20"/>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Restated Certificate of Incorporation and Amended and Restated Bylaw Provisions</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and our amended and restated bylaws include a number of provisions that could deter hostile takeovers or delay or prevent changes in control of our company, including the following:</w:t>
      </w:r>
    </w:p>
    <w:p>
      <w:pPr>
        <w:pStyle w:val="TextBody"/>
        <w:bidi w:val="0"/>
        <w:spacing w:before="0" w:after="0"/>
        <w:ind w:left="0" w:right="0" w:firstLine="72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i/>
          <w:color w:val="000000"/>
          <w:sz w:val="20"/>
        </w:rPr>
        <w:t>Board of Directors Vacancies</w:t>
      </w:r>
      <w:r>
        <w:rPr>
          <w:rFonts w:ascii="Times New Roman;serif" w:hAnsi="Times New Roman;serif"/>
          <w:b w:val="false"/>
          <w:color w:val="000000"/>
          <w:sz w:val="20"/>
        </w:rPr>
        <w:t>. Our restated certificate of incorporation and our amended and restated bylaws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pStyle w:val="TextBody"/>
        <w:bidi w:val="0"/>
        <w:spacing w:before="0" w:after="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i/>
          <w:color w:val="000000"/>
          <w:sz w:val="20"/>
        </w:rPr>
        <w:t>Stockholder Action; Special Meetings of Stockholders</w:t>
      </w:r>
      <w:r>
        <w:rPr>
          <w:rFonts w:ascii="Times New Roman;serif" w:hAnsi="Times New Roman;serif"/>
          <w:b w:val="false"/>
          <w:color w:val="000000"/>
          <w:sz w:val="20"/>
        </w:rPr>
        <w:t>. Our restated certificate of incorporation provides that our stockholders may not take action by written consent, and may only take action at an annual or special meeting of our stockholders. Our amended and restated bylaws further provide that special meetings of our stockholders may be called only by stockholders holding not less than 25% of the outstanding shares entitled to vote on the matters to be brought before the proposed special meeting, a majority of our board of directors, the chairperson of our board of directors, our chief executive officer or our president, thus prohibiting stockholders who do not meet the ownership threshold from calling a special meeting. These provisions might delay the ability of our stockholders to force consideration of a proposal or for stockholders to take any action, including the removal of directors.</w:t>
      </w:r>
    </w:p>
    <w:p>
      <w:pPr>
        <w:pStyle w:val="TextBody"/>
        <w:bidi w:val="0"/>
        <w:spacing w:before="0" w:after="0"/>
        <w:jc w:val="left"/>
        <w:rPr/>
      </w:pPr>
      <w:r>
        <w:rPr/>
      </w:r>
    </w:p>
    <w:p>
      <w:pPr>
        <w:pStyle w:val="TextBody"/>
        <w:bidi w:val="0"/>
        <w:spacing w:lineRule="auto" w:line="345"/>
        <w:ind w:left="0" w:right="0" w:hanging="720"/>
        <w:jc w:val="left"/>
        <w:rPr/>
      </w:pPr>
      <w:r>
        <w:rPr>
          <w:color w:val="000000"/>
        </w:rPr>
        <w:t>•</w:t>
      </w:r>
      <w:r>
        <w:rPr>
          <w:rFonts w:ascii="Times New Roman;serif" w:hAnsi="Times New Roman;serif"/>
          <w:b w:val="false"/>
          <w:i/>
          <w:color w:val="000000"/>
          <w:sz w:val="20"/>
        </w:rPr>
        <w:t>Advance Notice Requirements for Stockholder Proposals and Director Nominations</w:t>
      </w:r>
      <w:r>
        <w:rPr>
          <w:rFonts w:ascii="Times New Roman;serif" w:hAnsi="Times New Roman;serif"/>
          <w:b w:val="false"/>
          <w:color w:val="000000"/>
          <w:sz w:val="20"/>
        </w:rPr>
        <w:t xml:space="preserve">. 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pStyle w:val="TextBody"/>
        <w:bidi w:val="0"/>
        <w:spacing w:before="0" w:after="0"/>
        <w:ind w:left="0" w:right="0" w:hanging="36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i/>
          <w:color w:val="000000"/>
          <w:sz w:val="20"/>
        </w:rPr>
        <w:t>Proxy Access</w:t>
      </w:r>
      <w:r>
        <w:rPr>
          <w:rFonts w:ascii="Times New Roman;serif" w:hAnsi="Times New Roman;serif"/>
          <w:b w:val="false"/>
          <w:color w:val="000000"/>
          <w:sz w:val="20"/>
        </w:rPr>
        <w:t>. Our amended and restated bylaws provide that, in certain circumstances, a stockholder or group of up to 20 stockholders may include director candidates that they have nominated in our annual meeting proxy materials. Such stockholder or group of stockholders need to own 3% or more of our outstanding common stock continuously for at least three years (i) preceding and including the date of submission of the nomination notice and (ii) following the date we implemented proxy access in the amended and restated Bylaws, whichever is later. The number of stockholder-nominated candidates appearing in any of our annual meeting proxy materials cannot exceed the greater of two individuals or 20% of our board of directors. The nominating stockholder or group of stockholders is also required to deliver certain information, and each nominee is required to meet certain qualifications, as described in more detail in the amended and restated bylaws.</w:t>
      </w:r>
    </w:p>
    <w:p>
      <w:pPr>
        <w:pStyle w:val="TextBody"/>
        <w:bidi w:val="0"/>
        <w:spacing w:before="0" w:after="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i/>
          <w:color w:val="000000"/>
          <w:sz w:val="20"/>
        </w:rPr>
        <w:t>No Cumulative Voting</w:t>
      </w:r>
      <w:r>
        <w:rPr>
          <w:rFonts w:ascii="Times New Roman;serif" w:hAnsi="Times New Roman;serif"/>
          <w:b w:val="false"/>
          <w:color w:val="000000"/>
          <w:sz w:val="20"/>
        </w:rPr>
        <w:t>. The DGCL provides that stockholders are not entitled to the right to cumulate votes in the election of directors unless a corporation’s certificate of incorporation provides otherwise. Our restated certificate of incorporation and amended and restated bylaws do not provide for cumulative voting.</w:t>
      </w:r>
    </w:p>
    <w:p>
      <w:pPr>
        <w:pStyle w:val="TextBody"/>
        <w:bidi w:val="0"/>
        <w:spacing w:before="0" w:after="0"/>
        <w:jc w:val="left"/>
        <w:rPr/>
      </w:pPr>
      <w:r>
        <w:rPr/>
      </w:r>
    </w:p>
    <w:p>
      <w:pPr>
        <w:pStyle w:val="TextBody"/>
        <w:bidi w:val="0"/>
        <w:spacing w:lineRule="auto" w:line="345" w:before="0" w:after="0"/>
        <w:ind w:left="0" w:right="0" w:hanging="720"/>
        <w:jc w:val="left"/>
        <w:rPr/>
      </w:pPr>
      <w:r>
        <w:rPr>
          <w:color w:val="000000"/>
        </w:rPr>
        <w:t>•</w:t>
      </w:r>
      <w:r>
        <w:rPr>
          <w:rFonts w:ascii="Times New Roman;serif" w:hAnsi="Times New Roman;serif"/>
          <w:b w:val="false"/>
          <w:i/>
          <w:color w:val="000000"/>
          <w:sz w:val="20"/>
        </w:rPr>
        <w:t>Issuance of Undesignated Preferred Stock</w:t>
      </w:r>
      <w:r>
        <w:rPr>
          <w:rFonts w:ascii="Times New Roman;serif" w:hAnsi="Times New Roman;serif"/>
          <w:b w:val="false"/>
          <w:color w:val="000000"/>
          <w:sz w:val="20"/>
        </w:rPr>
        <w:t>. Our board of directors has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pStyle w:val="TextBody"/>
        <w:bidi w:val="0"/>
        <w:spacing w:before="0" w:after="0"/>
        <w:jc w:val="left"/>
        <w:rPr/>
      </w:pPr>
      <w:r>
        <w:rPr/>
      </w:r>
    </w:p>
    <w:p>
      <w:pPr>
        <w:pStyle w:val="TextBody"/>
        <w:bidi w:val="0"/>
        <w:spacing w:lineRule="auto" w:line="345"/>
        <w:ind w:left="0" w:right="0" w:hanging="720"/>
        <w:jc w:val="left"/>
        <w:rPr/>
      </w:pPr>
      <w:r>
        <w:rPr>
          <w:color w:val="000000"/>
        </w:rPr>
        <w:t>•</w:t>
      </w:r>
      <w:r>
        <w:rPr>
          <w:rFonts w:ascii="Times New Roman;serif" w:hAnsi="Times New Roman;serif"/>
          <w:b w:val="false"/>
          <w:i/>
          <w:color w:val="000000"/>
          <w:sz w:val="20"/>
        </w:rPr>
        <w:t>Choice of Forum</w:t>
      </w:r>
      <w:r>
        <w:rPr>
          <w:rFonts w:ascii="Times New Roman;serif" w:hAnsi="Times New Roman;serif"/>
          <w:b w:val="false"/>
          <w:color w:val="000000"/>
          <w:sz w:val="20"/>
        </w:rPr>
        <w:t xml:space="preserve">. Our amended and restated bylaws provide that, unless we consent in writing to the selection of alternate forum, the Court of Chancery of the State of Delaware (or, if the Court of Chancery does not have jurisdiction, the United States District Court for the District of Delaware) are the exclusive forum for: (i) any derivative action or proceeding brought on our behalf; (ii) any action asserting a breach of a fiduciary duty owed by, or other wrongdoing by, any of our directors, officers, employees or agents to the corporation or the corporation’s stockholders; (iii) any action asserting a claim arising pursuant to any provision of the DGCL, our restated certificate of incorporation or our amended and restated bylaws; (iv) any action to interpret, apply, enforce or determine the validity of our restated certificate of incorporation or our amended and restated bylaws; or (v) any action asserting a claim governed by the internal affairs doctrine. Our amended and restated bylaws also provide that the federal district courts of the United States would be the exclusive forum for resolving any complaint asserting a cause of action arising under the Securities Act of 1933, as amended (the “Federal Forum Provision”). In December 2018, the Delaware Court of Chancery found that provisions such as the Federal Forum Provision are not valid under Delaware law. In light of this decision of the Delaware Court of Chancery, we do not intend to enforce the Federal Forum Provision in our amended and restated bylaws unless and until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there is a final determination by the Delaware Supreme Court regarding the validity of provisions such as the Federal Forum Provision. To the extent the Delaware Supreme Court makes a final determination that provisions such as the Federal Forum Provision are not valid as a matter of Delaware law, our board of directors intends to amend our amended and restated bylaws to remove the Federal Forum Provision.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Listing</w:t>
      </w:r>
    </w:p>
    <w:p>
      <w:pPr>
        <w:pStyle w:val="TextBody"/>
        <w:bidi w:val="0"/>
        <w:spacing w:before="0" w:after="0"/>
        <w:ind w:left="0" w:right="0" w:firstLine="720"/>
        <w:jc w:val="left"/>
        <w:rPr/>
      </w:pPr>
      <w:r>
        <w:rPr/>
      </w:r>
    </w:p>
    <w:p>
      <w:pPr>
        <w:pStyle w:val="TextBody"/>
        <w:bidi w:val="0"/>
        <w:spacing w:lineRule="auto" w:line="345"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“FTNT.”</w:t>
      </w:r>
    </w:p>
    <w:p>
      <w:pPr>
        <w:pStyle w:val="TextBody"/>
        <w:bidi w:val="0"/>
        <w:spacing w:before="0" w:after="0"/>
        <w:ind w:left="0" w:right="0" w:firstLine="720"/>
        <w:jc w:val="left"/>
        <w:rPr/>
      </w:pPr>
      <w:r>
        <w:rPr/>
      </w:r>
    </w:p>
    <w:p>
      <w:pPr>
        <w:pStyle w:val="TextBody"/>
        <w:bidi w:val="0"/>
        <w:spacing w:lineRule="auto" w:line="345" w:before="0" w:after="0"/>
        <w:jc w:val="left"/>
        <w:rPr>
          <w:rFonts w:ascii="Times New Roman;serif" w:hAnsi="Times New Roman;serif"/>
          <w:b/>
          <w:i/>
          <w:color w:val="000000"/>
          <w:sz w:val="20"/>
        </w:rPr>
      </w:pPr>
      <w:r>
        <w:rPr>
          <w:rFonts w:ascii="Times New Roman;serif" w:hAnsi="Times New Roman;serif"/>
          <w:b/>
          <w:i/>
          <w:color w:val="000000"/>
          <w:sz w:val="20"/>
        </w:rPr>
        <w:t>Transfer Agent and Registrar</w:t>
      </w:r>
    </w:p>
    <w:p>
      <w:pPr>
        <w:pStyle w:val="TextBody"/>
        <w:bidi w:val="0"/>
        <w:spacing w:before="0" w:after="0"/>
        <w:ind w:left="0" w:right="0" w:firstLine="720"/>
        <w:jc w:val="left"/>
        <w:rPr/>
      </w:pPr>
      <w:r>
        <w:rPr/>
      </w:r>
    </w:p>
    <w:p>
      <w:pPr>
        <w:pStyle w:val="TextBody"/>
        <w:bidi w:val="0"/>
        <w:spacing w:lineRule="auto" w:line="345"/>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21.1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FORTINET, INC. SUBSIDIARIES </w:t>
      </w:r>
    </w:p>
    <w:tbl>
      <w:tblPr>
        <w:tblW w:w="7286" w:type="dxa"/>
        <w:jc w:val="center"/>
        <w:tblInd w:w="0" w:type="dxa"/>
        <w:tblLayout w:type="fixed"/>
        <w:tblCellMar>
          <w:top w:w="28" w:type="dxa"/>
          <w:left w:w="28" w:type="dxa"/>
          <w:bottom w:w="28" w:type="dxa"/>
          <w:right w:w="28" w:type="dxa"/>
        </w:tblCellMar>
      </w:tblPr>
      <w:tblGrid>
        <w:gridCol w:w="1571"/>
        <w:gridCol w:w="1372"/>
        <w:gridCol w:w="1392"/>
        <w:gridCol w:w="109"/>
        <w:gridCol w:w="109"/>
        <w:gridCol w:w="109"/>
        <w:gridCol w:w="767"/>
        <w:gridCol w:w="767"/>
        <w:gridCol w:w="1090"/>
      </w:tblGrid>
      <w:tr>
        <w:trPr/>
        <w:tc>
          <w:tcPr>
            <w:tcW w:w="15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4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Australia Pty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Austria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Belgium BV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Network Security Brasil LTDA.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Technologies (Canada) ULC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Holdings 1504 Enterprises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Holdings 1502 Enterprises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Holdings 1506 Enterprises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Holdings 1507 Enterprises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Information Technology (Beijing) 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Colombia 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Denmark 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Finland Oy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GmbH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Technologies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PT Fortinet Indonesia Security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Israel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Italy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Japan G.K.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Korea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Malaysia SDN. BHD.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Networks Mauritius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Mauritius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Mexico, S. de R.L. de C.V.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NZ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Security Philippines,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Poland sp. z o.o.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Portugal, Unipessoal Lda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Qatar</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Networks Romania S.R.L.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Romania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Singapore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Spain SL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Switzerland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Security Network (Thailand)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Turkey Güvenlik Sistemleri Limited Şirketi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Branch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Federal,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Holding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UK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Consumer,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Fortinet Ireland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Linksys Cayman,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Cayman Islands</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Linksys USA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Linksys UK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Linksys HK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Linksys PTE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Holdings 1 K.K.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AJ Holdings 2 K.K.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Alaxala Networks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75" w:type="dxa"/>
        <w:jc w:val="center"/>
        <w:tblInd w:w="0" w:type="dxa"/>
        <w:tblLayout w:type="fixed"/>
        <w:tblCellMar>
          <w:top w:w="28" w:type="dxa"/>
          <w:left w:w="28" w:type="dxa"/>
          <w:bottom w:w="28" w:type="dxa"/>
          <w:right w:w="28" w:type="dxa"/>
        </w:tblCellMar>
      </w:tblPr>
      <w:tblGrid>
        <w:gridCol w:w="1245"/>
        <w:gridCol w:w="1091"/>
        <w:gridCol w:w="1098"/>
        <w:gridCol w:w="109"/>
        <w:gridCol w:w="109"/>
        <w:gridCol w:w="109"/>
        <w:gridCol w:w="442"/>
        <w:gridCol w:w="442"/>
        <w:gridCol w:w="630"/>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Australia Pty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Technology Canada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Iceland ehf.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Iceland</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Security India Private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Netherlands B.V.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Singapore PTE.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Sweden 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Switzerland GmbH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Branch Holding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U.S.A.</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Lacework EMEA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Next DLP Holdings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Next DLP Limited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Fortinet Regional Headquarter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Saudi Arabia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200"/>
        <w:jc w:val="center"/>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 333-253341 on Form S-3 and Registration Statement Nos. 333-229894, 333-223246, 333-216362, 333-209783, 333-202402, 333-194281, 333-186921, 333-179751, 333-172459, and 333-163367 on Form S-8 of our reports dated February 24, 2026, relating to the financial statements of Fortinet, Inc. and the effectiveness of Fortinet, Inc.’s internal control over financial reporting, appearing in this Annual Report on Form 10-K for the year ended December 31, 2025.</w:t>
      </w:r>
    </w:p>
    <w:p>
      <w:pPr>
        <w:pStyle w:val="TextBody"/>
        <w:bidi w:val="0"/>
        <w:spacing w:before="0" w:after="24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DELOITTE &amp; TOUCHE LLP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Ken Xie,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Fortinet,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24, 2026 </w:t>
      </w:r>
    </w:p>
    <w:p>
      <w:pPr>
        <w:pStyle w:val="TextBody"/>
        <w:bidi w:val="0"/>
        <w:spacing w:lineRule="auto" w:line="288" w:before="0" w:after="0"/>
        <w:jc w:val="left"/>
        <w:rPr>
          <w:color w:val="000000"/>
        </w:rPr>
      </w:pPr>
      <w:r>
        <w:rPr>
          <w:color w:val="000000"/>
        </w:rPr>
        <w:t> </w:t>
      </w:r>
    </w:p>
    <w:tbl>
      <w:tblPr>
        <w:tblW w:w="3596" w:type="dxa"/>
        <w:jc w:val="center"/>
        <w:tblInd w:w="0" w:type="dxa"/>
        <w:tblLayout w:type="fixed"/>
        <w:tblCellMar>
          <w:top w:w="28" w:type="dxa"/>
          <w:left w:w="28" w:type="dxa"/>
          <w:bottom w:w="28" w:type="dxa"/>
          <w:right w:w="28" w:type="dxa"/>
        </w:tblCellMar>
      </w:tblPr>
      <w:tblGrid>
        <w:gridCol w:w="124"/>
        <w:gridCol w:w="109"/>
        <w:gridCol w:w="109"/>
        <w:gridCol w:w="1164"/>
        <w:gridCol w:w="858"/>
        <w:gridCol w:w="12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 Xie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Christiane Ohlgart,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Fortinet,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24, 2026 </w:t>
      </w:r>
    </w:p>
    <w:tbl>
      <w:tblPr>
        <w:tblW w:w="5486" w:type="dxa"/>
        <w:jc w:val="left"/>
        <w:tblInd w:w="0" w:type="dxa"/>
        <w:tblLayout w:type="fixed"/>
        <w:tblCellMar>
          <w:top w:w="28" w:type="dxa"/>
          <w:left w:w="28" w:type="dxa"/>
          <w:bottom w:w="28" w:type="dxa"/>
          <w:right w:w="28" w:type="dxa"/>
        </w:tblCellMar>
      </w:tblPr>
      <w:tblGrid>
        <w:gridCol w:w="124"/>
        <w:gridCol w:w="109"/>
        <w:gridCol w:w="109"/>
        <w:gridCol w:w="1503"/>
        <w:gridCol w:w="1503"/>
        <w:gridCol w:w="21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Christiane Ohlgart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Christiane Ohlgart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CERTIFICATIONS OF CHIEF EXECUTIVE OFFICER AND CHIEF FINANCIAL OFFICER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Ken Xie, certify, pursuant to 18 U.S.C. Section 1350, as adopted pursuant to Section 906 of the Sarbanes-Oxley Act of 2002, that the Annual Report on Form 10-K of Fortinet, Inc. for the fiscal year ended December 31, 2025 fully complies with the requirements of Section 13(a) or 15(d) of the Securities Exchange Act of 1934, as amended (the “Exchange Act”), and that information contained in this Annual Report on Form 10-K fairly presents, in all material respects, the financial condition and results of operations of Fortinet, Inc. </w:t>
      </w:r>
    </w:p>
    <w:p>
      <w:pPr>
        <w:pStyle w:val="TextBody"/>
        <w:bidi w:val="0"/>
        <w:spacing w:lineRule="auto" w:line="288" w:before="0" w:after="0"/>
        <w:jc w:val="left"/>
        <w:rPr>
          <w:color w:val="000000"/>
        </w:rPr>
      </w:pPr>
      <w:r>
        <w:rPr>
          <w:color w:val="000000"/>
        </w:rPr>
        <w:t> </w:t>
      </w:r>
    </w:p>
    <w:tbl>
      <w:tblPr>
        <w:tblW w:w="6028"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208"/>
        <w:gridCol w:w="208"/>
        <w:gridCol w:w="213"/>
        <w:gridCol w:w="1163"/>
        <w:gridCol w:w="858"/>
        <w:gridCol w:w="12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Ken Xie</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Ken Xie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br/>
              <w:t>(Principal Executive Officer)</w:t>
            </w:r>
          </w:p>
        </w:tc>
      </w:tr>
    </w:tbl>
    <w:p>
      <w:pPr>
        <w:pStyle w:val="TextBody"/>
        <w:bidi w:val="0"/>
        <w:spacing w:lineRule="auto" w:line="288" w:before="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I, Christiane Ohlgart, certify, pursuant to 18 U.S.C. Section 1350, as adopted pursuant to Section 906 of the Sarbanes-Oxley Act of 2002, that the Annual Report on Form 10-K of Fortinet, Inc. for the fiscal year ended December 31, 2025 fully complies with the requirements of Section 13(a) or 15(d) of the Exchange Act and that information contained in this Annual Report on Form 10-K fairly presents, in all material respects, the financial condition and results of operations of Fortinet, Inc. </w:t>
      </w:r>
    </w:p>
    <w:p>
      <w:pPr>
        <w:pStyle w:val="TextBody"/>
        <w:bidi w:val="0"/>
        <w:spacing w:lineRule="auto" w:line="288" w:before="0" w:after="0"/>
        <w:jc w:val="left"/>
        <w:rPr>
          <w:color w:val="000000"/>
        </w:rPr>
      </w:pPr>
      <w:r>
        <w:rPr>
          <w:color w:val="000000"/>
        </w:rPr>
        <w:t> </w:t>
      </w:r>
    </w:p>
    <w:tbl>
      <w:tblPr>
        <w:tblW w:w="7917"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208"/>
        <w:gridCol w:w="208"/>
        <w:gridCol w:w="213"/>
        <w:gridCol w:w="1503"/>
        <w:gridCol w:w="1503"/>
        <w:gridCol w:w="213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Christiane Ohlgart</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Christiane Ohlgart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Officer and Principal Accounting Officer)</w:t>
            </w:r>
          </w:p>
        </w:tc>
      </w:tr>
    </w:tbl>
    <w:p>
      <w:pPr>
        <w:pStyle w:val="TextBody"/>
        <w:bidi w:val="0"/>
        <w:spacing w:before="0" w:after="0"/>
        <w:jc w:val="left"/>
        <w:rPr/>
      </w:pPr>
      <w:r>
        <w:rPr/>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2039/000126203923000032/ftnt-ex33_20230630x10q.htm" TargetMode="External"/><Relationship Id="rId4" Type="http://schemas.openxmlformats.org/officeDocument/2006/relationships/hyperlink" Target="https://www.sec.gov/Archives/edgar/data/1262039/000126203923000024/ftnt-ex33restatedbylaws.htm" TargetMode="External"/><Relationship Id="rId5" Type="http://schemas.openxmlformats.org/officeDocument/2006/relationships/hyperlink" Target="https://www.sec.gov/Archives/edgar/data/1262039/000119312509220527/dex41.htm" TargetMode="External"/><Relationship Id="rId6" Type="http://schemas.openxmlformats.org/officeDocument/2006/relationships/hyperlink" Target="https://www.sec.gov/Archives/edgar/data/1262039/000119312509169817/dex101.htm" TargetMode="External"/><Relationship Id="rId7" Type="http://schemas.openxmlformats.org/officeDocument/2006/relationships/hyperlink" Target="https://www.sec.gov/Archives/edgar/data/1262039/000126203919000023/ftnt-ex101amendedandre.htm" TargetMode="External"/><Relationship Id="rId8" Type="http://schemas.openxmlformats.org/officeDocument/2006/relationships/hyperlink" Target="https://www.sec.gov/Archives/edgar/data/1262039/000126203912000013/ftnt-ex105_20111231xk.htm" TargetMode="External"/><Relationship Id="rId9" Type="http://schemas.openxmlformats.org/officeDocument/2006/relationships/hyperlink" Target="https://www.sec.gov/Archives/edgar/data/1262039/000126203913000044/fortinet_20130630x10-qex991.htm" TargetMode="External"/><Relationship Id="rId10" Type="http://schemas.openxmlformats.org/officeDocument/2006/relationships/hyperlink" Target="https://www.sec.gov/Archives/edgar/data/1262039/000126203915000009/ftnt-ex107_20141231xk.htm" TargetMode="External"/><Relationship Id="rId11" Type="http://schemas.openxmlformats.org/officeDocument/2006/relationships/hyperlink" Target="https://www.sec.gov/Archives/edgar/data/1262039/000126203920000011/ftnt-ex10620191231xk.htm" TargetMode="External"/><Relationship Id="rId12" Type="http://schemas.openxmlformats.org/officeDocument/2006/relationships/hyperlink" Target="https://www.sec.gov/Archives/edgar/data/1262039/000126203920000011/ftnt-ex10720191231xk.htm" TargetMode="External"/><Relationship Id="rId13" Type="http://schemas.openxmlformats.org/officeDocument/2006/relationships/hyperlink" Target="https://www.sec.gov/Archives/edgar/data/1262039/000126203921000008/ftnt-ex108_20201231xk.htm" TargetMode="External"/><Relationship Id="rId14" Type="http://schemas.openxmlformats.org/officeDocument/2006/relationships/hyperlink" Target="https://www.sec.gov/Archives/edgar/data/1262039/000126203913000055/fortinet_20130930x10-qex101.htm" TargetMode="External"/><Relationship Id="rId15" Type="http://schemas.openxmlformats.org/officeDocument/2006/relationships/hyperlink" Target="https://www.sec.gov/Archives/edgar/data/1262039/000126203915000024/ftnt-ex101_20150630xqxcoca.htm" TargetMode="External"/><Relationship Id="rId16" Type="http://schemas.openxmlformats.org/officeDocument/2006/relationships/hyperlink" Target="https://www.sec.gov/Archives/edgar/data/1262039/000126203924000037/ftnt-ex101amendedandrestat.htm" TargetMode="External"/><Relationship Id="rId17" Type="http://schemas.openxmlformats.org/officeDocument/2006/relationships/hyperlink" Target="https://www.sec.gov/Archives/edgar/data/1262039/000126203924000037/ftnt-ex102amendedandrestat.htm" TargetMode="External"/><Relationship Id="rId18" Type="http://schemas.openxmlformats.org/officeDocument/2006/relationships/hyperlink" Target="https://www.sec.gov/Archives/edgar/data/1262039/000126203924000037/ftnt-ex103amendedandrestat.htm" TargetMode="External"/><Relationship Id="rId19" Type="http://schemas.openxmlformats.org/officeDocument/2006/relationships/hyperlink" Target="https://www.sec.gov/Archives/edgar/data/1262039/000119312509169817/dex1010.htm" TargetMode="External"/><Relationship Id="rId20" Type="http://schemas.openxmlformats.org/officeDocument/2006/relationships/hyperlink" Target="https://www.sec.gov/Archives/edgar/data/1262039/000126203925000028/ftnt-ex101_changeofctrlsev.htm" TargetMode="External"/><Relationship Id="rId21" Type="http://schemas.openxmlformats.org/officeDocument/2006/relationships/hyperlink" Target="https://www.sec.gov/Archives/edgar/data/1262039/000126203925000028/ftnt-ex101_changeofctrlsev.htm" TargetMode="External"/><Relationship Id="rId22" Type="http://schemas.openxmlformats.org/officeDocument/2006/relationships/hyperlink" Target="https://www.sec.gov/Archives/edgar/data/1262039/000126203923000021/exhibit101-formofpsuawarda.htm" TargetMode="External"/><Relationship Id="rId23" Type="http://schemas.openxmlformats.org/officeDocument/2006/relationships/hyperlink" Target="https://www.sec.gov/Archives/edgar/data/1262039/000126203923000021/exhibit101-formofpsuawarda.htm" TargetMode="External"/><Relationship Id="rId24" Type="http://schemas.openxmlformats.org/officeDocument/2006/relationships/hyperlink" Target="https://www.sec.gov/Archives/edgar/data/1262039/000126203923000021/exhibit102-globalrsuagreem.htm" TargetMode="External"/><Relationship Id="rId25" Type="http://schemas.openxmlformats.org/officeDocument/2006/relationships/hyperlink" Target="https://www.sec.gov/Archives/edgar/data/1262039/000126203923000021/exhibit102-globalrsuagreem.htm" TargetMode="External"/><Relationship Id="rId26" Type="http://schemas.openxmlformats.org/officeDocument/2006/relationships/hyperlink" Target="https://www.sec.gov/Archives/edgar/data/1262039/000126203925000011/ftnt-ex191insidertradingpo.htm" TargetMode="External"/><Relationship Id="rId27" Type="http://schemas.openxmlformats.org/officeDocument/2006/relationships/hyperlink" Target="https://www.sec.gov/Archives/edgar/data/1262039/000126203924000014/ftnt-ex971_20231231xk.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78648</Words>
  <Characters>447831</Characters>
  <CharactersWithSpaces>523612</CharactersWithSpaces>
  <Paragraphs>5327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