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00" w:right="1760" w:hanging="3865"/>
        <w:spacing w:after="0" w:line="461"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14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29" w:right="3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0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760"/>
          </w:cols>
          <w:pgMar w:left="240" w:top="229"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April 30, 2014, there were 163,069,548 shares of the registrant’s common stock outstanding.</w:t>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280" w:type="dxa"/>
            <w:vAlign w:val="bottom"/>
            <w:gridSpan w:val="9"/>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2014 and December 31,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March 31,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Ended March 31, 2014 and 2013</w:t>
              </w:r>
            </w:hyperlink>
          </w:p>
        </w:tc>
        <w:tc>
          <w:tcPr>
            <w:tcW w:w="86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700" w:type="dxa"/>
            <w:vAlign w:val="bottom"/>
            <w:tcBorders>
              <w:top w:val="single" w:sz="8" w:color="0000EE"/>
            </w:tcBorders>
            <w:gridSpan w:val="4"/>
          </w:tcPr>
          <w:p>
            <w:pPr>
              <w:spacing w:after="0"/>
              <w:rPr>
                <w:sz w:val="21"/>
                <w:szCs w:val="21"/>
                <w:color w:val="auto"/>
              </w:rPr>
            </w:pPr>
          </w:p>
        </w:tc>
        <w:tc>
          <w:tcPr>
            <w:tcW w:w="17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Analyst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36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4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4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588"/>
        </w:trPr>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846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3740" w:type="dxa"/>
            <w:vAlign w:val="bottom"/>
            <w:gridSpan w:val="7"/>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55">
              <w:r>
                <w:rPr>
                  <w:rFonts w:ascii="Arial" w:cs="Arial" w:eastAsia="Arial" w:hAnsi="Arial"/>
                  <w:sz w:val="18"/>
                  <w:szCs w:val="18"/>
                  <w:color w:val="0000EE"/>
                  <w:w w:val="85"/>
                </w:rPr>
                <w:t>Signatures</w:t>
              </w:r>
            </w:hyperlink>
          </w:p>
        </w:tc>
        <w:tc>
          <w:tcPr>
            <w:tcW w:w="902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30"/>
        </w:trPr>
        <w:tc>
          <w:tcPr>
            <w:tcW w:w="83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rPr>
              <w:t>FORTINET, INC.</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115,873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388,083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375,497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Accounts receivable—net of allowance for doubtful accounts and sales returns of $4,467 and $4,605 as of</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March 31, 2014 and December 31, 2013,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130,471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48,672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14,053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327,263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351,675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6,841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1,200,031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1,168,464</w:t>
            </w:r>
          </w:p>
        </w:tc>
      </w:tr>
      <w:tr>
        <w:trPr>
          <w:trHeight w:val="176"/>
        </w:trPr>
        <w:tc>
          <w:tcPr>
            <w:tcW w:w="8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27,603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35,599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payroll and compensation</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34,997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305,702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293,664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145,601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138,964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589,937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582,704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3"/>
              </w:rPr>
              <w:t>Common stock, $0.001 par value — 300,000 shares authorized; 162,981 and 161,535 shares issued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outstanding as of March 31, 2014 and December 31, 2013, respectively</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462,644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121,863</w:t>
            </w: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610,094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585,760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1,168,464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w w:val="92"/>
              </w:rPr>
              <w:t>Three Months Ended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93"/>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380" w:type="dxa"/>
            <w:vAlign w:val="bottom"/>
          </w:tcPr>
          <w:p>
            <w:pPr>
              <w:jc w:val="right"/>
              <w:ind w:right="117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76,765</w:t>
            </w:r>
          </w:p>
        </w:tc>
        <w:tc>
          <w:tcPr>
            <w:tcW w:w="100" w:type="dxa"/>
            <w:vAlign w:val="bottom"/>
          </w:tcPr>
          <w:p>
            <w:pPr>
              <w:spacing w:after="0"/>
              <w:rPr>
                <w:sz w:val="21"/>
                <w:szCs w:val="21"/>
                <w:color w:val="auto"/>
              </w:rPr>
            </w:pPr>
          </w:p>
        </w:tc>
        <w:tc>
          <w:tcPr>
            <w:tcW w:w="1360" w:type="dxa"/>
            <w:vAlign w:val="bottom"/>
          </w:tcPr>
          <w:p>
            <w:pPr>
              <w:jc w:val="right"/>
              <w:ind w:right="115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57,950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77,870</w:t>
            </w:r>
          </w:p>
        </w:tc>
        <w:tc>
          <w:tcPr>
            <w:tcW w:w="0" w:type="dxa"/>
            <w:vAlign w:val="bottom"/>
          </w:tcPr>
          <w:p>
            <w:pPr>
              <w:spacing w:after="0"/>
              <w:rPr>
                <w:sz w:val="1"/>
                <w:szCs w:val="1"/>
                <w:color w:val="auto"/>
              </w:rPr>
            </w:pPr>
          </w:p>
        </w:tc>
      </w:tr>
      <w:tr>
        <w:trPr>
          <w:trHeight w:val="237"/>
        </w:trPr>
        <w:tc>
          <w:tcPr>
            <w:tcW w:w="658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168,949</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135,820</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32,139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22,958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37"/>
        </w:trPr>
        <w:tc>
          <w:tcPr>
            <w:tcW w:w="658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50,743</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39,128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44,626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34,992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73,580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61,700</w:t>
            </w:r>
          </w:p>
        </w:tc>
        <w:tc>
          <w:tcPr>
            <w:tcW w:w="0" w:type="dxa"/>
            <w:vAlign w:val="bottom"/>
          </w:tcPr>
          <w:p>
            <w:pPr>
              <w:spacing w:after="0"/>
              <w:rPr>
                <w:sz w:val="1"/>
                <w:szCs w:val="1"/>
                <w:color w:val="auto"/>
              </w:rPr>
            </w:pPr>
          </w:p>
        </w:tc>
      </w:tr>
      <w:tr>
        <w:trPr>
          <w:trHeight w:val="237"/>
        </w:trPr>
        <w:tc>
          <w:tcPr>
            <w:tcW w:w="658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118,206</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96,692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29,055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23,334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49,976</w:t>
            </w:r>
          </w:p>
        </w:tc>
        <w:tc>
          <w:tcPr>
            <w:tcW w:w="0" w:type="dxa"/>
            <w:vAlign w:val="bottom"/>
          </w:tcPr>
          <w:p>
            <w:pPr>
              <w:spacing w:after="0"/>
              <w:rPr>
                <w:sz w:val="1"/>
                <w:szCs w:val="1"/>
                <w:color w:val="auto"/>
              </w:rPr>
            </w:pPr>
          </w:p>
        </w:tc>
      </w:tr>
      <w:tr>
        <w:trPr>
          <w:trHeight w:val="243"/>
        </w:trPr>
        <w:tc>
          <w:tcPr>
            <w:tcW w:w="65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105,391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81,301</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12,815</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OTHER (EXPENSE) INCOME—Net</w:t>
            </w: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8,393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attributable to common stockholders (Note 7):</w:t>
            </w: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shd w:val="clear" w:color="auto" w:fill="CCEEFF"/>
          </w:tcPr>
          <w:p>
            <w:pPr>
              <w:jc w:val="right"/>
              <w:ind w:right="117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tcPr>
          <w:p>
            <w:pPr>
              <w:jc w:val="right"/>
              <w:ind w:right="117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1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162,391</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161,282</w:t>
            </w:r>
          </w:p>
        </w:tc>
        <w:tc>
          <w:tcPr>
            <w:tcW w:w="0" w:type="dxa"/>
            <w:vAlign w:val="bottom"/>
          </w:tcPr>
          <w:p>
            <w:pPr>
              <w:spacing w:after="0"/>
              <w:rPr>
                <w:sz w:val="1"/>
                <w:szCs w:val="1"/>
                <w:color w:val="auto"/>
              </w:rPr>
            </w:pPr>
          </w:p>
        </w:tc>
      </w:tr>
      <w:tr>
        <w:trPr>
          <w:trHeight w:val="251"/>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168,114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167,823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240" w:top="122" w:right="8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80" w:type="dxa"/>
            <w:vAlign w:val="bottom"/>
            <w:gridSpan w:val="3"/>
          </w:tcPr>
          <w:p>
            <w:pPr>
              <w:jc w:val="right"/>
              <w:ind w:right="614"/>
              <w:spacing w:after="0"/>
              <w:rPr>
                <w:sz w:val="20"/>
                <w:szCs w:val="20"/>
                <w:color w:val="auto"/>
              </w:rPr>
            </w:pPr>
            <w:r>
              <w:rPr>
                <w:rFonts w:ascii="Arial" w:cs="Arial" w:eastAsia="Arial" w:hAnsi="Arial"/>
                <w:sz w:val="16"/>
                <w:szCs w:val="16"/>
                <w:b w:val="1"/>
                <w:bCs w:val="1"/>
                <w:color w:val="auto"/>
                <w:w w:val="92"/>
              </w:rPr>
              <w:t>Three Months Ended</w:t>
            </w:r>
          </w:p>
        </w:tc>
        <w:tc>
          <w:tcPr>
            <w:tcW w:w="640" w:type="dxa"/>
            <w:vAlign w:val="bottom"/>
          </w:tcPr>
          <w:p>
            <w:pPr>
              <w:spacing w:after="0"/>
              <w:rPr>
                <w:sz w:val="18"/>
                <w:szCs w:val="18"/>
                <w:color w:val="auto"/>
              </w:rPr>
            </w:pPr>
          </w:p>
        </w:tc>
      </w:tr>
      <w:tr>
        <w:trPr>
          <w:trHeight w:val="33"/>
        </w:trPr>
        <w:tc>
          <w:tcPr>
            <w:tcW w:w="6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65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380" w:type="dxa"/>
            <w:vAlign w:val="bottom"/>
          </w:tcPr>
          <w:p>
            <w:pPr>
              <w:jc w:val="right"/>
              <w:ind w:right="94"/>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34"/>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18"/>
                <w:szCs w:val="18"/>
                <w:color w:val="auto"/>
              </w:rPr>
            </w:pPr>
          </w:p>
        </w:tc>
      </w:tr>
      <w:tr>
        <w:trPr>
          <w:trHeight w:val="33"/>
        </w:trPr>
        <w:tc>
          <w:tcPr>
            <w:tcW w:w="65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12,249</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comprehensive loss—net of taxes:</w:t>
            </w: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losses</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43"/>
        </w:trPr>
        <w:tc>
          <w:tcPr>
            <w:tcW w:w="6560" w:type="dxa"/>
            <w:vAlign w:val="bottom"/>
          </w:tcPr>
          <w:p>
            <w:pPr>
              <w:ind w:left="360"/>
              <w:spacing w:after="0"/>
              <w:rPr>
                <w:sz w:val="20"/>
                <w:szCs w:val="20"/>
                <w:color w:val="auto"/>
              </w:rPr>
            </w:pPr>
            <w:r>
              <w:rPr>
                <w:rFonts w:ascii="Arial" w:cs="Arial" w:eastAsia="Arial" w:hAnsi="Arial"/>
                <w:sz w:val="18"/>
                <w:szCs w:val="18"/>
                <w:color w:val="auto"/>
              </w:rPr>
              <w:t>Unrealized gains on investments</w:t>
            </w:r>
          </w:p>
        </w:tc>
        <w:tc>
          <w:tcPr>
            <w:tcW w:w="138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1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Other comprehensive loss—net of taxes</w:t>
            </w:r>
          </w:p>
        </w:tc>
        <w:tc>
          <w:tcPr>
            <w:tcW w:w="1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65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7,378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9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11,324</w:t>
            </w:r>
          </w:p>
        </w:tc>
      </w:tr>
      <w:tr>
        <w:trPr>
          <w:trHeight w:val="20"/>
        </w:trPr>
        <w:tc>
          <w:tcPr>
            <w:tcW w:w="6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240" w:top="122" w:right="5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8,393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12,249</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3,536</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3,051</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12,930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9,299</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stock-based compensation</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Other non-cash items—net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19,119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5,747</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(8,970)</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417</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4,957</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(2,416)</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12,677</w:t>
            </w:r>
          </w:p>
        </w:tc>
      </w:tr>
      <w:tr>
        <w:trPr>
          <w:trHeight w:val="264"/>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4,305</w:t>
            </w:r>
          </w:p>
        </w:tc>
      </w:tr>
      <w:tr>
        <w:trPr>
          <w:trHeight w:val="256"/>
        </w:trPr>
        <w:tc>
          <w:tcPr>
            <w:tcW w:w="85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60,902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38,111</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 of 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(120,590)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(171,506)</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10,920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13,823</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118,641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86,018</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Purchase of property and equipment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(11,318)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(1,534)</w:t>
            </w:r>
          </w:p>
        </w:tc>
      </w:tr>
      <w:tr>
        <w:trPr>
          <w:trHeight w:val="270"/>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acquisitions—net of cash acquired</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(5,979)</w:t>
            </w: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(79,178)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14,471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14,464</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Excess tax benefit from stock-based compensation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1,453</w:t>
            </w:r>
          </w:p>
        </w:tc>
      </w:tr>
      <w:tr>
        <w:trPr>
          <w:trHeight w:val="270"/>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15,917</w:t>
            </w:r>
          </w:p>
        </w:tc>
      </w:tr>
      <w:tr>
        <w:trPr>
          <w:trHeight w:val="25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(25,591)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115,873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122,975</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172,968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97,384</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22,136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8,579</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Purchase of property and equipment not yet paid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5,844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744</w:t>
            </w: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(“GAAP”) in the United States (“U.S.”)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fiscal year ended December 31, 2013, contained in our Annual Report on Form 10-K (“Form 10-K”) filed with the SEC on March 3, 2014. In the opinion of management, all adjustments, which includes normal recurring adjustments, except as otherwise noted, considered necessary for a fair presentation have been included. All intercompany balances, transactions and cash flows have been eliminated. The results of operations for the three months ended March 31, 2014 are not necessarily indicative of the operating results for any subsequent quarter, for the full year or for any future periods. The condensed consolidated balance sheets as of December 31, 2013 are derived from the audited consolidated financial statements for the year ended December 31, 2013.</w:t>
      </w:r>
    </w:p>
    <w:p>
      <w:pPr>
        <w:spacing w:after="0" w:line="18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for the three months ended March 31, 2014. During the quarter we prospectively modified the expected term calculation used in accounting for stock-based compensation expense and the estimated useful lives of building improvements and furniture and fixtures.</w:t>
      </w:r>
    </w:p>
    <w:p>
      <w:pPr>
        <w:spacing w:after="0" w:line="17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—Beginning in the first quarter of fiscal 2014, we changed the methodology of calculating the expected term,</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one of the assumptions used in determining the fair value of our employee stock options under the Black Scholes option pricing model. The expected term represents the period that our stock-based awards are estimated to be outstanding. We believe that we have sufficient historical experience for determining the expected term of the stock option award, and therefore, we calculated our expected term based on historical experience instead of using the simplified method.</w:t>
      </w:r>
    </w:p>
    <w:p>
      <w:pPr>
        <w:spacing w:after="0" w:line="18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Evaluation units</w:t>
            </w:r>
          </w:p>
        </w:tc>
        <w:tc>
          <w:tcPr>
            <w:tcW w:w="33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software and tooling</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3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Effective March 2014, we moved into our new corporate headquarters. The useful life of building improvements placed into service during the three months ended March 31, 2014, in association with our new corporate headquarters is estimated to be 20 years. The useful life of furniture and fixtures now ranges from 3 to 5 years as we placed new furniture and fixtures into service at the new corporate headquarters.</w:t>
      </w:r>
    </w:p>
    <w:p>
      <w:pPr>
        <w:spacing w:after="0" w:line="175"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b w:val="1"/>
          <w:bCs w:val="1"/>
          <w:color w:val="auto"/>
        </w:rPr>
        <w:t>Reclassification</w:t>
      </w:r>
      <w:r>
        <w:rPr>
          <w:rFonts w:ascii="Arial" w:cs="Arial" w:eastAsia="Arial" w:hAnsi="Arial"/>
          <w:sz w:val="18"/>
          <w:szCs w:val="18"/>
          <w:color w:val="auto"/>
        </w:rPr>
        <w:t>—Beginning in the first quarter of 2014, the amounts previously reported as Ratable and other revenue have been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previously reported as Services revenue in the Condensed Consolidated Statements of Operations. The combined amounts are being presented as Services and other revenue in the Condensed Consolidated Statements of Operations. The related Cost of revenue and Gross profit, including prior period amounts, have also been combined to conform to the current period presentation. The Ratable and other revenue amounts, including the related Cost of revenue and Gross profit amounts, are not material.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as of March 31, 2014 and December 31, 2013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4"/>
              </w:rPr>
              <w:t>March 31, 2014</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584,467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74,547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74,549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38,248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5,749</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714,174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715,346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604,317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69,356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69,363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38,843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12,645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12,648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726,001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727,172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March 31, 2014 and December 31, 2013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March 31, 2014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161,308</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167,750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184,954</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6"/>
          </w:tcPr>
          <w:p>
            <w:pPr>
              <w:ind w:left="280"/>
              <w:spacing w:after="0"/>
              <w:rPr>
                <w:sz w:val="20"/>
                <w:szCs w:val="20"/>
                <w:color w:val="auto"/>
              </w:rPr>
            </w:pPr>
            <w:r>
              <w:rPr>
                <w:rFonts w:ascii="Arial" w:cs="Arial" w:eastAsia="Arial" w:hAnsi="Arial"/>
                <w:sz w:val="16"/>
                <w:szCs w:val="16"/>
                <w:b w:val="1"/>
                <w:bCs w:val="1"/>
                <w:color w:val="auto"/>
              </w:rPr>
              <w:t>December 31, 2013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6"/>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Arial" w:cs="Arial" w:eastAsia="Arial" w:hAnsi="Arial"/>
                <w:sz w:val="16"/>
                <w:szCs w:val="16"/>
                <w:b w:val="1"/>
                <w:bCs w:val="1"/>
                <w:color w:val="auto"/>
                <w:w w:val="94"/>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340" w:type="dxa"/>
            <w:vAlign w:val="bottom"/>
          </w:tcPr>
          <w:p>
            <w:pPr>
              <w:spacing w:after="0"/>
              <w:rPr>
                <w:sz w:val="18"/>
                <w:szCs w:val="18"/>
                <w:color w:val="auto"/>
              </w:rPr>
            </w:pPr>
          </w:p>
        </w:tc>
        <w:tc>
          <w:tcPr>
            <w:tcW w:w="6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340" w:type="dxa"/>
            <w:vAlign w:val="bottom"/>
          </w:tcPr>
          <w:p>
            <w:pPr>
              <w:spacing w:after="0"/>
              <w:rPr>
                <w:sz w:val="18"/>
                <w:szCs w:val="18"/>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183,295</w:t>
            </w:r>
          </w:p>
        </w:tc>
        <w:tc>
          <w:tcPr>
            <w:tcW w:w="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205,428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205,928</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40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6560" w:type="dxa"/>
            <w:vAlign w:val="bottom"/>
            <w:gridSpan w:val="7"/>
          </w:tcPr>
          <w:p>
            <w:pPr>
              <w:jc w:val="right"/>
              <w:ind w:right="460"/>
              <w:spacing w:after="0"/>
              <w:rPr>
                <w:sz w:val="20"/>
                <w:szCs w:val="20"/>
                <w:color w:val="auto"/>
              </w:rPr>
            </w:pPr>
            <w:r>
              <w:rPr>
                <w:rFonts w:ascii="Arial" w:cs="Arial" w:eastAsia="Arial" w:hAnsi="Arial"/>
                <w:sz w:val="18"/>
                <w:szCs w:val="18"/>
                <w:color w:val="auto"/>
              </w:rPr>
              <w:t>The contractual maturities of our investments are as follows (in thousands):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0"/>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4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4"/>
          </w:tcPr>
          <w:p>
            <w:pPr>
              <w:ind w:left="240"/>
              <w:spacing w:after="0"/>
              <w:rPr>
                <w:sz w:val="20"/>
                <w:szCs w:val="20"/>
                <w:color w:val="auto"/>
              </w:rPr>
            </w:pPr>
            <w:r>
              <w:rPr>
                <w:rFonts w:ascii="Arial" w:cs="Arial" w:eastAsia="Arial" w:hAnsi="Arial"/>
                <w:sz w:val="16"/>
                <w:szCs w:val="16"/>
                <w:b w:val="1"/>
                <w:bCs w:val="1"/>
                <w:color w:val="auto"/>
              </w:rPr>
              <w:t>2013</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388,083</w:t>
            </w:r>
          </w:p>
        </w:tc>
        <w:tc>
          <w:tcPr>
            <w:tcW w:w="6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375,497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ind w:left="720"/>
              <w:spacing w:after="0"/>
              <w:rPr>
                <w:sz w:val="20"/>
                <w:szCs w:val="20"/>
                <w:color w:val="auto"/>
              </w:rPr>
            </w:pPr>
            <w:r>
              <w:rPr>
                <w:rFonts w:ascii="Arial" w:cs="Arial" w:eastAsia="Arial" w:hAnsi="Arial"/>
                <w:sz w:val="18"/>
                <w:szCs w:val="18"/>
                <w:color w:val="auto"/>
              </w:rPr>
              <w:t>327,263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351,675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715,346</w:t>
            </w:r>
          </w:p>
        </w:tc>
        <w:tc>
          <w:tcPr>
            <w:tcW w:w="68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727,172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 income—net in our condensed consolidated statements of operations.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it is more likely than not that we will be required to sell these investments prior to a recovery of par value, we do not consider these investments to be other-than temporarily impaired as of March 31,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from the sale of available-for-sale securities were not significant in any of the periods presented.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of our financial assets and liabilities measured at fair value on a recurring basis as of March 31,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4"/>
              </w:rPr>
              <w:t>March 31, 2014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7"/>
              </w:rPr>
              <w:t>Inputs</w:t>
            </w:r>
          </w:p>
        </w:tc>
      </w:tr>
      <w:tr>
        <w:trPr>
          <w:trHeight w:val="224"/>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0"/>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584,467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0"/>
              <w:spacing w:after="0"/>
              <w:rPr>
                <w:sz w:val="20"/>
                <w:szCs w:val="20"/>
                <w:color w:val="auto"/>
              </w:rPr>
            </w:pPr>
            <w:r>
              <w:rPr>
                <w:rFonts w:ascii="Arial" w:cs="Arial" w:eastAsia="Arial" w:hAnsi="Arial"/>
                <w:sz w:val="18"/>
                <w:szCs w:val="18"/>
                <w:color w:val="auto"/>
                <w:w w:val="98"/>
              </w:rPr>
              <w:t>584,467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604,317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w w:val="98"/>
              </w:rPr>
              <w:t>604,317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74,549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38,248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8"/>
                <w:szCs w:val="18"/>
                <w:color w:val="auto"/>
              </w:rPr>
              <w:t>38,248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38,843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Certificates of deposit and term</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12,333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20,298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and agency</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735,644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20,298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98"/>
              </w:rPr>
              <w:t>715,346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734,896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w w:val="98"/>
              </w:rPr>
              <w:t>729,172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1,850</w:t>
            </w: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388,083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375,497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327,263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351,675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735,644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734,896</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2014.</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fair value of contingent consideration arising from the acquisition of Coyote Point Systems (see Note 5), is classified within Level 3 of the fair value hierarchy since it is based on a probability-based approach that includes significant unobservable inputs. The significant unobservable inputs include projected revenues and the percentage probability of occurrence to value the payment. A significant increase (decrease) in the projected revenue in isolation could result in a significantly higher (lower) fair value measurement and significant increase (decrease) in the probability of occurrence between the outcomes in isolation could result in a significantly higher (lower) fair value measurement. The fair value of the contingent consideration is calculated on a quarterly basis by management based on a collaborative effort of our operations and finance and accounting groups. Potential valuation adjustments are made as additional information becomes available, including the progress toward achieving revenue targets as compared to initial projections, the impact of market competition, and changes in actual and projected product mix and average selling price. Any adjustments to the fair value of the contingent consideration are included in research and development expense in the condensed consolidated statements of operations.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inputs and valuation methodologies used for our fair value measurements classified in Level 3 of the fair value hierarchy as of March 31, 2014 (in thousands except for percentage):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4"/>
          </w:tcPr>
          <w:p>
            <w:pPr>
              <w:ind w:left="1620"/>
              <w:spacing w:after="0"/>
              <w:rPr>
                <w:sz w:val="20"/>
                <w:szCs w:val="20"/>
                <w:color w:val="auto"/>
              </w:rPr>
            </w:pPr>
            <w:r>
              <w:rPr>
                <w:rFonts w:ascii="Arial" w:cs="Arial" w:eastAsia="Arial" w:hAnsi="Arial"/>
                <w:sz w:val="16"/>
                <w:szCs w:val="16"/>
                <w:b w:val="1"/>
                <w:bCs w:val="1"/>
                <w:color w:val="auto"/>
              </w:rPr>
              <w:t>March 31, 2014</w:t>
            </w:r>
          </w:p>
        </w:tc>
        <w:tc>
          <w:tcPr>
            <w:tcW w:w="22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Fair</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Significant Unobservable</w:t>
            </w:r>
          </w:p>
        </w:tc>
        <w:tc>
          <w:tcPr>
            <w:tcW w:w="2280" w:type="dxa"/>
            <w:vAlign w:val="bottom"/>
          </w:tcPr>
          <w:p>
            <w:pPr>
              <w:spacing w:after="0"/>
              <w:rPr>
                <w:sz w:val="18"/>
                <w:szCs w:val="18"/>
                <w:color w:val="auto"/>
              </w:rPr>
            </w:pPr>
          </w:p>
        </w:tc>
      </w:tr>
      <w:tr>
        <w:trPr>
          <w:trHeight w:val="210"/>
        </w:trPr>
        <w:tc>
          <w:tcPr>
            <w:tcW w:w="298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Value</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Valuation Technique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Input</w:t>
            </w:r>
          </w:p>
        </w:tc>
        <w:tc>
          <w:tcPr>
            <w:tcW w:w="2280" w:type="dxa"/>
            <w:vAlign w:val="bottom"/>
          </w:tcPr>
          <w:p>
            <w:pPr>
              <w:ind w:left="940"/>
              <w:spacing w:after="0"/>
              <w:rPr>
                <w:sz w:val="20"/>
                <w:szCs w:val="20"/>
                <w:color w:val="auto"/>
              </w:rPr>
            </w:pPr>
            <w:r>
              <w:rPr>
                <w:rFonts w:ascii="Arial" w:cs="Arial" w:eastAsia="Arial" w:hAnsi="Arial"/>
                <w:sz w:val="16"/>
                <w:szCs w:val="16"/>
                <w:b w:val="1"/>
                <w:bCs w:val="1"/>
                <w:color w:val="auto"/>
              </w:rPr>
              <w:t>Range</w:t>
            </w:r>
          </w:p>
        </w:tc>
      </w:tr>
      <w:tr>
        <w:trPr>
          <w:trHeight w:val="33"/>
        </w:trPr>
        <w:tc>
          <w:tcPr>
            <w:tcW w:w="29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22"/>
        </w:trPr>
        <w:tc>
          <w:tcPr>
            <w:tcW w:w="29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Probability Weighted</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Contingent consideration</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$707</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Income Approach</w:t>
            </w: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Revenue</w:t>
            </w:r>
          </w:p>
        </w:tc>
        <w:tc>
          <w:tcPr>
            <w:tcW w:w="22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rPr>
              <w:t>$7,000 - $7,639</w:t>
            </w:r>
          </w:p>
        </w:tc>
      </w:tr>
      <w:tr>
        <w:trPr>
          <w:trHeight w:val="324"/>
        </w:trPr>
        <w:tc>
          <w:tcPr>
            <w:tcW w:w="2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9"/>
        </w:trPr>
        <w:tc>
          <w:tcPr>
            <w:tcW w:w="29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Probability of occurrence</w:t>
            </w:r>
          </w:p>
        </w:tc>
        <w:tc>
          <w:tcPr>
            <w:tcW w:w="2280" w:type="dxa"/>
            <w:vAlign w:val="bottom"/>
            <w:shd w:val="clear" w:color="auto" w:fill="CCEEFF"/>
          </w:tcPr>
          <w:p>
            <w:pPr>
              <w:spacing w:after="0"/>
              <w:rPr>
                <w:sz w:val="19"/>
                <w:szCs w:val="19"/>
                <w:color w:val="auto"/>
              </w:rPr>
            </w:pPr>
          </w:p>
        </w:tc>
      </w:tr>
      <w:tr>
        <w:trPr>
          <w:trHeight w:val="230"/>
        </w:trPr>
        <w:tc>
          <w:tcPr>
            <w:tcW w:w="29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rPr>
              <w:t>20%-70%</w:t>
            </w:r>
          </w:p>
        </w:tc>
      </w:tr>
      <w:tr>
        <w:trPr>
          <w:trHeight w:val="27"/>
        </w:trPr>
        <w:tc>
          <w:tcPr>
            <w:tcW w:w="29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fair value of our contingent consideration liability is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2013</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0"/>
              </w:rPr>
              <w:t>$1,850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adjustment to fair value of contingent consideration</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center"/>
              <w:ind w:right="192"/>
              <w:spacing w:after="0"/>
              <w:rPr>
                <w:sz w:val="20"/>
                <w:szCs w:val="20"/>
                <w:color w:val="auto"/>
              </w:rPr>
            </w:pPr>
            <w:r>
              <w:rPr>
                <w:rFonts w:ascii="Arial" w:cs="Arial" w:eastAsia="Arial" w:hAnsi="Arial"/>
                <w:sz w:val="18"/>
                <w:szCs w:val="18"/>
                <w:color w:val="auto"/>
                <w:w w:val="91"/>
              </w:rPr>
              <w:t>(1,143)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2014</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color w:val="auto"/>
                <w:w w:val="89"/>
              </w:rPr>
              <w:t>$707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3. INVENTORY</w:t>
            </w: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660"/>
              <w:spacing w:after="0"/>
              <w:rPr>
                <w:sz w:val="20"/>
                <w:szCs w:val="20"/>
                <w:color w:val="auto"/>
              </w:rPr>
            </w:pPr>
            <w:r>
              <w:rPr>
                <w:rFonts w:ascii="Arial" w:cs="Arial" w:eastAsia="Arial" w:hAnsi="Arial"/>
                <w:sz w:val="18"/>
                <w:szCs w:val="18"/>
                <w:color w:val="auto"/>
              </w:rPr>
              <w:t>Inventory consisted of the following (in thousands):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center"/>
              <w:ind w:right="272"/>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34,555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40,093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43,294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48,672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center"/>
              <w:ind w:right="272"/>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19,121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software and tooling</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25,151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23,556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91,457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78,450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47,474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36,652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Beginning in the first quarter of 2014, we reclassified certain fixed assets between categories in the table above to better reflect the nature of these fixed assets. Prior period amounts have also been reclassified to conform to the current period presentation. We believe the impact of the reclassification is not material.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$3.9 million and $3.2 million during the three months ended March 31, 2014 and March 31, 2013,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Coyote Point Systems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March 21, 2013, we acquired all of the outstanding equity securities of Coyote Point Systems, Inc. (“Coyote”), a provider of application delivery, load balancing and acceleration solutions, for $6.0 million in cash. The acquisition also included a contingent obligation for up to $5.5 million in future earn-out payments to former stockholders of Coyote, if specified future operational objectives, service conditions and financial results are met within two years of the acquisition date. Of the maximum $5.5 million in contingent earn-out payments, up to $3.5 million will be payable after eighteen months from the acquisition date, and up to $2.0 million will be payable after two years from the acquisition date. As the future earn-out payments are also contingent upon one of Coyote's former stockholder's employment during the earn-out period, the estimated fair value of these contingent obligations is being recorded as compensation expense ratably over the earn-out periods. This acquisition complemented our network security strategy and allowed us and our channel partners to accelerate and further deliver on our vision of providing broad security and networking functionality to customers.</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assets acquired and liabilities assumed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1,030</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r>
      <w:tr>
        <w:trPr>
          <w:trHeight w:val="237"/>
        </w:trPr>
        <w:tc>
          <w:tcPr>
            <w:tcW w:w="94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3,034</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5,985</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Of the total acquired identified intangible assets, we allocated $2.3 million to developed technology, $0.5 million to customer relationships, and $2.6 million to in-process research and development (“IPR&amp;D”) as of the acquisition date. Identified finite-lived intangible assets consist of developed technology and customer relationships that are being amortized as cost of revenue and sales and marketing expense, respectively, ratably on a straight-line basis, each over an estimated useful life of six years. Identified indefinite-lived intangible assets consisted of acquired IPR&amp;D relating to existing research and development projects at the time of acquisition. The goodwill of $2.8 million represents the premium we paid over the fair value of the net tangible liabilities assumed and identified intangible assets acquired, due primarily to acquire developed and in-process technology. None of the goodwill recognized as a result of the acquisition is deductible for income tax purposes. The financial results of this acquisition were considered immaterial for purposes of pro-forma financial disclosures. During the three months ended September 30, 2013, we completed the development of technology associated with the IPR&amp;D projects, and started amortizing this developed technology as cost of revenue ratably on a straight-line basis over an estimated useful life of 6 years.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ASSETS—Net</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recorded $2.8 million of goodwill from the acquisition of Coyote. There were no impairments to goodwill during the three months ended March 31,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2014</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jc w:val="center"/>
              <w:ind w:right="4790"/>
              <w:spacing w:after="0"/>
              <w:rPr>
                <w:sz w:val="20"/>
                <w:szCs w:val="20"/>
                <w:color w:val="auto"/>
              </w:rPr>
            </w:pPr>
            <w:r>
              <w:rPr>
                <w:rFonts w:ascii="Arial" w:cs="Arial" w:eastAsia="Arial" w:hAnsi="Arial"/>
                <w:sz w:val="18"/>
                <w:szCs w:val="18"/>
                <w:color w:val="auto"/>
                <w:w w:val="90"/>
              </w:rPr>
              <w:t>Developed technology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5,801</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jc w:val="center"/>
              <w:ind w:right="4750"/>
              <w:spacing w:after="0"/>
              <w:rPr>
                <w:sz w:val="20"/>
                <w:szCs w:val="20"/>
                <w:color w:val="auto"/>
              </w:rPr>
            </w:pPr>
            <w:r>
              <w:rPr>
                <w:rFonts w:ascii="Arial" w:cs="Arial" w:eastAsia="Arial" w:hAnsi="Arial"/>
                <w:sz w:val="18"/>
                <w:szCs w:val="18"/>
                <w:color w:val="auto"/>
                <w:w w:val="90"/>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r>
      <w:tr>
        <w:trPr>
          <w:trHeight w:val="257"/>
        </w:trPr>
        <w:tc>
          <w:tcPr>
            <w:tcW w:w="7060" w:type="dxa"/>
            <w:vAlign w:val="bottom"/>
          </w:tcPr>
          <w:p>
            <w:pPr>
              <w:ind w:left="480"/>
              <w:spacing w:after="0"/>
              <w:rPr>
                <w:sz w:val="20"/>
                <w:szCs w:val="20"/>
                <w:color w:val="auto"/>
              </w:rPr>
            </w:pPr>
            <w:r>
              <w:rPr>
                <w:rFonts w:ascii="Arial" w:cs="Arial" w:eastAsia="Arial" w:hAnsi="Arial"/>
                <w:sz w:val="18"/>
                <w:szCs w:val="18"/>
                <w:color w:val="auto"/>
              </w:rPr>
              <w:t>Total other intangible assets—net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9,387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6,218</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1"/>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jc w:val="center"/>
              <w:ind w:right="4830"/>
              <w:spacing w:after="0"/>
              <w:rPr>
                <w:sz w:val="20"/>
                <w:szCs w:val="20"/>
                <w:color w:val="auto"/>
              </w:rPr>
            </w:pPr>
            <w:r>
              <w:rPr>
                <w:rFonts w:ascii="Arial" w:cs="Arial" w:eastAsia="Arial" w:hAnsi="Arial"/>
                <w:sz w:val="18"/>
                <w:szCs w:val="18"/>
                <w:color w:val="auto"/>
                <w:w w:val="90"/>
              </w:rPr>
              <w:t>Other intangible assets—net: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jc w:val="center"/>
              <w:ind w:right="4790"/>
              <w:spacing w:after="0"/>
              <w:rPr>
                <w:sz w:val="20"/>
                <w:szCs w:val="20"/>
                <w:color w:val="auto"/>
              </w:rPr>
            </w:pPr>
            <w:r>
              <w:rPr>
                <w:rFonts w:ascii="Arial" w:cs="Arial" w:eastAsia="Arial" w:hAnsi="Arial"/>
                <w:sz w:val="18"/>
                <w:szCs w:val="18"/>
                <w:color w:val="auto"/>
                <w:w w:val="90"/>
              </w:rPr>
              <w:t>Developed technology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8,971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6,403</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jc w:val="center"/>
              <w:ind w:right="4750"/>
              <w:spacing w:after="0"/>
              <w:rPr>
                <w:sz w:val="20"/>
                <w:szCs w:val="20"/>
                <w:color w:val="auto"/>
              </w:rPr>
            </w:pPr>
            <w:r>
              <w:rPr>
                <w:rFonts w:ascii="Arial" w:cs="Arial" w:eastAsia="Arial" w:hAnsi="Arial"/>
                <w:sz w:val="18"/>
                <w:szCs w:val="18"/>
                <w:color w:val="auto"/>
                <w:w w:val="90"/>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r>
      <w:tr>
        <w:trPr>
          <w:trHeight w:val="257"/>
        </w:trPr>
        <w:tc>
          <w:tcPr>
            <w:tcW w:w="7060" w:type="dxa"/>
            <w:vAlign w:val="bottom"/>
          </w:tcPr>
          <w:p>
            <w:pPr>
              <w:ind w:left="480"/>
              <w:spacing w:after="0"/>
              <w:rPr>
                <w:sz w:val="20"/>
                <w:szCs w:val="20"/>
                <w:color w:val="auto"/>
              </w:rPr>
            </w:pPr>
            <w:r>
              <w:rPr>
                <w:rFonts w:ascii="Arial" w:cs="Arial" w:eastAsia="Arial" w:hAnsi="Arial"/>
                <w:sz w:val="18"/>
                <w:szCs w:val="18"/>
                <w:color w:val="auto"/>
              </w:rPr>
              <w:t>Total other intangible assets—net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9,471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6,841</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Amortization expense was $0.5 million and $0.3 million during the three months ended March 31, 2014 and March 31, 2013, respectively. The following table summarizes estimated future amortization expense of Other intangible assets—net (in thousands):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right"/>
              <w:ind w:right="75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5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2014 (remainder)</w:t>
            </w:r>
          </w:p>
        </w:tc>
        <w:tc>
          <w:tcPr>
            <w:tcW w:w="5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5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2016</w:t>
            </w:r>
          </w:p>
        </w:tc>
        <w:tc>
          <w:tcPr>
            <w:tcW w:w="5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5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2018</w:t>
            </w:r>
          </w:p>
        </w:tc>
        <w:tc>
          <w:tcPr>
            <w:tcW w:w="5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5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3820" w:type="dxa"/>
            <w:vAlign w:val="bottom"/>
          </w:tcPr>
          <w:p>
            <w:pPr>
              <w:ind w:left="20"/>
              <w:spacing w:after="0"/>
              <w:rPr>
                <w:sz w:val="20"/>
                <w:szCs w:val="20"/>
                <w:color w:val="auto"/>
              </w:rPr>
            </w:pPr>
            <w:r>
              <w:rPr>
                <w:rFonts w:ascii="Arial" w:cs="Arial" w:eastAsia="Arial" w:hAnsi="Arial"/>
                <w:sz w:val="18"/>
                <w:szCs w:val="18"/>
                <w:color w:val="auto"/>
              </w:rPr>
              <w:t>Total</w:t>
            </w:r>
          </w:p>
        </w:tc>
        <w:tc>
          <w:tcPr>
            <w:tcW w:w="53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300" w:type="dxa"/>
            <w:vAlign w:val="bottom"/>
            <w:vMerge w:val="restart"/>
          </w:tcPr>
          <w:p>
            <w:pPr>
              <w:jc w:val="right"/>
              <w:ind w:right="325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and employee stock purchase plan (“ESPP”). Potentially dilutive shares of common stock are determined by applying the treasury stock method.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162,391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161,282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161,282</w:t>
            </w:r>
          </w:p>
        </w:tc>
        <w:tc>
          <w:tcPr>
            <w:tcW w:w="0" w:type="dxa"/>
            <w:vAlign w:val="bottom"/>
          </w:tcPr>
          <w:p>
            <w:pPr>
              <w:spacing w:after="0"/>
              <w:rPr>
                <w:sz w:val="1"/>
                <w:szCs w:val="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43"/>
        </w:trPr>
        <w:tc>
          <w:tcPr>
            <w:tcW w:w="7440" w:type="dxa"/>
            <w:vAlign w:val="bottom"/>
          </w:tcPr>
          <w:p>
            <w:pPr>
              <w:ind w:left="920"/>
              <w:spacing w:after="0"/>
              <w:rPr>
                <w:sz w:val="20"/>
                <w:szCs w:val="20"/>
                <w:color w:val="auto"/>
              </w:rPr>
            </w:pPr>
            <w:r>
              <w:rPr>
                <w:rFonts w:ascii="Arial" w:cs="Arial" w:eastAsia="Arial" w:hAnsi="Arial"/>
                <w:sz w:val="18"/>
                <w:szCs w:val="18"/>
                <w:color w:val="auto"/>
              </w:rPr>
              <w:t>RSUs</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36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168,114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167,823</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980" w:type="dxa"/>
            <w:vAlign w:val="bottom"/>
            <w:gridSpan w:val="3"/>
          </w:tcPr>
          <w:p>
            <w:pPr>
              <w:jc w:val="right"/>
              <w:ind w:right="115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40" w:type="dxa"/>
            <w:vAlign w:val="bottom"/>
            <w:gridSpan w:val="2"/>
          </w:tcPr>
          <w:p>
            <w:pPr>
              <w:ind w:left="600"/>
              <w:spacing w:after="0"/>
              <w:rPr>
                <w:sz w:val="20"/>
                <w:szCs w:val="20"/>
                <w:color w:val="auto"/>
              </w:rPr>
            </w:pPr>
            <w:r>
              <w:rPr>
                <w:rFonts w:ascii="Arial" w:cs="Arial" w:eastAsia="Arial" w:hAnsi="Arial"/>
                <w:sz w:val="16"/>
                <w:szCs w:val="16"/>
                <w:b w:val="1"/>
                <w:bCs w:val="1"/>
                <w:color w:val="auto"/>
              </w:rPr>
              <w:t>March 31,</w:t>
            </w:r>
          </w:p>
        </w:tc>
        <w:tc>
          <w:tcPr>
            <w:tcW w:w="1940" w:type="dxa"/>
            <w:vAlign w:val="bottom"/>
          </w:tcPr>
          <w:p>
            <w:pPr>
              <w:jc w:val="right"/>
              <w:ind w:right="55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6060" w:type="dxa"/>
            <w:vAlign w:val="bottom"/>
            <w:gridSpan w:val="2"/>
          </w:tcPr>
          <w:p>
            <w:pPr>
              <w:jc w:val="right"/>
              <w:ind w:right="71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940" w:type="dxa"/>
            <w:vAlign w:val="bottom"/>
          </w:tcPr>
          <w:p>
            <w:pPr>
              <w:jc w:val="right"/>
              <w:ind w:right="713"/>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60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RSUs</w:t>
            </w:r>
          </w:p>
        </w:tc>
        <w:tc>
          <w:tcPr>
            <w:tcW w:w="6060" w:type="dxa"/>
            <w:vAlign w:val="bottom"/>
            <w:gridSpan w:val="2"/>
          </w:tcPr>
          <w:p>
            <w:pPr>
              <w:jc w:val="right"/>
              <w:ind w:right="14"/>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4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8,151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120" w:type="dxa"/>
            <w:vAlign w:val="bottom"/>
            <w:vMerge w:val="restart"/>
          </w:tcPr>
          <w:p>
            <w:pPr>
              <w:jc w:val="right"/>
              <w:ind w:right="1552"/>
              <w:spacing w:after="0"/>
              <w:rPr>
                <w:sz w:val="20"/>
                <w:szCs w:val="20"/>
                <w:color w:val="auto"/>
              </w:rPr>
            </w:pPr>
            <w:r>
              <w:rPr>
                <w:rFonts w:ascii="Arial" w:cs="Arial" w:eastAsia="Arial" w:hAnsi="Arial"/>
                <w:sz w:val="18"/>
                <w:szCs w:val="18"/>
                <w:color w:val="auto"/>
              </w:rPr>
              <w:t>14</w:t>
            </w: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120" w:type="dxa"/>
            <w:vAlign w:val="bottom"/>
            <w:vMerge w:val="continue"/>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7"/>
                <w:szCs w:val="17"/>
                <w:color w:val="auto"/>
              </w:rPr>
            </w:pPr>
          </w:p>
        </w:tc>
        <w:tc>
          <w:tcPr>
            <w:tcW w:w="16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Services and other</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447,776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429,713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432,628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Reported As:</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293,664</w:t>
            </w:r>
          </w:p>
        </w:tc>
        <w:tc>
          <w:tcPr>
            <w:tcW w:w="0" w:type="dxa"/>
            <w:vAlign w:val="bottom"/>
          </w:tcPr>
          <w:p>
            <w:pPr>
              <w:spacing w:after="0"/>
              <w:rPr>
                <w:sz w:val="1"/>
                <w:szCs w:val="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Non-current</w:t>
            </w: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145,601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138,964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432,628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March 31, 2014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Less: Sublease rental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Operating lease commitments—net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38,880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contract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93,614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63,340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4,829</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2020. The terms of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leases provide for renewal options. Future minimum payments under the non-cancelable operating leases totaled $31.6 million as of March 31, 2014. Rent expense is recognized using the straight-line method over the term of the lease. Rent expense was $2.7 million and $2.3 million during the three months ended March 31, 2014 and March 31, 2013, respectively.</w:t>
      </w:r>
    </w:p>
    <w:p>
      <w:pPr>
        <w:spacing w:after="0" w:line="1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2014, we had $38.9 million of open purchase orders with our independent contract manufacturers that may not be cancelable.</w:t>
      </w:r>
    </w:p>
    <w:p>
      <w:pPr>
        <w:spacing w:after="0" w:line="14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March 31, 2014, we had $24.2 million in other purchase commitments.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40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360" w:type="dxa"/>
            <w:vAlign w:val="bottom"/>
          </w:tcPr>
          <w:p>
            <w:pPr>
              <w:jc w:val="right"/>
              <w:ind w:right="135"/>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4"/>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18"/>
                <w:szCs w:val="18"/>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36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7"/>
        </w:trPr>
        <w:tc>
          <w:tcPr>
            <w:tcW w:w="7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Provision for warranty for the period, including warranty liabilities assumed in connection with an</w:t>
            </w:r>
          </w:p>
        </w:tc>
        <w:tc>
          <w:tcPr>
            <w:tcW w:w="1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3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Changes in prior period estimates</w:t>
            </w:r>
          </w:p>
        </w:tc>
        <w:tc>
          <w:tcPr>
            <w:tcW w:w="1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360" w:type="dxa"/>
            <w:vAlign w:val="bottom"/>
            <w:tcBorders>
              <w:bottom w:val="single" w:sz="8" w:color="auto"/>
            </w:tcBorders>
            <w:shd w:val="clear" w:color="auto" w:fill="CCEEFF"/>
          </w:tcPr>
          <w:p>
            <w:pPr>
              <w:jc w:val="right"/>
              <w:ind w:right="115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2,284</w:t>
            </w:r>
          </w:p>
        </w:tc>
      </w:tr>
      <w:tr>
        <w:trPr>
          <w:trHeight w:val="20"/>
        </w:trPr>
        <w:tc>
          <w:tcPr>
            <w:tcW w:w="7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We are defending these litigation matters, and while there can be no</w:t>
      </w:r>
      <w:r>
        <w:rPr>
          <w:rFonts w:ascii="Arial" w:cs="Arial" w:eastAsia="Arial" w:hAnsi="Arial"/>
          <w:sz w:val="17"/>
          <w:szCs w:val="17"/>
          <w:b w:val="1"/>
          <w:bCs w:val="1"/>
          <w:color w:val="auto"/>
        </w:rPr>
        <w:t xml:space="preserve"> </w:t>
      </w:r>
      <w:r>
        <w:rPr>
          <w:rFonts w:ascii="Arial" w:cs="Arial" w:eastAsia="Arial" w:hAnsi="Arial"/>
          <w:sz w:val="17"/>
          <w:szCs w:val="17"/>
          <w:color w:val="auto"/>
        </w:rPr>
        <w:t>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material accrual for loss contingencies associated with such legal proceedings; determined that an unfavorable outcome is probable or reasonably possible; or determined that the amount or range of any possible loss is reasonably estimable.</w:t>
      </w:r>
    </w:p>
    <w:p>
      <w:pPr>
        <w:spacing w:after="0" w:line="17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beyond indemnification for third party claims of intellectual property infringement and that could potentially expose us to losses in excess of the amount received under the agreement. To date, there have been no awards under such indemnification provisions.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2009 Equity Incentive Plan (the “Plan”) permits us to grant awards of stock options, stock appreciation rights, restricted stock, restricted stock units, and performance units or performance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93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9"/>
        </w:trPr>
        <w:tc>
          <w:tcPr>
            <w:tcW w:w="93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93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9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2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4.88</w:t>
            </w:r>
          </w:p>
        </w:tc>
      </w:tr>
      <w:tr>
        <w:trPr>
          <w:trHeight w:val="243"/>
        </w:trPr>
        <w:tc>
          <w:tcPr>
            <w:tcW w:w="9300" w:type="dxa"/>
            <w:vAlign w:val="bottom"/>
          </w:tcPr>
          <w:p>
            <w:pPr>
              <w:ind w:left="500"/>
              <w:spacing w:after="0"/>
              <w:rPr>
                <w:sz w:val="20"/>
                <w:szCs w:val="20"/>
                <w:color w:val="auto"/>
              </w:rPr>
            </w:pPr>
            <w:r>
              <w:rPr>
                <w:rFonts w:ascii="Arial" w:cs="Arial" w:eastAsia="Arial" w:hAnsi="Arial"/>
                <w:sz w:val="18"/>
                <w:szCs w:val="18"/>
                <w:color w:val="auto"/>
              </w:rPr>
              <w:t>Volatility</w:t>
            </w:r>
          </w:p>
        </w:tc>
        <w:tc>
          <w:tcPr>
            <w:tcW w:w="212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9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9300" w:type="dxa"/>
            <w:vAlign w:val="bottom"/>
          </w:tcPr>
          <w:p>
            <w:pPr>
              <w:ind w:left="500"/>
              <w:spacing w:after="0"/>
              <w:rPr>
                <w:sz w:val="20"/>
                <w:szCs w:val="20"/>
                <w:color w:val="auto"/>
              </w:rPr>
            </w:pPr>
            <w:r>
              <w:rPr>
                <w:rFonts w:ascii="Arial" w:cs="Arial" w:eastAsia="Arial" w:hAnsi="Arial"/>
                <w:sz w:val="18"/>
                <w:szCs w:val="18"/>
                <w:color w:val="auto"/>
              </w:rPr>
              <w:t>Dividend rate</w:t>
            </w:r>
          </w:p>
        </w:tc>
        <w:tc>
          <w:tcPr>
            <w:tcW w:w="212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months ended March 31, 2013.</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2014</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14,545</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vest—March 31, 2014</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14,509</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135,393</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exercisable—March 31, 2014</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11,567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132,401</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March 31, 2014, for all in-the-money options. As of March 31, 2014, total compensation expense related to unvested stock options granted to employees but not yet recognized was $34.2 million, net of estimated forfeitures. This expense is expected to be amortized on a straight-line basis over a weighted-average period of 1.70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4"/>
          </w:tcPr>
          <w:p>
            <w:pPr>
              <w:jc w:val="right"/>
              <w:ind w:right="115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8"/>
                <w:szCs w:val="18"/>
                <w:color w:val="auto"/>
              </w:rPr>
            </w:pPr>
          </w:p>
        </w:tc>
        <w:tc>
          <w:tcPr>
            <w:tcW w:w="1580" w:type="dxa"/>
            <w:vAlign w:val="bottom"/>
          </w:tcPr>
          <w:p>
            <w:pPr>
              <w:jc w:val="right"/>
              <w:ind w:right="55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26,059</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11,004</w:t>
            </w:r>
          </w:p>
        </w:tc>
      </w:tr>
      <w:tr>
        <w:trPr>
          <w:trHeight w:val="27"/>
        </w:trPr>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340" w:type="dxa"/>
            <w:vAlign w:val="bottom"/>
            <w:gridSpan w:val="3"/>
          </w:tcPr>
          <w:p>
            <w:pPr>
              <w:jc w:val="right"/>
              <w:ind w:right="34"/>
              <w:spacing w:after="0"/>
              <w:rPr>
                <w:sz w:val="20"/>
                <w:szCs w:val="20"/>
                <w:color w:val="auto"/>
              </w:rPr>
            </w:pPr>
            <w:r>
              <w:rPr>
                <w:rFonts w:ascii="Arial" w:cs="Arial" w:eastAsia="Arial" w:hAnsi="Arial"/>
                <w:sz w:val="16"/>
                <w:szCs w:val="16"/>
                <w:b w:val="1"/>
                <w:bCs w:val="1"/>
                <w:color w:val="auto"/>
              </w:rPr>
              <w:t>Restricted Stock Units Outstanding</w:t>
            </w:r>
          </w:p>
        </w:tc>
        <w:tc>
          <w:tcPr>
            <w:tcW w:w="6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Weighted-Average Grant-</w:t>
            </w:r>
          </w:p>
        </w:tc>
      </w:tr>
      <w:tr>
        <w:trPr>
          <w:trHeight w:val="210"/>
        </w:trPr>
        <w:tc>
          <w:tcPr>
            <w:tcW w:w="74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6"/>
                <w:szCs w:val="16"/>
                <w:b w:val="1"/>
                <w:bCs w:val="1"/>
                <w:color w:val="auto"/>
              </w:rPr>
              <w:t>Number of Shares</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Date-Fair Value per Share</w:t>
            </w:r>
          </w:p>
        </w:tc>
      </w:tr>
      <w:tr>
        <w:trPr>
          <w:trHeight w:val="33"/>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21.48</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23.25</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2014</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5,435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rPr>
                <w:sz w:val="20"/>
                <w:szCs w:val="20"/>
                <w:color w:val="auto"/>
              </w:rPr>
            </w:pPr>
            <w:r>
              <w:rPr>
                <w:rFonts w:ascii="Arial" w:cs="Arial" w:eastAsia="Arial" w:hAnsi="Arial"/>
                <w:sz w:val="18"/>
                <w:szCs w:val="18"/>
                <w:color w:val="auto"/>
              </w:rPr>
              <w:t>RSUs expected to vest—March 31, 2014</w:t>
            </w:r>
          </w:p>
        </w:tc>
        <w:tc>
          <w:tcPr>
            <w:tcW w:w="1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21.78</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 of March 31, 2014, total compensation expense related to unvested RSUs that were granted to employees and non-employees under the 2009 Plan, but not yet recognized, was $116.1 million, net of estimated forfeitures. This expense is expected to be amortized on a straight-line basis over a weighted-average vesting period of 3.25 years.</w:t>
      </w:r>
    </w:p>
    <w:p>
      <w:pPr>
        <w:sectPr>
          <w:pgSz w:w="11900" w:h="16838" w:orient="portrait"/>
          <w:cols w:equalWidth="0" w:num="1">
            <w:col w:w="11420"/>
          </w:cols>
          <w:pgMar w:left="240" w:top="288" w:right="239" w:bottom="1440" w:gutter="0" w:footer="0" w:header="0"/>
        </w:sectPr>
      </w:pPr>
    </w:p>
    <w:bookmarkStart w:id="17" w:name="page18"/>
    <w:bookmarkEnd w:id="17"/>
    <w:p>
      <w:pPr>
        <w:ind w:right="780" w:firstLine="648"/>
        <w:spacing w:after="0" w:line="277" w:lineRule="auto"/>
        <w:rPr>
          <w:sz w:val="20"/>
          <w:szCs w:val="20"/>
          <w:color w:val="auto"/>
        </w:rPr>
      </w:pPr>
      <w:r>
        <w:rPr>
          <w:rFonts w:ascii="Arial" w:cs="Arial" w:eastAsia="Arial" w:hAnsi="Arial"/>
          <w:sz w:val="18"/>
          <w:szCs w:val="18"/>
          <w:color w:val="auto"/>
        </w:rPr>
        <w:t>The following summarizes the number and value of the shares withheld for employee taxes for the three months ended March 31, 2014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520" w:type="dxa"/>
            <w:vAlign w:val="bottom"/>
            <w:gridSpan w:val="4"/>
          </w:tcPr>
          <w:p>
            <w:pPr>
              <w:jc w:val="right"/>
              <w:ind w:right="696"/>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360" w:type="dxa"/>
            <w:vAlign w:val="bottom"/>
          </w:tcPr>
          <w:p>
            <w:pPr>
              <w:jc w:val="center"/>
              <w:ind w:left="457"/>
              <w:spacing w:after="0"/>
              <w:rPr>
                <w:sz w:val="20"/>
                <w:szCs w:val="20"/>
                <w:color w:val="auto"/>
              </w:rPr>
            </w:pPr>
            <w:r>
              <w:rPr>
                <w:rFonts w:ascii="Arial" w:cs="Arial" w:eastAsia="Arial" w:hAnsi="Arial"/>
                <w:sz w:val="16"/>
                <w:szCs w:val="16"/>
                <w:b w:val="1"/>
                <w:bCs w:val="1"/>
                <w:color w:val="auto"/>
                <w:w w:val="94"/>
              </w:rPr>
              <w:t>March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left="336"/>
              <w:spacing w:after="0"/>
              <w:rPr>
                <w:sz w:val="20"/>
                <w:szCs w:val="20"/>
                <w:color w:val="auto"/>
              </w:rPr>
            </w:pPr>
            <w:r>
              <w:rPr>
                <w:rFonts w:ascii="Arial" w:cs="Arial" w:eastAsia="Arial" w:hAnsi="Arial"/>
                <w:sz w:val="16"/>
                <w:szCs w:val="16"/>
                <w:b w:val="1"/>
                <w:bCs w:val="1"/>
                <w:color w:val="auto"/>
                <w:w w:val="94"/>
              </w:rPr>
              <w:t>March 31,</w:t>
            </w:r>
          </w:p>
        </w:tc>
        <w:tc>
          <w:tcPr>
            <w:tcW w:w="46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256"/>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18"/>
                <w:szCs w:val="18"/>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360" w:type="dxa"/>
            <w:vAlign w:val="bottom"/>
          </w:tcPr>
          <w:p>
            <w:pPr>
              <w:jc w:val="right"/>
              <w:ind w:right="115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1"/>
                <w:szCs w:val="21"/>
                <w:color w:val="auto"/>
              </w:rPr>
            </w:pPr>
          </w:p>
        </w:tc>
        <w:tc>
          <w:tcPr>
            <w:tcW w:w="1480" w:type="dxa"/>
            <w:vAlign w:val="bottom"/>
          </w:tcPr>
          <w:p>
            <w:pPr>
              <w:jc w:val="right"/>
              <w:ind w:right="1276"/>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6"/>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4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center"/>
              <w:ind w:left="494"/>
              <w:spacing w:after="0"/>
              <w:rPr>
                <w:sz w:val="20"/>
                <w:szCs w:val="20"/>
                <w:color w:val="auto"/>
              </w:rPr>
            </w:pPr>
            <w:r>
              <w:rPr>
                <w:rFonts w:ascii="Arial" w:cs="Arial" w:eastAsia="Arial" w:hAnsi="Arial"/>
                <w:sz w:val="16"/>
                <w:szCs w:val="16"/>
                <w:b w:val="1"/>
                <w:bCs w:val="1"/>
                <w:color w:val="auto"/>
                <w:w w:val="89"/>
              </w:rPr>
              <w:t>2013</w:t>
            </w:r>
          </w:p>
        </w:tc>
        <w:tc>
          <w:tcPr>
            <w:tcW w:w="580" w:type="dxa"/>
            <w:vAlign w:val="bottom"/>
          </w:tcPr>
          <w:p>
            <w:pPr>
              <w:spacing w:after="0"/>
              <w:rPr>
                <w:sz w:val="18"/>
                <w:szCs w:val="18"/>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0.49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59"/>
        </w:trPr>
        <w:tc>
          <w:tcPr>
            <w:tcW w:w="8780" w:type="dxa"/>
            <w:vAlign w:val="bottom"/>
            <w:gridSpan w:val="3"/>
          </w:tcPr>
          <w:p>
            <w:pPr>
              <w:ind w:left="660"/>
              <w:spacing w:after="0"/>
              <w:rPr>
                <w:sz w:val="20"/>
                <w:szCs w:val="20"/>
                <w:color w:val="auto"/>
              </w:rPr>
            </w:pPr>
            <w:r>
              <w:rPr>
                <w:rFonts w:ascii="Arial" w:cs="Arial" w:eastAsia="Arial" w:hAnsi="Arial"/>
                <w:sz w:val="18"/>
                <w:szCs w:val="18"/>
                <w:color w:val="auto"/>
                <w:w w:val="98"/>
              </w:rPr>
              <w:t>Additional information related to the ESPP is provided below (in thousands, except per share amounts):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88"/>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6"/>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24"/>
                <w:szCs w:val="24"/>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jc w:val="center"/>
              <w:ind w:left="459"/>
              <w:spacing w:after="0"/>
              <w:rPr>
                <w:sz w:val="20"/>
                <w:szCs w:val="20"/>
                <w:color w:val="auto"/>
              </w:rPr>
            </w:pPr>
            <w:r>
              <w:rPr>
                <w:rFonts w:ascii="Arial" w:cs="Arial" w:eastAsia="Arial" w:hAnsi="Arial"/>
                <w:sz w:val="16"/>
                <w:szCs w:val="16"/>
                <w:b w:val="1"/>
                <w:bCs w:val="1"/>
                <w:color w:val="auto"/>
                <w:w w:val="94"/>
              </w:rPr>
              <w:t>March 31,</w:t>
            </w:r>
          </w:p>
        </w:tc>
        <w:tc>
          <w:tcPr>
            <w:tcW w:w="58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center"/>
              <w:ind w:left="574"/>
              <w:spacing w:after="0"/>
              <w:rPr>
                <w:sz w:val="20"/>
                <w:szCs w:val="20"/>
                <w:color w:val="auto"/>
              </w:rPr>
            </w:pPr>
            <w:r>
              <w:rPr>
                <w:rFonts w:ascii="Arial" w:cs="Arial" w:eastAsia="Arial" w:hAnsi="Arial"/>
                <w:sz w:val="16"/>
                <w:szCs w:val="16"/>
                <w:b w:val="1"/>
                <w:bCs w:val="1"/>
                <w:color w:val="auto"/>
                <w:w w:val="89"/>
              </w:rPr>
              <w:t>2013</w:t>
            </w:r>
          </w:p>
        </w:tc>
        <w:tc>
          <w:tcPr>
            <w:tcW w:w="580" w:type="dxa"/>
            <w:vAlign w:val="bottom"/>
          </w:tcPr>
          <w:p>
            <w:pPr>
              <w:spacing w:after="0"/>
              <w:rPr>
                <w:sz w:val="18"/>
                <w:szCs w:val="18"/>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460" w:type="dxa"/>
            <w:vAlign w:val="bottom"/>
            <w:tcBorders>
              <w:bottom w:val="single" w:sz="8" w:color="CCEEFF"/>
            </w:tcBorders>
            <w:gridSpan w:val="2"/>
            <w:shd w:val="clear" w:color="auto" w:fill="CCEEFF"/>
          </w:tcPr>
          <w:p>
            <w:pPr>
              <w:jc w:val="right"/>
              <w:ind w:right="113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1460" w:type="dxa"/>
            <w:vAlign w:val="bottom"/>
            <w:gridSpan w:val="2"/>
            <w:shd w:val="clear" w:color="auto" w:fill="CCEEFF"/>
          </w:tcPr>
          <w:p>
            <w:pPr>
              <w:jc w:val="right"/>
              <w:ind w:right="113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40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320" w:type="dxa"/>
            <w:vAlign w:val="bottom"/>
          </w:tcPr>
          <w:p>
            <w:pPr>
              <w:jc w:val="right"/>
              <w:ind w:right="95"/>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4"/>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18"/>
                <w:szCs w:val="18"/>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Cost of services and other revenue</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1,020</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4,118</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r>
      <w:tr>
        <w:trPr>
          <w:trHeight w:val="257"/>
        </w:trPr>
        <w:tc>
          <w:tcPr>
            <w:tcW w:w="74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32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12,930</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9,299</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ectPr>
          <w:pgSz w:w="11900" w:h="16838" w:orient="portrait"/>
          <w:cols w:equalWidth="0" w:num="1">
            <w:col w:w="11420"/>
          </w:cols>
          <w:pgMar w:left="240" w:top="1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40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320" w:type="dxa"/>
            <w:vAlign w:val="bottom"/>
          </w:tcPr>
          <w:p>
            <w:pPr>
              <w:jc w:val="right"/>
              <w:ind w:right="95"/>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4"/>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18"/>
                <w:szCs w:val="18"/>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 options</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5,486</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RSUs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2,674</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257"/>
        </w:trPr>
        <w:tc>
          <w:tcPr>
            <w:tcW w:w="74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32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12,930</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9,299</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400" w:type="dxa"/>
            <w:vAlign w:val="bottom"/>
            <w:gridSpan w:val="4"/>
          </w:tcPr>
          <w:p>
            <w:pPr>
              <w:jc w:val="right"/>
              <w:ind w:right="576"/>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360" w:type="dxa"/>
            <w:vAlign w:val="bottom"/>
          </w:tcPr>
          <w:p>
            <w:pPr>
              <w:jc w:val="center"/>
              <w:ind w:left="457"/>
              <w:spacing w:after="0"/>
              <w:rPr>
                <w:sz w:val="20"/>
                <w:szCs w:val="20"/>
                <w:color w:val="auto"/>
              </w:rPr>
            </w:pPr>
            <w:r>
              <w:rPr>
                <w:rFonts w:ascii="Arial" w:cs="Arial" w:eastAsia="Arial" w:hAnsi="Arial"/>
                <w:sz w:val="16"/>
                <w:szCs w:val="16"/>
                <w:b w:val="1"/>
                <w:bCs w:val="1"/>
                <w:color w:val="auto"/>
                <w:w w:val="94"/>
              </w:rPr>
              <w:t>March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left="456"/>
              <w:spacing w:after="0"/>
              <w:rPr>
                <w:sz w:val="20"/>
                <w:szCs w:val="20"/>
                <w:color w:val="auto"/>
              </w:rPr>
            </w:pPr>
            <w:r>
              <w:rPr>
                <w:rFonts w:ascii="Arial" w:cs="Arial" w:eastAsia="Arial" w:hAnsi="Arial"/>
                <w:sz w:val="16"/>
                <w:szCs w:val="16"/>
                <w:b w:val="1"/>
                <w:bCs w:val="1"/>
                <w:color w:val="auto"/>
                <w:w w:val="94"/>
              </w:rPr>
              <w:t>March 31,</w:t>
            </w:r>
          </w:p>
        </w:tc>
        <w:tc>
          <w:tcPr>
            <w:tcW w:w="58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360" w:type="dxa"/>
            <w:vAlign w:val="bottom"/>
          </w:tcPr>
          <w:p>
            <w:pPr>
              <w:jc w:val="right"/>
              <w:ind w:right="137"/>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18"/>
                <w:szCs w:val="18"/>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360" w:type="dxa"/>
            <w:vAlign w:val="bottom"/>
            <w:shd w:val="clear" w:color="auto" w:fill="CCEEFF"/>
          </w:tcPr>
          <w:p>
            <w:pPr>
              <w:jc w:val="right"/>
              <w:ind w:right="115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3,587</w:t>
            </w:r>
          </w:p>
        </w:tc>
      </w:tr>
      <w:tr>
        <w:trPr>
          <w:trHeight w:val="27"/>
        </w:trPr>
        <w:tc>
          <w:tcPr>
            <w:tcW w:w="7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December 6, 2013, our Board of Directors authorized a Share Repurchase Program (“the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During the three months ended March 31, 2014, we repurchased 0.3 million shares of common stock under the Program in open market transactions for an aggregate purchase price of $7.5 million. The share repurchases were financed by available cash balances and cash flow from operations. As of March 31, 2014, $153.5 million remains authorized for future share repurchases under the Program.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effective tax rate was 39% for the three months ended March 31, 2014, compared to an effective tax rate of 28% for the three months ended March 31, 2013. The provision for income taxes for the periods presented is comprised of U.S. federal and state taxes, foreign income taxes, and withholding tax, as well as the inclusion of stock option benefits and cost allocations, which affected the transfer pricing calculations among the U.S. and some of our foreign subsidiaries.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2014 and December 31, 2013, unrecognized tax benefits were $33.8 million and $30.2 million, respectively. The total amount of $33.2 million in unrecognized tax benefits, would favorably impact the effective tax rate.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March 31, 2014, we had accrued approximately $1.2 million for estimated interest related to uncertain tax positions.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State of California had been conducting an audit of our state income tax returns for fiscal 2010 and fiscal 2011. The audit was settled during the three months ended March 31, 2014 with no significant impact to our tax position or reserves.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tax-deferred savings plan, under the 401(k) Plan, allows participating employees to defer a portion of their pre-tax earnings, up to the IRS annual contribution limit. In Canada, we have a Group Registered Retirement Savings Plan program (the “RRSP”) which permits participants to make tax deductible contributions up to the maximum contribution limits under the Income Tax Act. Our board of directors approved 50% matching contributions on employee contributions up to 4% of each</w:t>
      </w:r>
    </w:p>
    <w:p>
      <w:pPr>
        <w:sectPr>
          <w:pgSz w:w="11900" w:h="16838" w:orient="portrait"/>
          <w:cols w:equalWidth="0" w:num="1">
            <w:col w:w="11420"/>
          </w:cols>
          <w:pgMar w:left="240" w:top="288" w:right="23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employee’s eligible earnings. Our matching contributions to the 401(k) Plans and RRSP for the three months ended March 31, 2014 and March 31, 2013 were $0.6 million and $0.5 million,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revenue by geographic region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March 31,</w:t>
            </w:r>
          </w:p>
        </w:tc>
      </w:tr>
      <w:tr>
        <w:trPr>
          <w:trHeight w:val="176"/>
        </w:trPr>
        <w:tc>
          <w:tcPr>
            <w:tcW w:w="744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360" w:type="dxa"/>
            <w:vAlign w:val="bottom"/>
          </w:tcPr>
          <w:p>
            <w:pPr>
              <w:spacing w:after="0"/>
              <w:rPr>
                <w:sz w:val="15"/>
                <w:szCs w:val="15"/>
                <w:color w:val="auto"/>
              </w:rPr>
            </w:pPr>
          </w:p>
        </w:tc>
        <w:tc>
          <w:tcPr>
            <w:tcW w:w="1580" w:type="dxa"/>
            <w:vAlign w:val="bottom"/>
          </w:tcPr>
          <w:p>
            <w:pPr>
              <w:jc w:val="right"/>
              <w:ind w:right="713"/>
              <w:spacing w:after="0" w:line="176" w:lineRule="exact"/>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ind w:right="712"/>
              <w:spacing w:after="0" w:line="176" w:lineRule="exact"/>
              <w:rPr>
                <w:sz w:val="20"/>
                <w:szCs w:val="20"/>
                <w:color w:val="auto"/>
              </w:rPr>
            </w:pPr>
            <w:r>
              <w:rPr>
                <w:rFonts w:ascii="Arial" w:cs="Arial" w:eastAsia="Arial" w:hAnsi="Arial"/>
                <w:sz w:val="16"/>
                <w:szCs w:val="16"/>
                <w:b w:val="1"/>
                <w:bCs w:val="1"/>
                <w:color w:val="auto"/>
              </w:rPr>
              <w:t>2013</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68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44,793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34,788</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17,839</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72,432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52,627</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47,326</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Asia Pacific and Japan (“APAC”)</w:t>
            </w:r>
          </w:p>
        </w:tc>
        <w:tc>
          <w:tcPr>
            <w:tcW w:w="3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35,867</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168,949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135,820</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During the three months ended March 31, 2014, Exclusive Networks Group and Ingram Micro, accounted for 14% and 10% of total revenue, respectively. During the three months ended March 31, 2013, Exclusive Networks Group accounted for 12% of total revenue.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property and equipment by geographic region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r>
      <w:tr>
        <w:trPr>
          <w:trHeight w:val="176"/>
        </w:trPr>
        <w:tc>
          <w:tcPr>
            <w:tcW w:w="744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Equipment—Net</w:t>
            </w:r>
          </w:p>
        </w:tc>
        <w:tc>
          <w:tcPr>
            <w:tcW w:w="1320" w:type="dxa"/>
            <w:vAlign w:val="bottom"/>
          </w:tcPr>
          <w:p>
            <w:pPr>
              <w:jc w:val="right"/>
              <w:ind w:right="94"/>
              <w:spacing w:after="0" w:line="176" w:lineRule="exact"/>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ind w:right="712"/>
              <w:spacing w:after="0" w:line="176" w:lineRule="exact"/>
              <w:rPr>
                <w:sz w:val="20"/>
                <w:szCs w:val="20"/>
                <w:color w:val="auto"/>
              </w:rPr>
            </w:pPr>
            <w:r>
              <w:rPr>
                <w:rFonts w:ascii="Arial" w:cs="Arial" w:eastAsia="Arial" w:hAnsi="Arial"/>
                <w:sz w:val="16"/>
                <w:szCs w:val="16"/>
                <w:b w:val="1"/>
                <w:bCs w:val="1"/>
                <w:color w:val="auto"/>
              </w:rPr>
              <w:t>2013</w:t>
            </w: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526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40,146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29,334</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4,372</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Other Americas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44,106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33,751</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1,273</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w:t>
            </w:r>
          </w:p>
        </w:tc>
      </w:tr>
      <w:tr>
        <w:trPr>
          <w:trHeight w:val="257"/>
        </w:trPr>
        <w:tc>
          <w:tcPr>
            <w:tcW w:w="40" w:type="dxa"/>
            <w:vAlign w:val="bottom"/>
          </w:tcPr>
          <w:p>
            <w:pPr>
              <w:spacing w:after="0"/>
              <w:rPr>
                <w:sz w:val="22"/>
                <w:szCs w:val="22"/>
                <w:color w:val="auto"/>
              </w:rPr>
            </w:pPr>
          </w:p>
        </w:tc>
        <w:tc>
          <w:tcPr>
            <w:tcW w:w="740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1320" w:type="dxa"/>
            <w:vAlign w:val="bottom"/>
            <w:tcBorders>
              <w:top w:val="single" w:sz="8" w:color="auto"/>
              <w:bottom w:val="single" w:sz="8" w:color="auto"/>
            </w:tcBorders>
          </w:tcPr>
          <w:p>
            <w:pPr>
              <w:jc w:val="right"/>
              <w:ind w:right="111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47,474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36,652</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changes in accumulated balances of other comprehensive income for the three months ended March 31, 2014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7"/>
          </w:tcPr>
          <w:p>
            <w:pPr>
              <w:ind w:left="960"/>
              <w:spacing w:after="0"/>
              <w:rPr>
                <w:sz w:val="20"/>
                <w:szCs w:val="20"/>
                <w:color w:val="auto"/>
              </w:rPr>
            </w:pPr>
            <w:r>
              <w:rPr>
                <w:rFonts w:ascii="Arial" w:cs="Arial" w:eastAsia="Arial" w:hAnsi="Arial"/>
                <w:sz w:val="16"/>
                <w:szCs w:val="16"/>
                <w:b w:val="1"/>
                <w:bCs w:val="1"/>
                <w:color w:val="auto"/>
              </w:rPr>
              <w:t>March 31, 2014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5"/>
              </w:rPr>
              <w:t>Tax Benefit Or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Provision 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7"/>
                <w:szCs w:val="17"/>
                <w:color w:val="auto"/>
              </w:rPr>
            </w:pPr>
          </w:p>
        </w:tc>
        <w:tc>
          <w:tcPr>
            <w:tcW w:w="1720" w:type="dxa"/>
            <w:vAlign w:val="bottom"/>
            <w:gridSpan w:val="4"/>
          </w:tcPr>
          <w:p>
            <w:pPr>
              <w:ind w:left="40"/>
              <w:spacing w:after="0"/>
              <w:rPr>
                <w:sz w:val="20"/>
                <w:szCs w:val="20"/>
                <w:color w:val="auto"/>
              </w:rPr>
            </w:pPr>
            <w:r>
              <w:rPr>
                <w:rFonts w:ascii="Arial" w:cs="Arial" w:eastAsia="Arial" w:hAnsi="Arial"/>
                <w:sz w:val="16"/>
                <w:szCs w:val="16"/>
                <w:b w:val="1"/>
                <w:bCs w:val="1"/>
                <w:color w:val="auto"/>
              </w:rPr>
              <w:t>Unrealized Gains And</w:t>
            </w: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5"/>
              </w:rPr>
              <w:t>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Translation Gains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7"/>
              </w:rPr>
              <w:t>Losses On</w:t>
            </w: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5"/>
              </w:rPr>
              <w:t>And Losses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Investments</w:t>
            </w: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0"/>
        </w:trPr>
        <w:tc>
          <w:tcPr>
            <w:tcW w:w="47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405"/>
        </w:trPr>
        <w:tc>
          <w:tcPr>
            <w:tcW w:w="11420" w:type="dxa"/>
            <w:vAlign w:val="bottom"/>
            <w:gridSpan w:val="16"/>
          </w:tcPr>
          <w:p>
            <w:pPr>
              <w:ind w:left="660"/>
              <w:spacing w:after="0"/>
              <w:rPr>
                <w:sz w:val="20"/>
                <w:szCs w:val="20"/>
                <w:color w:val="auto"/>
              </w:rPr>
            </w:pPr>
            <w:r>
              <w:rPr>
                <w:rFonts w:ascii="Arial" w:cs="Arial" w:eastAsia="Arial" w:hAnsi="Arial"/>
                <w:sz w:val="18"/>
                <w:szCs w:val="18"/>
                <w:color w:val="auto"/>
                <w:w w:val="90"/>
              </w:rPr>
              <w:t>The following table provides details about the reclassification out of accumulated other comprehensive income for the three months ended March 31,</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2014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75"/>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March 31, 2014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jc w:val="right"/>
              <w:ind w:right="134"/>
              <w:spacing w:after="0"/>
              <w:rPr>
                <w:sz w:val="20"/>
                <w:szCs w:val="20"/>
                <w:color w:val="auto"/>
              </w:rPr>
            </w:pPr>
            <w:r>
              <w:rPr>
                <w:rFonts w:ascii="Arial" w:cs="Arial" w:eastAsia="Arial" w:hAnsi="Arial"/>
                <w:sz w:val="16"/>
                <w:szCs w:val="16"/>
                <w:b w:val="1"/>
                <w:bCs w:val="1"/>
                <w:color w:val="auto"/>
                <w:w w:val="93"/>
              </w:rPr>
              <w:t>Amount Reclassified From</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Accumulated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8"/>
              </w:rPr>
              <w:t>Affected Line Item In The Statement</w:t>
            </w:r>
          </w:p>
        </w:tc>
      </w:tr>
      <w:tr>
        <w:trPr>
          <w:trHeight w:val="210"/>
        </w:trPr>
        <w:tc>
          <w:tcPr>
            <w:tcW w:w="6320" w:type="dxa"/>
            <w:vAlign w:val="bottom"/>
            <w:gridSpan w:val="5"/>
          </w:tcPr>
          <w:p>
            <w:pPr>
              <w:ind w:left="560"/>
              <w:spacing w:after="0"/>
              <w:rPr>
                <w:sz w:val="20"/>
                <w:szCs w:val="20"/>
                <w:color w:val="auto"/>
              </w:rPr>
            </w:pPr>
            <w:r>
              <w:rPr>
                <w:rFonts w:ascii="Arial" w:cs="Arial" w:eastAsia="Arial" w:hAnsi="Arial"/>
                <w:sz w:val="16"/>
                <w:szCs w:val="16"/>
                <w:b w:val="1"/>
                <w:bCs w:val="1"/>
                <w:color w:val="auto"/>
              </w:rPr>
              <w:t>Details About Accumulated Other Comprehensive Income Components</w:t>
            </w:r>
          </w:p>
        </w:tc>
        <w:tc>
          <w:tcPr>
            <w:tcW w:w="10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Comprehensive Income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Where Net Income Is Presented</w:t>
            </w:r>
          </w:p>
        </w:tc>
      </w:tr>
      <w:tr>
        <w:trPr>
          <w:trHeight w:val="33"/>
        </w:trPr>
        <w:tc>
          <w:tcPr>
            <w:tcW w:w="4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4"/>
            <w:shd w:val="clear" w:color="auto" w:fill="CCEEFF"/>
          </w:tcPr>
          <w:p>
            <w:pPr>
              <w:jc w:val="right"/>
              <w:ind w:right="611"/>
              <w:spacing w:after="0"/>
              <w:rPr>
                <w:sz w:val="20"/>
                <w:szCs w:val="20"/>
                <w:color w:val="auto"/>
              </w:rPr>
            </w:pPr>
            <w:r>
              <w:rPr>
                <w:rFonts w:ascii="Arial" w:cs="Arial" w:eastAsia="Arial" w:hAnsi="Arial"/>
                <w:sz w:val="18"/>
                <w:szCs w:val="18"/>
                <w:color w:val="auto"/>
                <w:w w:val="89"/>
              </w:rPr>
              <w:t>Other (expense) income—net</w:t>
            </w:r>
          </w:p>
        </w:tc>
      </w:tr>
      <w:tr>
        <w:trPr>
          <w:trHeight w:val="243"/>
        </w:trPr>
        <w:tc>
          <w:tcPr>
            <w:tcW w:w="6320" w:type="dxa"/>
            <w:vAlign w:val="bottom"/>
            <w:gridSpan w:val="5"/>
          </w:tcPr>
          <w:p>
            <w:pPr>
              <w:ind w:left="28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gridSpan w:val="6"/>
          </w:tcPr>
          <w:p>
            <w:pPr>
              <w:jc w:val="right"/>
              <w:ind w:right="791"/>
              <w:spacing w:after="0"/>
              <w:rPr>
                <w:sz w:val="20"/>
                <w:szCs w:val="20"/>
                <w:color w:val="auto"/>
              </w:rPr>
            </w:pPr>
            <w:r>
              <w:rPr>
                <w:rFonts w:ascii="Arial" w:cs="Arial" w:eastAsia="Arial" w:hAnsi="Arial"/>
                <w:sz w:val="18"/>
                <w:szCs w:val="18"/>
                <w:color w:val="auto"/>
                <w:w w:val="97"/>
              </w:rPr>
              <w:t>—   Provision for income taxes</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14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FOREIGN CURRENCY DERIVATIVES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Foreign Currency Derivatives</w:t>
      </w:r>
      <w:r>
        <w:rPr>
          <w:rFonts w:ascii="Arial" w:cs="Arial" w:eastAsia="Arial" w:hAnsi="Arial"/>
          <w:sz w:val="17"/>
          <w:szCs w:val="17"/>
          <w:color w:val="auto"/>
        </w:rPr>
        <w:t>—Our sales contracts are primarily denominated in U.S. dollars and therefore substantially all of our revenue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(expense) income—net in the consolidated statement of operations.</w:t>
      </w:r>
    </w:p>
    <w:p>
      <w:pPr>
        <w:spacing w:after="0" w:line="17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GBP and JPY could adversely impact our operating expenses in the future.</w:t>
      </w:r>
    </w:p>
    <w:p>
      <w:pPr>
        <w:spacing w:after="0" w:line="17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notional amount of forward exchange contracts to hedge balance sheet accounts as of March 31, 2014 and December 31, 2013 were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tcPr>
          <w:p>
            <w:pPr>
              <w:ind w:left="640"/>
              <w:spacing w:after="0"/>
              <w:rPr>
                <w:sz w:val="20"/>
                <w:szCs w:val="20"/>
                <w:color w:val="auto"/>
              </w:rPr>
            </w:pPr>
            <w:r>
              <w:rPr>
                <w:rFonts w:ascii="Arial" w:cs="Arial" w:eastAsia="Arial" w:hAnsi="Arial"/>
                <w:sz w:val="18"/>
                <w:szCs w:val="18"/>
                <w:b w:val="1"/>
                <w:bCs w:val="1"/>
                <w:color w:val="auto"/>
              </w:rPr>
              <w:t>Buy/Sell</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890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Currency—As of March 31, 2014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r>
      <w:tr>
        <w:trPr>
          <w:trHeight w:val="243"/>
        </w:trPr>
        <w:tc>
          <w:tcPr>
            <w:tcW w:w="8900" w:type="dxa"/>
            <w:vAlign w:val="bottom"/>
            <w:gridSpan w:val="5"/>
          </w:tcPr>
          <w:p>
            <w:pPr>
              <w:ind w:left="40"/>
              <w:spacing w:after="0"/>
              <w:rPr>
                <w:sz w:val="20"/>
                <w:szCs w:val="20"/>
                <w:color w:val="auto"/>
              </w:rPr>
            </w:pPr>
            <w:r>
              <w:rPr>
                <w:rFonts w:ascii="Arial" w:cs="Arial" w:eastAsia="Arial" w:hAnsi="Arial"/>
                <w:sz w:val="18"/>
                <w:szCs w:val="18"/>
                <w:color w:val="auto"/>
              </w:rPr>
              <w:t>CAD</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Buy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23,058</w:t>
            </w:r>
          </w:p>
        </w:tc>
      </w:tr>
      <w:tr>
        <w:trPr>
          <w:trHeight w:val="27"/>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03"/>
        </w:trPr>
        <w:tc>
          <w:tcPr>
            <w:tcW w:w="89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Currency—As of December 31, 2013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6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50"/>
        </w:trPr>
        <w:tc>
          <w:tcPr>
            <w:tcW w:w="89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Buy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21,867</w:t>
            </w:r>
          </w:p>
        </w:tc>
      </w:tr>
      <w:tr>
        <w:trPr>
          <w:trHeight w:val="459"/>
        </w:trPr>
        <w:tc>
          <w:tcPr>
            <w:tcW w:w="7440" w:type="dxa"/>
            <w:vAlign w:val="bottom"/>
            <w:gridSpan w:val="4"/>
          </w:tcPr>
          <w:p>
            <w:pPr>
              <w:ind w:left="5620"/>
              <w:spacing w:after="0"/>
              <w:rPr>
                <w:sz w:val="20"/>
                <w:szCs w:val="20"/>
                <w:color w:val="auto"/>
              </w:rPr>
            </w:pPr>
            <w:r>
              <w:rPr>
                <w:rFonts w:ascii="Arial" w:cs="Arial" w:eastAsia="Arial" w:hAnsi="Arial"/>
                <w:sz w:val="18"/>
                <w:szCs w:val="18"/>
                <w:color w:val="auto"/>
              </w:rPr>
              <w:t>22</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certain acquisitions, asset purchases and strategic investments;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significance of stock-based compensation as an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proportion of our revenue that consists of our product and service revenues, and the mix of billings between products and services;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expanding our reach into new high growth verticals and emerging markets and continuing to sell to large enterprises and service providers;</w:t>
      </w:r>
    </w:p>
    <w:p>
      <w:pPr>
        <w:spacing w:after="0" w:line="248" w:lineRule="exact"/>
        <w:rPr>
          <w:rFonts w:ascii="Arial" w:cs="Arial" w:eastAsia="Arial" w:hAnsi="Arial"/>
          <w:sz w:val="16"/>
          <w:szCs w:val="16"/>
          <w:i w:val="1"/>
          <w:iCs w:val="1"/>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increasing customer expectations about the quality and functionality of our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to strengthen our technology leadership position and in sales and marketing and the impact of those investments;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cash equivalents and investments to meet our cash needs for at least the next 12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provide high performance network security solutions, which enable broad, integrated and high performance protection against advanced security threats while simplifying the IT security infrastructure for enterprises, service providers and governmental entities worldwide. Since inception through March 31, 2014, we had shipped over 1,500,000 appliances via more than 20,000 channel partners to more than 190,000 end-customers worldwide, including a majority of the 2013 Fortune Global 100.</w:t>
      </w:r>
    </w:p>
    <w:p>
      <w:pPr>
        <w:spacing w:after="0" w:line="18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core product line, comprised of FortiGate physical and virtual appliances, ships with a set of broad security and networking capabilities, including firewall, virtual private network (VPN), application control, antivirus, intrusion prevention,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Web filtering, vulnerability management, anti-spam, wireless controller, wide area network (WAN) acceleration and native internet protocol version 6 (IPv6) support functionality. Customers select the functions or combination of functions that best meet their specific security requirements -- whether that be a high-speed data center firewall (DCFW) at the network core, a next-generation firewall (NGFW) at the edge, or a broad unified threat management (UTM) solution at branch sites. We derive a substantial majority of product sales from our FortiGate appliances, which range from the FortiGate-20 to -100 series, designed for small businesses, FortiGate-200 to -800 series for mid-sized enterprises, to the FortiGate-1000 to -5000 series for large enterprises, telecommunications carriers, and service providers. Our network security platform also includes our FortiGuard security subscription services, which end-customers can subscribe to in order to obtain access to dynamic updates to intrusion prevention, application control, anti-malware, Web filtering, and anti-spam functionality.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protection from advanced persistent threats (APTs), messaging, Web application firewalls, databases, protection against distributed denial of service attacks (DDoS) and endpoint security for employee computers and mobile devices. Sales of these complementary products and related services represent less than 10% of our total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total revenue of $168.9 million during the three months ended March 31, 2014. This represents an increase of 24% during the three months ended March 31, 2014, compared to the same period last year. Product revenue was $76.8 million, an increase of 32% during the three months ended March 31, 2014, compared to the same period last year. Services and other revenue was $92.2 million during the three months ended March 31, 2014, an increase of 18%, compared to the same period last year.</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Cash, cash equivalents and investments were $888.3 million as of March 31, 2014, an increase of $45.3 million from December 31, 2013.</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Deferred revenue was $451.3 million as of March 31, 2014, an increase of $18.7 million from December 31, 2013</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$60.9 million during the three months ended March 31, 2014, an increase of 60% compared to the same period last year.</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$20.0 million pursuant to a six year mutual covenant-not-to-sue and release agreement with Palo Alto Networks, Inc. during the three months ended March 31, 2014.</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repurchased 0.3 million shares of common stock under our previously-announced Share Repurchase Program for an aggregate purchase price of $7.5 million during the three months ended March 31, 2014.</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During the three months ended March 31, 2014, revenue grew as a result of our focused execution and increased investment in sales and marketing, as well as continued commitment to product development, which strengthened our technology advantage. We also continued to gain traction with several recently introduced FortiGate products, including demand for certain of our high speed, low latency next-generation enterprise data center security product.</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continue to invest in research and development to strengthen our technology leadership position, sales and marketing to expand brand awareness, and our global sales team and distribution channels to expand our global reach and sales capacity and meet increasing customer expectations about the quality and functionality of our products. We continue to focus on selling to large customers, such as enterprise and service providers. As a result, we experienced increased deal volumes driven by traction in enterprise data center deployments and large enterprise deals, with particular strength in the financial and telecommunication sectors.</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Sales of FortiGate products have generally been balanced across entry-level (FortiGate-20 to -100 series), mid-range (FortiGate-200 to -800 series) and high-end (FortiGate-1000 to -5000 series) models with each product category representing approximately one-third of FortiGate sales, with some degree of variability from year to year and between quarters.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three months ended March 31, 2014, operating expenses increased by 30% compared to the same period last year. The increase was primarily driven by our accelerated pace of hiring to support our growth as we continued to invest in expanding our sales coverage, developing new products and scaling our customer support organization to meet the needs of our growing customer base. Headcount increased to 2,389 as of March 31, 2014 from 2,077 as of March 31,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Metrics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168,949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451,303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376,414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deferred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18,675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Billings (non-GAAP)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187,624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148,499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888,314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782,538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60,902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38,111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49,584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36,577</w:t>
            </w:r>
          </w:p>
        </w:tc>
      </w:tr>
      <w:tr>
        <w:trPr>
          <w:trHeight w:val="27"/>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during a period plus the change in deferred revenue from the beginning to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 less any deferred revenue balances acquired from business combinations. We consider billings to be a useful metric for management and investors because billings drive deferred revenue, which is an important indicator of the health and visibility of our business, and has historically, represented a majority of the quarterly revenue that we recognize. There are a number of limitations related to the use of billings versus revenue calculated in accordance with GAAP. First, billings include amounts that have not yet been recognized as revenue. Second, we may calculate billings in a manner that is different from other companies that report similar financial measures. We compensate for these limitations by providing specific information regarding GAAP revenue and evaluating billings together with revenues calculated in accordance with GAAP. A reconciliation of billings to revenue, the most directly comparable financial measure calculated and presented in accordance with GAAP, is provided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right"/>
              <w:ind w:right="93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1240" w:type="dxa"/>
            <w:vAlign w:val="bottom"/>
          </w:tcPr>
          <w:p>
            <w:pPr>
              <w:jc w:val="right"/>
              <w:ind w:right="433"/>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6"/>
                <w:szCs w:val="16"/>
                <w:b w:val="1"/>
                <w:bCs w:val="1"/>
                <w:color w:val="auto"/>
              </w:rPr>
              <w:t>2013</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168,949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135,820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13,229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Less deferred revenue balance acquired in business combination</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187,624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148,499</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Free cash flow is defined as net cash provided by operating activities less capital expenditures. We consider free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 to be a liquidity measure that provides useful information to management and investors about the amount of cash generated by the business that, after the acquisition of property and equipment, can be used for strategic opportunities, including investing in our business, making acquisitions, and strengthening the balance sheet. Analysis of free cash flow facilitates comparisons of our operating results to competitors' operating results. A limitation of using free cash flow versus the GAAP measure of net cash provided by operating activities as a means for evaluating liquidity is that free cash flow does not represent the total increase or decrease in the cash balance from operations for the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because it excludes cash used for capital expenditures. We compensate for this limitation by providing information about our capital expenditures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94"/>
              <w:spacing w:after="0"/>
              <w:rPr>
                <w:sz w:val="20"/>
                <w:szCs w:val="20"/>
                <w:color w:val="auto"/>
              </w:rPr>
            </w:pPr>
            <w:r>
              <w:rPr>
                <w:rFonts w:ascii="Arial" w:cs="Arial" w:eastAsia="Arial" w:hAnsi="Arial"/>
                <w:sz w:val="16"/>
                <w:szCs w:val="16"/>
                <w:b w:val="1"/>
                <w:bCs w:val="1"/>
                <w:color w:val="auto"/>
              </w:rPr>
              <w:t>2013</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60,902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38,111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49,584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36,577</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cash flow and related disclosure of contingent assets and liabilities. Our estimates include those related to revenue recognition, stock-based compensation expense, valuation of inventory, warranty liabilities, goodwill and other long-lived assets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There have been no material changes to our critical accounting policies for the three months ended March 31, 2014. During the quarter we prospectively modified the expected term calculation used in accounting for stock-based compensation expense and the estimated useful lives of building improvements and furniture and fixtures.</w:t>
      </w:r>
    </w:p>
    <w:p>
      <w:pPr>
        <w:spacing w:after="0" w:line="17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—Beginning in the first quarter of fiscal 2014, we changed the methodology of calculating the expected term,</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one of the assumptions used in determining the fair value of our employee stock options under the Black Scholes option pricing model. The expected term represents the period that our stock-based awards are estimated to be outstanding. We believe that we have sufficient historical experience for determining the expected term of the stock option award, and therefore, we calculated our expected term based on historical experience instead of using the simplified method.</w:t>
      </w:r>
    </w:p>
    <w:p>
      <w:pPr>
        <w:spacing w:after="0" w:line="18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Evaluation units</w:t>
            </w:r>
          </w:p>
        </w:tc>
        <w:tc>
          <w:tcPr>
            <w:tcW w:w="33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software and tooling</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3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Effective March 2014, we moved into our new corporate headquarters. The useful life of building improvements placed into service during the three months ended March 31, 2014, in association with our new corporate headquarters is estimated to be 20 years. The useful life of furniture and fixtures now ranges from 3 to 5 years as we placed new furniture and fixtures into service at the new corporate headquarters.</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Reclassification</w:t>
      </w:r>
      <w:r>
        <w:rPr>
          <w:rFonts w:ascii="Arial" w:cs="Arial" w:eastAsia="Arial" w:hAnsi="Arial"/>
          <w:sz w:val="18"/>
          <w:szCs w:val="18"/>
          <w:color w:val="auto"/>
        </w:rPr>
        <w:t>—Beginning in the first quarter of 2014, the amounts previously reported as Ratable and other revenue have been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previously reported as Services revenue in the Condensed Consolidated Statements of Operations. The combined amounts are being presented as Services and other revenue in the Condensed Consolidated Statements of Operations. The related Cost of revenue and Gross profit, including prior period amounts, have also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1"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been combined to conform to the current period presentation. The Ratable and other revenue amounts, including the related Cost of revenue and Gross profit amounts, are not material.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2014</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left="753"/>
              <w:spacing w:after="0"/>
              <w:rPr>
                <w:sz w:val="20"/>
                <w:szCs w:val="20"/>
                <w:color w:val="auto"/>
              </w:rPr>
            </w:pPr>
            <w:r>
              <w:rPr>
                <w:rFonts w:ascii="Arial" w:cs="Arial" w:eastAsia="Arial" w:hAnsi="Arial"/>
                <w:sz w:val="16"/>
                <w:szCs w:val="16"/>
                <w:b w:val="1"/>
                <w:bCs w:val="1"/>
                <w:color w:val="auto"/>
                <w:w w:val="89"/>
              </w:rPr>
              <w:t>2013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2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(in thousands except percentage)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76,765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57,950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18,815</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32%</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18</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168,949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135,820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33,129</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24%</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72,432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19,805</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39,874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35,867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4,007</w:t>
            </w:r>
          </w:p>
        </w:tc>
        <w:tc>
          <w:tcPr>
            <w:tcW w:w="1420" w:type="dxa"/>
            <w:vAlign w:val="bottom"/>
          </w:tcPr>
          <w:p>
            <w:pPr>
              <w:ind w:left="1060"/>
              <w:spacing w:after="0"/>
              <w:rPr>
                <w:sz w:val="20"/>
                <w:szCs w:val="20"/>
                <w:color w:val="auto"/>
              </w:rPr>
            </w:pPr>
            <w:r>
              <w:rPr>
                <w:rFonts w:ascii="Arial" w:cs="Arial" w:eastAsia="Arial" w:hAnsi="Arial"/>
                <w:sz w:val="18"/>
                <w:szCs w:val="18"/>
                <w:color w:val="auto"/>
              </w:rPr>
              <w:t>11</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168,949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33,129</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24%</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Total revenue increased by $33.1 million, or 24%, in the three months ended March 31, 2014 compared to the same period last year. All three regions experienced revenue growth compared to the same period last year, with Americas contributing the largest portion of our revenue growth. Product revenue increased by $18.8 million, or 32% in the three months ended March 31, 2014, compared to the same period last year. The increase in product revenue was primarily driven by greater sales volume in our FortiGate product family due to increased demand across all product categories for our entry-level products for smaller enterprises, our mid-range products for mid to large enterprises and branch deployments, and our high-end products for large enterprise and service provider customers. We also experienced strong demand for some of our more recently introduced high-end appliances.</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Services and other revenue increased by $14.3 million, or 18%, in the three months ended March 31, 2014 compared to the same period last year due to the recognition of revenue from our growing deferred revenue balance consisting of subscription and support contracts sold to a larger customer base. In addition, we grew our FortiGuard subscription offerings and FortiCare support, as well as increase in our professional services revenues from existing large enterprise customers.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8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7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7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(in thousands except percentage)</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32,139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22,958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9,181</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40%</w:t>
            </w: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18,604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16,170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2,434</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15</w:t>
            </w:r>
          </w:p>
        </w:tc>
      </w:tr>
      <w:tr>
        <w:trPr>
          <w:trHeight w:val="297"/>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50,743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39,128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11,615</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30%</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Total gross margin decreased by 1.2 percentage points in the three months ended March 31, 2014 compared to the same period last year, as product gross margin declined. Product gross margin decreased by 2.3 percentage points in the three months ended March 31, 2014 compared to the same period last year as we experienced the impact from higher costs related to personnel and occupancy-related costs of $0.6 million, warranty-related costs which increased by $0.4 million, and higher excess inventory write-offs of $1.0 million. Services and other gross margin increased by 0.6 percentage points during the three months ended March 31, 2014 as our continued investments in our technical support and global threat research organizations were relatively in line with our rate of growth of services and other revenue. Cost of services and other revenue increased by $2.4 million primarily due to a $1.8 million increase in cash-based personnel costs related to headcount increases and a $0.5 million increase in travel, depreciation and other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4"/>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2014</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89"/>
              </w:rPr>
              <w:t>2013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2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(in thousands except percentage)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29,055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5,721</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25%</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35</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9,010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1,019</w:t>
            </w:r>
          </w:p>
        </w:tc>
        <w:tc>
          <w:tcPr>
            <w:tcW w:w="1420" w:type="dxa"/>
            <w:vAlign w:val="bottom"/>
          </w:tcPr>
          <w:p>
            <w:pPr>
              <w:ind w:left="1060"/>
              <w:spacing w:after="0"/>
              <w:rPr>
                <w:sz w:val="20"/>
                <w:szCs w:val="20"/>
                <w:color w:val="auto"/>
              </w:rPr>
            </w:pPr>
            <w:r>
              <w:rPr>
                <w:rFonts w:ascii="Arial" w:cs="Arial" w:eastAsia="Arial" w:hAnsi="Arial"/>
                <w:sz w:val="18"/>
                <w:szCs w:val="18"/>
                <w:color w:val="auto"/>
              </w:rPr>
              <w:t>13</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105,391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81,301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24,090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30%</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Research and development expense increased by $5.7 million, or 25%, in the three months ended March 31, 2014 compared to the same period last year primarily due to an increase of $3.1 million in cash-based personnel costs as a result of increased headcount to support the development of new products and continued enhancements of our existing products. In addition, we incurred higher stock-based compensation expense of $1.1 million, higher product development expenses, such as third-party testing and prototypes, of $1.9 million and higher occupancy-related costs of $0.5 million. This increase in expense was partially offset by a $1.1 million reduction in estimated earn-out liabilities. We intend to continue to invest in our research and development organization but expect research and development expense as a percentage of total revenue to remain at comparable levels during the remainder of fiscal 2014.</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Sales and marketing expense increased by $17.4 million, or 35%, in the three months ended March 31, 2014 compared to the same period last year, primarily due to an increase of $11.8 million in cash-based personnel costs as we continued to increase our sales headcount in order to drive continued market share gains. In addition, we incurred increases in stock-based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compensation expense of $1.6 million, and increases in travel, tradeshows and other marketing-related expenses of $2.7 million. As a percentage of revenue, sales and marketing expenses increased as we are accelerating the investment in our sales force and marketing campaigns to support future growth. We intend to continue to make investments in sales and marketing, which are critical to support sustainable growth and expect sales and marketing expense as a percentage of total revenue to remain at comparable levels or increase during the remainder of fiscal 2014.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General and administrative expense increased by $1.0 million, or 13%, in the three months ended March 31, 2014 compared to the same period last year. Cash-based personnel costs increased by $1.1 million and stock-based compensation expense increased by $0.6 million as we continued to increase our headcount in order to support our expanding business. The increase in expense was partially offset by decrease of $0.4 million in facilities and other related costs. We expect general and administrative expense as a percentage of total revenue to remain at comparable levels during the remainder of fiscal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280" w:type="dxa"/>
            <w:vAlign w:val="bottom"/>
          </w:tcPr>
          <w:p>
            <w:pPr>
              <w:jc w:val="center"/>
              <w:ind w:left="417"/>
              <w:spacing w:after="0"/>
              <w:rPr>
                <w:sz w:val="20"/>
                <w:szCs w:val="20"/>
                <w:color w:val="auto"/>
              </w:rPr>
            </w:pPr>
            <w:r>
              <w:rPr>
                <w:rFonts w:ascii="Arial" w:cs="Arial" w:eastAsia="Arial" w:hAnsi="Arial"/>
                <w:sz w:val="16"/>
                <w:szCs w:val="16"/>
                <w:b w:val="1"/>
                <w:bCs w:val="1"/>
                <w:color w:val="auto"/>
                <w:w w:val="94"/>
              </w:rPr>
              <w:t>March 31,</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47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280" w:type="dxa"/>
            <w:vAlign w:val="bottom"/>
          </w:tcPr>
          <w:p>
            <w:pPr>
              <w:jc w:val="right"/>
              <w:ind w:right="117"/>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65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6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2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(in thousands except percentage)</w:t>
            </w: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80" w:type="dxa"/>
            <w:vAlign w:val="bottom"/>
            <w:tcBorders>
              <w:bottom w:val="single" w:sz="8" w:color="CCEEFF"/>
            </w:tcBorders>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1,333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(36)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 income—net</w:t>
            </w:r>
          </w:p>
        </w:tc>
        <w:tc>
          <w:tcPr>
            <w:tcW w:w="1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4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215</w:t>
            </w:r>
          </w:p>
        </w:tc>
        <w:tc>
          <w:tcPr>
            <w:tcW w:w="500" w:type="dxa"/>
            <w:vAlign w:val="bottom"/>
          </w:tcPr>
          <w:p>
            <w:pPr>
              <w:spacing w:after="0"/>
              <w:rPr>
                <w:sz w:val="21"/>
                <w:szCs w:val="21"/>
                <w:color w:val="auto"/>
              </w:rPr>
            </w:pPr>
          </w:p>
        </w:tc>
        <w:tc>
          <w:tcPr>
            <w:tcW w:w="1760" w:type="dxa"/>
            <w:vAlign w:val="bottom"/>
          </w:tcPr>
          <w:p>
            <w:pPr>
              <w:jc w:val="right"/>
              <w:ind w:right="293"/>
              <w:spacing w:after="0"/>
              <w:rPr>
                <w:sz w:val="20"/>
                <w:szCs w:val="20"/>
                <w:color w:val="auto"/>
              </w:rPr>
            </w:pPr>
            <w:r>
              <w:rPr>
                <w:rFonts w:ascii="Arial" w:cs="Arial" w:eastAsia="Arial" w:hAnsi="Arial"/>
                <w:sz w:val="18"/>
                <w:szCs w:val="18"/>
                <w:color w:val="auto"/>
              </w:rPr>
              <w:t>(604)</w:t>
            </w:r>
          </w:p>
        </w:tc>
        <w:tc>
          <w:tcPr>
            <w:tcW w:w="1720" w:type="dxa"/>
            <w:vAlign w:val="bottom"/>
          </w:tcPr>
          <w:p>
            <w:pPr>
              <w:jc w:val="right"/>
              <w:ind w:right="93"/>
              <w:spacing w:after="0"/>
              <w:rPr>
                <w:sz w:val="20"/>
                <w:szCs w:val="20"/>
                <w:color w:val="auto"/>
              </w:rPr>
            </w:pPr>
            <w:r>
              <w:rPr>
                <w:rFonts w:ascii="Arial" w:cs="Arial" w:eastAsia="Arial" w:hAnsi="Arial"/>
                <w:sz w:val="18"/>
                <w:szCs w:val="18"/>
                <w:color w:val="auto"/>
              </w:rPr>
              <w:t>(281)</w:t>
            </w:r>
          </w:p>
        </w:tc>
      </w:tr>
    </w:tbl>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Interest income was relatively flat in the three months ended March 31, 2014 compared to the same period last year due to lower interest earned, despite higher invested balances of cash, cash equivalents and investments. The change in other (expense) income—net, for the three months ended March 31, 2014 when compared to the same period last year, was the result of higher foreign exchange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6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280" w:type="dxa"/>
            <w:vAlign w:val="bottom"/>
          </w:tcPr>
          <w:p>
            <w:pPr>
              <w:jc w:val="center"/>
              <w:ind w:left="477"/>
              <w:spacing w:after="0"/>
              <w:rPr>
                <w:sz w:val="20"/>
                <w:szCs w:val="20"/>
                <w:color w:val="auto"/>
              </w:rPr>
            </w:pPr>
            <w:r>
              <w:rPr>
                <w:rFonts w:ascii="Arial" w:cs="Arial" w:eastAsia="Arial" w:hAnsi="Arial"/>
                <w:sz w:val="16"/>
                <w:szCs w:val="16"/>
                <w:b w:val="1"/>
                <w:bCs w:val="1"/>
                <w:color w:val="auto"/>
                <w:w w:val="97"/>
              </w:rPr>
              <w:t>March 31,</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ind w:right="51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280" w:type="dxa"/>
            <w:vAlign w:val="bottom"/>
          </w:tcPr>
          <w:p>
            <w:pPr>
              <w:jc w:val="right"/>
              <w:ind w:right="97"/>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ind w:right="695"/>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gridSpan w:val="3"/>
          </w:tcPr>
          <w:p>
            <w:pPr>
              <w:jc w:val="right"/>
              <w:ind w:right="1013"/>
              <w:spacing w:after="0"/>
              <w:rPr>
                <w:sz w:val="20"/>
                <w:szCs w:val="20"/>
                <w:color w:val="auto"/>
              </w:rPr>
            </w:pPr>
            <w:r>
              <w:rPr>
                <w:rFonts w:ascii="Arial" w:cs="Arial" w:eastAsia="Arial" w:hAnsi="Arial"/>
                <w:sz w:val="16"/>
                <w:szCs w:val="16"/>
                <w:b w:val="1"/>
                <w:bCs w:val="1"/>
                <w:color w:val="auto"/>
              </w:rPr>
              <w:t>(in thousands except percentage)</w:t>
            </w: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CCEEFF"/>
            </w:tcBorders>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4"/>
              </w:rPr>
              <w:t>5,366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4,726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640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Arial" w:cs="Arial" w:eastAsia="Arial" w:hAnsi="Arial"/>
                <w:sz w:val="18"/>
                <w:szCs w:val="18"/>
                <w:color w:val="auto"/>
              </w:rPr>
              <w:t>11%</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effective tax rate was 39% for the three months ended March 31, 2014, compared to 28% for the same period last year. The provision for income taxes for the three months ended March 31, 2014 was comprised primarily of U.S. federal and state taxes, foreign income taxes, and withholding tax, as well as the inclusion of stock option benefits and cost allocations, which affected the transfer pricing calculations among the U.S. and some of our foreign subsidiaries. The increase in the effective tax rate for the three months ended March 31, 2014 as compared to the same period last year was primarily due to limitations on utilizing foreign tax credits to offset tax liability, as well as the expiration of the U.S. federal research and development credit effective December 31, 2013.The U.S. Congress has not extended the research and development tax credit.</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March 31, 2014, we had accrued approximately $1.2 million for estimated interest related to uncertain tax positions.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State of California had been conducting an audit of our state income tax returns for fiscal 2010 and fiscal 2011. The audit was settled during the three months ended March 31, 2014 with no significant impact to our tax position or reserves.</w:t>
      </w:r>
    </w:p>
    <w:p>
      <w:pPr>
        <w:spacing w:after="0" w:line="170"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Within the next twelve months, we do not believe there will be a decrease in uncertain tax benefits that could impact our future effective tax rate.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180" w:type="dxa"/>
            <w:vAlign w:val="bottom"/>
          </w:tcPr>
          <w:p>
            <w:pPr>
              <w:spacing w:after="0"/>
              <w:rPr>
                <w:sz w:val="17"/>
                <w:szCs w:val="17"/>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3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715,346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727,172</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888,314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843,045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386,594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322,485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710"/>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180" w:type="dxa"/>
            <w:vAlign w:val="bottom"/>
          </w:tcPr>
          <w:p>
            <w:pPr>
              <w:spacing w:after="0"/>
              <w:rPr>
                <w:sz w:val="18"/>
                <w:szCs w:val="18"/>
                <w:color w:val="auto"/>
              </w:rPr>
            </w:pPr>
          </w:p>
        </w:tc>
        <w:tc>
          <w:tcPr>
            <w:tcW w:w="1300" w:type="dxa"/>
            <w:vAlign w:val="bottom"/>
          </w:tcPr>
          <w:p>
            <w:pPr>
              <w:jc w:val="center"/>
              <w:ind w:right="13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4"/>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3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(79,178)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57,095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Liquidity and capital resources may be impacted by our operating activities, as well as acquisitions, capital expenditures and investments in strategic relationships that we have made or may make in the future. During the three months ended March 31, 2014, we received a cash payment of $20.0 million pursuant to a six year mutual covenant-not-to-sue and release agreement with Palo Alto Networks, Inc. We expect to spend up to $15.0 million related to the improvement of our new corporate headquarters and the implementation of our enterprise resource planning system during the remainder of fiscal 2014. Additionally, our liquidity may be impacted, if we were to repurchase additional shares of our common stock under our Share Repurchase Program. As of March 31, 2014, $153.5 million remains available for future share repurchases under this program, which will be financed through our available working capital.</w:t>
      </w:r>
    </w:p>
    <w:p>
      <w:pPr>
        <w:spacing w:after="0" w:line="18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As of March 31, 2014, our cash, cash equivalents, and investments of $888.3 million were held for working-capital purposes and were invested primarily in corporate debt securities, commercial paper, municipal bonds, certificates of deposit and term deposits, money market funds, and U.S. government and agency securities. It is our investment policy to invest excess cash in a manner that preserves capital, provides liquidity and maximizes return.</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of March 31, 2014, $136.7 million of our cash and investments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Cash generated by operating activities is our primary source of liquidity. It is primarily comprised of net income, adjusted for non-cash items, and changes in operating assets and liabilities. Non-cash adjustments consist primarily of stock-based compensation, depreciation of property and equipment, amortization of intangible assets, excess tax benefit from stock-based compensation, and amortization of investment premiums.</w:t>
      </w:r>
    </w:p>
    <w:p>
      <w:pPr>
        <w:spacing w:after="0" w:line="16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operating activities during the three months ended March 31, 2014, provided $60.9 million in cash as a result of our growth in billings, profitability, and the ability to successfully manage our working capital. The primary sources of cash from operating activities during the three months ended March 31, 2014 consisted of net income of $8.4 million increased by non-cash adjustments of $19.2 million and changes in operating assets and liabilities of $33.3 million. During the three months ended March 31, 2014, we received $20.0 million pursuant to a six year mutual covenant-not-to-sue and release agreement with Palo Alto Networks, Inc. Changes in operating assets and liabilities primarily included an increase in payments received from customers and a receipt of cash related to the mutual covenant-not-to-sue and release agreement, partially offset by payment of income taxes during the period.</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operating activities during the three months ended March 31, 2013, provided $38.1 million in cash. The primary sources of cash from operating activities during the three months ended March 31, 2013 consisted of net income of $12.2 million increased by non-cash adjustments of $13.9 million and changes in operating assets and liabilities of $12.0 million. Changes in operating assets and liabilities primarily included an increase in payments received from customers, partially offset by payment for inventory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acquisitions.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three months ended March 31, 2014, cash used was primarily due to $11.3 million for our capital expenditures, partially offset by positive cash flow due to maturities, net of purchases, from our investments of $9.0 million.</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During the three months ended March 31, 2013, cash used was primarily due to $71.7 million net purchases of investments, $6.0 million for acquisitions, and $1.5 million for the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changes in cash flows from financing activities primarily relate to proceeds from issuance of common stock, taxes paid related to net share settlement of equity awards, excess tax benefit from stock-based compensation, and repurchase and retirement of common stock.</w:t>
      </w:r>
    </w:p>
    <w:p>
      <w:pPr>
        <w:spacing w:after="0" w:line="14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During the three months ended March 31, 2014, we used $12.3 million and $3.6 million of our cash to repurchase and retire our common stock and pay taxes related to withholding upon issuance of restricted stock units, respectively. This cash outflow was partially offset by proceeds of $14.5 million from the issuance of common stock under our stock plans, as well as excess tax benefit from employee stock-based compensation of $0.6 million.</w:t>
      </w:r>
    </w:p>
    <w:p>
      <w:pPr>
        <w:spacing w:after="0" w:line="147"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During the three months ended March 31, 2013, we had positive cash flow of $15.9 million as a result of proceeds of $14.4 million, from the issuance of common stock under our stock plans and an excess tax benefit from employee stock option exercises of $1.5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There have been no material changes outside the ordinary course of business during the three months ended March 31, 2014, to the contractual obligations and commitments disclosed in Management’s Discussion and Analysis of Financial Condition and Results of Operations, set forth in Part II, Item 7, of the Form 10-K.</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March 31, 2014,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three months ended March 31, 2014, compared to the disclosures in Part II, Item 7A of the Form 10-K.</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defined in Rule 13a-15(e) or 15d-15(e) under the Exchange Act) as of March 31, 2014.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Based on that evaluation, our CEO and CFO concluded that our disclosure controls and procedures were effective as of March 31, 2014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CEO and CFO, as appropriate, to allow timely decisions regarding required disclosure.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March 31, 2014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have any litigation matters that we expect will have a material adverse effect on our business.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subject to additional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3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6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121" w:right="3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little to no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Billings and revenue growth may slow, or we may experience a decrease in billings and revenue, for a number of reasons, including a slowdown in demand for our products or services, an increase in competition, a decrease in the growth of our overall market, softness in demand in certain geographies or industry verticals, such as the U.S. federal government, or if we fail for any reason to continue to capitalize on growth opportunities. For example, we experienced lower than expected</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1" w:right="3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billings during the first quarter of 2013 due to a number of factors, including decreased sales in the service provider market and slower sales in Latin America, and Europe, Middle East and Africa (“EMEA”). Our expenses as a percentage of total revenue may be higher than expected if our revenue is lower than expectations,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subscription and support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in the event significant customers require payment terms for subscription or support services in arrears or for shorter periods of time than annually, such as monthly or quarterly, this may negatively impact subscription and support revenue. Furthermore, we recognize subscription and support services revenue monthly over the term of the relevant service period, which is typically from one to three years, but in some instances has been as long as five years. As a result, much of the subscription and support services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statements of operations until future periods. Our subscription and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2" w:right="3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Product and service sales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While we have experienced some success selling to service providers and enterprises, we have experienced less traction selling to governmental entities, such as the U.S. federal government, and there can be no assurance that we will be successful selling to these customer segments. Sales to enterprises, service providers and governmental entities involve risks that may not be present (or that are present to a lesser extent) with sales to small-to-mid-sized entities. These risks include:</w:t>
      </w:r>
    </w:p>
    <w:p>
      <w:pPr>
        <w:spacing w:after="0" w:line="188" w:lineRule="exact"/>
        <w:rPr>
          <w:sz w:val="20"/>
          <w:szCs w:val="20"/>
          <w:color w:val="auto"/>
        </w:rPr>
      </w:pPr>
    </w:p>
    <w:p>
      <w:pPr>
        <w:ind w:left="1300" w:right="60" w:hanging="644"/>
        <w:spacing w:after="0" w:line="297"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competition from competitors, such as Cisco Systems, Inc. (“Cisco”), Sourcefire, Inc. (“Sourcefire”) (acquired by Cisco), Check Point Software Technologies Ltd. (“Check Point”), McAfee, Inc. (“McAfee”) (acquired by Intel Corporation (“Intel”)), Blue Coat Systems, Inc. ("Blue Coat"), FireEye, Inc., Palo Alto Networks, Inc. (“Palo Alto Networks”), SonicWALL, Inc. (“SonicWALL”) (acquired by Dell Inc. (“Dell”)), Juniper Networks, Inc. (“Juniper”), and Stonesoft Corporation (“Stonesoft”) (acquired by McAfee) that traditionally target enterprises, service providers and governmental entities and that may already have purchase commitments from those end-customers;</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customer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providers and governmental entities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first quarter of 2013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the San Francisco Bay Area, Vancouver, Canada and Beijing, China.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37%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83" w:lineRule="exact"/>
        <w:rPr>
          <w:sz w:val="20"/>
          <w:szCs w:val="20"/>
          <w:color w:val="auto"/>
        </w:rPr>
      </w:pPr>
    </w:p>
    <w:p>
      <w:pPr>
        <w:ind w:right="300" w:firstLine="45"/>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8" w:lineRule="exact"/>
        <w:rPr>
          <w:sz w:val="20"/>
          <w:szCs w:val="20"/>
          <w:color w:val="auto"/>
        </w:rPr>
      </w:pPr>
    </w:p>
    <w:p>
      <w:pPr>
        <w:ind w:left="1300" w:right="3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We are in the early planning stages for a new enterprise resource planning system and such change has already and will continue to result in additional cost and likely will cause some disruption during the system implementation process. Our failure to improve our systems and processes, or their failure to operate in the intended manner, may result in our inability to manage the growth of our business and to accurately forecast our revenue, expenses and earnings, or to prevent certain losses. In addition, our systems and processes may not prevent or detect all errors, omissions or fraud.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goodwill and other long-lived assets, investments, accounting for income taxes, litigation and settlement costs and other loss contingencies, sales returns and allowances, reserve for bad debt, and the accounting for business combinations.</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reliance on our third-party manufacturers in Asia and elsewhere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Our first conflict minerals report is due by June 2, 2014. As a result of these new rules, we have incurred and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 to the extent that there may be only a limited number of suppliers offering “conflict free” minerals that can be used in our products. There can be no assurance that we will be able to obtain such minerals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8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and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governmental entity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governmental entities.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Financial Accounting Standards Board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For example, the California Franchise Tax Board completed an examination of our tax returns for 2010 and 2011 during the three months ended March 31, 2014. We regularly assess the likelihood of adverse outcomes resulting from such examinations to determine the adequacy of our provision for income taxes. Although the California examination resulted in no significant impact to our tax position or reserves, there can be no assurance that the outcomes from these continuous examinations will not have an adverse effect on our results of operations in the future.</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we may be subject to examination of our income tax returns by the IRS and other tax authorities. If tax authorities challenge the relative mix of U.S. and international income, our future effective income tax rates could be adversely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write-offs that could be substantial.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our revenue may not continue to grow.</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for the large enterprise, service provider and governmental entities markets. We have historically had relatively low spending on certain marketing activities. While we have recently been increasing our investments in sales and marketing, both in terms of additional personnel and marketing programs, it is not clear that these investments will result in significantly increased revenues. If our investments in additional sales personnel or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and Juniper, security vendors such as Check Point, McAfee (acquired by Intel), Sourcefire (acquired by Cisco), Stonesoft (acquired by McAfee), SonicWALL (acquired by Dell), Blue Coat, FireEye, and Palo Alto Networks,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Several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2013, our internal controls over financial reporting were effective, we cannot predict the outcome of our testing in 2014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the increased use of fair value measure, financial instruments, and the potential requirement that U.S. registrants prepare financial statements in accordance with International Financial Reporting Standards,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three months ended March 31, 2014, the closing price of our common stock ranged from $19.02 to $23.86.</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in April 2014, we amended our bylaws to provide that certain litigation matters may only be brought against us in state or federal courts in the State of Delaware.</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2" w:right="29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in three months ended March 31, 2014 (in thousands, except number of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4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4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4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Purchased</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4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as Part of Publicly</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Under the Plan or</w:t>
            </w:r>
          </w:p>
        </w:tc>
      </w:tr>
      <w:tr>
        <w:trPr>
          <w:trHeight w:val="203"/>
        </w:trPr>
        <w:tc>
          <w:tcPr>
            <w:tcW w:w="4000" w:type="dxa"/>
            <w:vAlign w:val="bottom"/>
          </w:tcPr>
          <w:p>
            <w:pPr>
              <w:spacing w:after="0"/>
              <w:rPr>
                <w:sz w:val="17"/>
                <w:szCs w:val="17"/>
                <w:color w:val="auto"/>
              </w:rPr>
            </w:pPr>
          </w:p>
        </w:tc>
        <w:tc>
          <w:tcPr>
            <w:tcW w:w="3120" w:type="dxa"/>
            <w:vAlign w:val="bottom"/>
            <w:gridSpan w:val="2"/>
          </w:tcPr>
          <w:p>
            <w:pPr>
              <w:jc w:val="center"/>
              <w:ind w:left="1394"/>
              <w:spacing w:after="0"/>
              <w:rPr>
                <w:sz w:val="20"/>
                <w:szCs w:val="20"/>
                <w:color w:val="auto"/>
              </w:rPr>
            </w:pPr>
            <w:r>
              <w:rPr>
                <w:rFonts w:ascii="Arial" w:cs="Arial" w:eastAsia="Arial" w:hAnsi="Arial"/>
                <w:sz w:val="16"/>
                <w:szCs w:val="16"/>
                <w:b w:val="1"/>
                <w:bCs w:val="1"/>
                <w:color w:val="auto"/>
                <w:w w:val="94"/>
              </w:rPr>
              <w:t>Total Number of</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Average Price Paid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Announced Plan</w:t>
            </w:r>
          </w:p>
        </w:tc>
        <w:tc>
          <w:tcPr>
            <w:tcW w:w="14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Program</w:t>
            </w: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3120" w:type="dxa"/>
            <w:vAlign w:val="bottom"/>
            <w:gridSpan w:val="2"/>
          </w:tcPr>
          <w:p>
            <w:pPr>
              <w:jc w:val="center"/>
              <w:ind w:left="1394"/>
              <w:spacing w:after="0"/>
              <w:rPr>
                <w:sz w:val="20"/>
                <w:szCs w:val="20"/>
                <w:color w:val="auto"/>
              </w:rPr>
            </w:pPr>
            <w:r>
              <w:rPr>
                <w:rFonts w:ascii="Arial" w:cs="Arial" w:eastAsia="Arial" w:hAnsi="Arial"/>
                <w:sz w:val="16"/>
                <w:szCs w:val="16"/>
                <w:b w:val="1"/>
                <w:bCs w:val="1"/>
                <w:color w:val="auto"/>
                <w:w w:val="88"/>
              </w:rPr>
              <w:t>Shares Purchased</w:t>
            </w:r>
          </w:p>
        </w:tc>
        <w:tc>
          <w:tcPr>
            <w:tcW w:w="2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 Share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 Program</w:t>
            </w:r>
            <w:r>
              <w:rPr>
                <w:rFonts w:ascii="Arial" w:cs="Arial" w:eastAsia="Arial" w:hAnsi="Arial"/>
                <w:sz w:val="21"/>
                <w:szCs w:val="21"/>
                <w:b w:val="1"/>
                <w:bCs w:val="1"/>
                <w:color w:val="auto"/>
                <w:w w:val="90"/>
                <w:vertAlign w:val="superscript"/>
              </w:rPr>
              <w:t>(1)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4"/>
        </w:trPr>
        <w:tc>
          <w:tcPr>
            <w:tcW w:w="4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 2014</w:t>
            </w:r>
          </w:p>
        </w:tc>
        <w:tc>
          <w:tcPr>
            <w:tcW w:w="30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160,387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February 1 - February 28, 2014</w:t>
            </w:r>
          </w:p>
        </w:tc>
        <w:tc>
          <w:tcPr>
            <w:tcW w:w="3000" w:type="dxa"/>
            <w:vAlign w:val="bottom"/>
          </w:tcPr>
          <w:p>
            <w:pPr>
              <w:jc w:val="right"/>
              <w:ind w:right="54"/>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158,320</w:t>
            </w:r>
          </w:p>
        </w:tc>
      </w:tr>
      <w:tr>
        <w:trPr>
          <w:trHeight w:val="27"/>
        </w:trPr>
        <w:tc>
          <w:tcPr>
            <w:tcW w:w="4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 2014</w:t>
            </w:r>
          </w:p>
        </w:tc>
        <w:tc>
          <w:tcPr>
            <w:tcW w:w="3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153,509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____________________</w:t>
            </w:r>
          </w:p>
        </w:tc>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40" w:lineRule="exact"/>
        <w:rPr>
          <w:sz w:val="20"/>
          <w:szCs w:val="20"/>
          <w:color w:val="auto"/>
        </w:rPr>
      </w:pPr>
    </w:p>
    <w:p>
      <w:pPr>
        <w:jc w:val="both"/>
        <w:ind w:left="40" w:right="220" w:hanging="5"/>
        <w:spacing w:after="0" w:line="245" w:lineRule="auto"/>
        <w:tabs>
          <w:tab w:leader="none" w:pos="232"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On December 6, 2013, our Board of Directors had authorized a Share Repurchase Program (“the Program”) to repurchase up to $200.0 million of our outstanding common stock through December 31, 2014. This column discloses the number of shares purchased pursuant to the Program during the time periods indicated (including shares purchased pursuant to the terms of preset trading plans meeting the requirements of Rules 10b5-1 and 10b-18 under the Exchange Act).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Andrew Del Matto</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continue"/>
          </w:tcPr>
          <w:p>
            <w:pPr>
              <w:spacing w:after="0"/>
              <w:rPr>
                <w:sz w:val="12"/>
                <w:szCs w:val="12"/>
                <w:color w:val="auto"/>
              </w:rPr>
            </w:pP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Andrew Del Matto</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Number</w:t>
            </w:r>
          </w:p>
        </w:tc>
        <w:tc>
          <w:tcPr>
            <w:tcW w:w="4120" w:type="dxa"/>
            <w:vAlign w:val="bottom"/>
            <w:gridSpan w:val="2"/>
          </w:tcPr>
          <w:p>
            <w:pPr>
              <w:ind w:left="1660"/>
              <w:spacing w:after="0"/>
              <w:rPr>
                <w:sz w:val="20"/>
                <w:szCs w:val="20"/>
                <w:color w:val="auto"/>
              </w:rPr>
            </w:pPr>
            <w:r>
              <w:rPr>
                <w:rFonts w:ascii="Arial" w:cs="Arial" w:eastAsia="Arial" w:hAnsi="Arial"/>
                <w:sz w:val="14"/>
                <w:szCs w:val="14"/>
                <w:b w:val="1"/>
                <w:bCs w:val="1"/>
                <w:color w:val="auto"/>
              </w:rPr>
              <w:t>Description</w:t>
            </w:r>
          </w:p>
        </w:tc>
        <w:tc>
          <w:tcPr>
            <w:tcW w:w="2860" w:type="dxa"/>
            <w:vAlign w:val="bottom"/>
            <w:gridSpan w:val="2"/>
          </w:tcPr>
          <w:p>
            <w:pPr>
              <w:ind w:left="440"/>
              <w:spacing w:after="0"/>
              <w:rPr>
                <w:sz w:val="20"/>
                <w:szCs w:val="20"/>
                <w:color w:val="auto"/>
              </w:rPr>
            </w:pPr>
            <w:r>
              <w:rPr>
                <w:rFonts w:ascii="Arial" w:cs="Arial" w:eastAsia="Arial" w:hAnsi="Arial"/>
                <w:sz w:val="14"/>
                <w:szCs w:val="14"/>
                <w:b w:val="1"/>
                <w:bCs w:val="1"/>
                <w:color w:val="auto"/>
              </w:rPr>
              <w:t>Incorporated by reference herein</w:t>
            </w:r>
          </w:p>
        </w:tc>
        <w:tc>
          <w:tcPr>
            <w:tcW w:w="1580" w:type="dxa"/>
            <w:vAlign w:val="bottom"/>
          </w:tcPr>
          <w:p>
            <w:pPr>
              <w:spacing w:after="0"/>
              <w:rPr>
                <w:sz w:val="16"/>
                <w:szCs w:val="16"/>
                <w:color w:val="auto"/>
              </w:rPr>
            </w:pPr>
          </w:p>
        </w:tc>
      </w:tr>
      <w:tr>
        <w:trPr>
          <w:trHeight w:val="258"/>
        </w:trPr>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Form</w:t>
            </w:r>
          </w:p>
        </w:tc>
        <w:tc>
          <w:tcPr>
            <w:tcW w:w="1380" w:type="dxa"/>
            <w:vAlign w:val="bottom"/>
            <w:tcBorders>
              <w:top w:val="single" w:sz="8" w:color="auto"/>
            </w:tcBorders>
          </w:tcPr>
          <w:p>
            <w:pPr>
              <w:ind w:left="600"/>
              <w:spacing w:after="0"/>
              <w:rPr>
                <w:sz w:val="20"/>
                <w:szCs w:val="20"/>
                <w:color w:val="auto"/>
              </w:rPr>
            </w:pPr>
            <w:r>
              <w:rPr>
                <w:rFonts w:ascii="Arial" w:cs="Arial" w:eastAsia="Arial" w:hAnsi="Arial"/>
                <w:sz w:val="14"/>
                <w:szCs w:val="14"/>
                <w:b w:val="1"/>
                <w:bCs w:val="1"/>
                <w:color w:val="auto"/>
              </w:rPr>
              <w:t>Date</w:t>
            </w:r>
          </w:p>
        </w:tc>
        <w:tc>
          <w:tcPr>
            <w:tcW w:w="158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rPr>
              <w:t>Exhibit Number</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Certification of Chief Executive Officer pursuant to Exchange Act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6"/>
              </w:rPr>
              <w:t>Rules 13a-14(a) and 15d-14(a), as adopted pursuant to Section 302</w:t>
            </w: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of the Sarbanes-Oxley Act of 2002</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Certification of Chief Financial Officer pursuant to Exchange Act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6"/>
              </w:rPr>
              <w:t>Rules 13a-14(a) and 15d-14(a), as adopted pursuant to Section 302</w:t>
            </w: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of the Sarbanes-Oxley Act of 2002</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Certifications of Chief Executive Officer and Chief Financial</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7"/>
              </w:rPr>
              <w:t>Officer pursuant to 18 U.S.C. Section 1350, as adopted pursuant to</w:t>
            </w: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Section 906 of the Sarbanes-Oxley Act of 2002</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XBRL Instance Document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122"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 of the Board of</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March 31, 2014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920" w:type="dxa"/>
            <w:vAlign w:val="bottom"/>
          </w:tcPr>
          <w:p>
            <w:pPr>
              <w:ind w:left="228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Date:  May 6, 2014</w:t>
            </w:r>
          </w:p>
        </w:tc>
        <w:tc>
          <w:tcPr>
            <w:tcW w:w="2920" w:type="dxa"/>
            <w:vAlign w:val="bottom"/>
          </w:tcPr>
          <w:p>
            <w:pPr>
              <w:ind w:left="228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37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 of</w:t>
            </w:r>
          </w:p>
        </w:tc>
      </w:tr>
      <w:tr>
        <w:trPr>
          <w:trHeight w:val="216"/>
        </w:trPr>
        <w:tc>
          <w:tcPr>
            <w:tcW w:w="3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Directors</w:t>
            </w:r>
          </w:p>
        </w:tc>
      </w:tr>
      <w:tr>
        <w:trPr>
          <w:trHeight w:val="230"/>
        </w:trPr>
        <w:tc>
          <w:tcPr>
            <w:tcW w:w="3780" w:type="dxa"/>
            <w:vAlign w:val="bottom"/>
          </w:tcPr>
          <w:p>
            <w:pPr>
              <w:spacing w:after="0"/>
              <w:rPr>
                <w:sz w:val="20"/>
                <w:szCs w:val="20"/>
                <w:color w:val="auto"/>
              </w:rPr>
            </w:pPr>
          </w:p>
        </w:tc>
        <w:tc>
          <w:tcPr>
            <w:tcW w:w="2920" w:type="dxa"/>
            <w:vAlign w:val="bottom"/>
          </w:tcPr>
          <w:p>
            <w:pPr>
              <w:ind w:left="228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quarterly period ended March 31, 2014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920" w:type="dxa"/>
            <w:vAlign w:val="bottom"/>
          </w:tcPr>
          <w:p>
            <w:pPr>
              <w:ind w:left="228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Date:  May 6, 2014</w:t>
            </w:r>
          </w:p>
        </w:tc>
        <w:tc>
          <w:tcPr>
            <w:tcW w:w="2920" w:type="dxa"/>
            <w:vAlign w:val="bottom"/>
          </w:tcPr>
          <w:p>
            <w:pPr>
              <w:ind w:left="228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37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2920" w:type="dxa"/>
            <w:vAlign w:val="bottom"/>
          </w:tcPr>
          <w:p>
            <w:pPr>
              <w:ind w:left="228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T"/>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2019-12-07T05:36:26Z</dcterms:created>
  <dcterms:modified xsi:type="dcterms:W3CDTF">2019-12-07T05:36:26Z</dcterms:modified>
</cp:coreProperties>
</file>