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10-Q</w:t>
      </w:r>
    </w:p>
    <w:p>
      <w:pPr>
        <w:spacing w:after="0" w:line="25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94" w:lineRule="exact"/>
        <w:rPr>
          <w:sz w:val="24"/>
          <w:szCs w:val="24"/>
          <w:color w:val="auto"/>
        </w:rPr>
      </w:pPr>
    </w:p>
    <w:p>
      <w:pPr>
        <w:ind w:left="3980" w:right="1840" w:hanging="3945"/>
        <w:spacing w:after="0" w:line="429" w:lineRule="auto"/>
        <w:tabs>
          <w:tab w:leader="none" w:pos="392" w:val="left"/>
        </w:tabs>
        <w:numPr>
          <w:ilvl w:val="0"/>
          <w:numId w:val="1"/>
        </w:numPr>
        <w:rPr>
          <w:rFonts w:ascii="MS PGothic" w:cs="MS PGothic" w:eastAsia="MS PGothic" w:hAnsi="MS PGothic"/>
          <w:sz w:val="25"/>
          <w:szCs w:val="25"/>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4"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8" w:lineRule="exact"/>
        <w:rPr>
          <w:sz w:val="24"/>
          <w:szCs w:val="24"/>
          <w:color w:val="auto"/>
        </w:rPr>
      </w:pPr>
    </w:p>
    <w:tbl>
      <w:tblPr>
        <w:tblLayout w:type="fixed"/>
        <w:tblInd w:w="82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2560" w:type="dxa"/>
            <w:vAlign w:val="bottom"/>
            <w:gridSpan w:val="2"/>
          </w:tcPr>
          <w:p>
            <w:pPr>
              <w:ind w:left="18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340" w:type="dxa"/>
            <w:vAlign w:val="bottom"/>
          </w:tcPr>
          <w:p>
            <w:pPr>
              <w:spacing w:after="0"/>
              <w:rPr>
                <w:sz w:val="17"/>
                <w:szCs w:val="17"/>
                <w:color w:val="auto"/>
              </w:rPr>
            </w:pPr>
          </w:p>
        </w:tc>
      </w:tr>
      <w:tr>
        <w:trPr>
          <w:trHeight w:val="384"/>
        </w:trPr>
        <w:tc>
          <w:tcPr>
            <w:tcW w:w="2880" w:type="dxa"/>
            <w:vAlign w:val="bottom"/>
          </w:tcPr>
          <w:p>
            <w:pPr>
              <w:spacing w:after="0"/>
              <w:rPr>
                <w:sz w:val="24"/>
                <w:szCs w:val="24"/>
                <w:color w:val="auto"/>
              </w:rPr>
            </w:pPr>
          </w:p>
        </w:tc>
        <w:tc>
          <w:tcPr>
            <w:tcW w:w="3880" w:type="dxa"/>
            <w:vAlign w:val="bottom"/>
            <w:gridSpan w:val="5"/>
          </w:tcPr>
          <w:p>
            <w:pPr>
              <w:jc w:val="center"/>
              <w:ind w:left="67"/>
              <w:spacing w:after="0"/>
              <w:rPr>
                <w:sz w:val="20"/>
                <w:szCs w:val="20"/>
                <w:color w:val="auto"/>
              </w:rPr>
            </w:pPr>
            <w:r>
              <w:rPr>
                <w:rFonts w:ascii="Arial" w:cs="Arial" w:eastAsia="Arial" w:hAnsi="Arial"/>
                <w:sz w:val="18"/>
                <w:szCs w:val="18"/>
                <w:b w:val="1"/>
                <w:bCs w:val="1"/>
                <w:color w:val="auto"/>
                <w:w w:val="89"/>
              </w:rPr>
              <w:t>Commission file number: 001-34511</w:t>
            </w:r>
          </w:p>
        </w:tc>
        <w:tc>
          <w:tcPr>
            <w:tcW w:w="2340" w:type="dxa"/>
            <w:vAlign w:val="bottom"/>
          </w:tcPr>
          <w:p>
            <w:pPr>
              <w:spacing w:after="0"/>
              <w:rPr>
                <w:sz w:val="24"/>
                <w:szCs w:val="24"/>
                <w:color w:val="auto"/>
              </w:rPr>
            </w:pPr>
          </w:p>
        </w:tc>
      </w:tr>
      <w:tr>
        <w:trPr>
          <w:trHeight w:val="207"/>
        </w:trPr>
        <w:tc>
          <w:tcPr>
            <w:tcW w:w="2880" w:type="dxa"/>
            <w:vAlign w:val="bottom"/>
          </w:tcPr>
          <w:p>
            <w:pPr>
              <w:spacing w:after="0"/>
              <w:rPr>
                <w:sz w:val="18"/>
                <w:szCs w:val="18"/>
                <w:color w:val="auto"/>
              </w:rPr>
            </w:pPr>
          </w:p>
        </w:tc>
        <w:tc>
          <w:tcPr>
            <w:tcW w:w="3880" w:type="dxa"/>
            <w:vAlign w:val="bottom"/>
            <w:gridSpan w:val="5"/>
          </w:tcPr>
          <w:p>
            <w:pPr>
              <w:jc w:val="right"/>
              <w:ind w:right="160"/>
              <w:spacing w:after="0"/>
              <w:rPr>
                <w:sz w:val="20"/>
                <w:szCs w:val="20"/>
                <w:color w:val="auto"/>
              </w:rPr>
            </w:pPr>
            <w:r>
              <w:rPr>
                <w:rFonts w:ascii="Arial" w:cs="Arial" w:eastAsia="Arial" w:hAnsi="Arial"/>
                <w:sz w:val="18"/>
                <w:szCs w:val="18"/>
                <w:color w:val="auto"/>
                <w:w w:val="97"/>
              </w:rPr>
              <w:t>______________________________________</w:t>
            </w:r>
          </w:p>
        </w:tc>
        <w:tc>
          <w:tcPr>
            <w:tcW w:w="2340" w:type="dxa"/>
            <w:vAlign w:val="bottom"/>
          </w:tcPr>
          <w:p>
            <w:pPr>
              <w:spacing w:after="0"/>
              <w:rPr>
                <w:sz w:val="18"/>
                <w:szCs w:val="18"/>
                <w:color w:val="auto"/>
              </w:rPr>
            </w:pPr>
          </w:p>
        </w:tc>
      </w:tr>
      <w:tr>
        <w:trPr>
          <w:trHeight w:val="329"/>
        </w:trPr>
        <w:tc>
          <w:tcPr>
            <w:tcW w:w="2880" w:type="dxa"/>
            <w:vAlign w:val="bottom"/>
          </w:tcPr>
          <w:p>
            <w:pPr>
              <w:spacing w:after="0"/>
              <w:rPr>
                <w:sz w:val="24"/>
                <w:szCs w:val="24"/>
                <w:color w:val="auto"/>
              </w:rPr>
            </w:pPr>
          </w:p>
        </w:tc>
        <w:tc>
          <w:tcPr>
            <w:tcW w:w="3100" w:type="dxa"/>
            <w:vAlign w:val="bottom"/>
            <w:gridSpan w:val="3"/>
          </w:tcPr>
          <w:p>
            <w:pPr>
              <w:jc w:val="center"/>
              <w:ind w:left="867"/>
              <w:spacing w:after="0"/>
              <w:rPr>
                <w:sz w:val="20"/>
                <w:szCs w:val="20"/>
                <w:color w:val="auto"/>
              </w:rPr>
            </w:pPr>
            <w:r>
              <w:rPr>
                <w:rFonts w:ascii="Arial" w:cs="Arial" w:eastAsia="Arial" w:hAnsi="Arial"/>
                <w:sz w:val="25"/>
                <w:szCs w:val="25"/>
                <w:b w:val="1"/>
                <w:bCs w:val="1"/>
                <w:color w:val="auto"/>
              </w:rPr>
              <w:t>FORTINET, INC.</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98"/>
        </w:trPr>
        <w:tc>
          <w:tcPr>
            <w:tcW w:w="2880" w:type="dxa"/>
            <w:vAlign w:val="bottom"/>
          </w:tcPr>
          <w:p>
            <w:pPr>
              <w:spacing w:after="0"/>
              <w:rPr>
                <w:sz w:val="17"/>
                <w:szCs w:val="17"/>
                <w:color w:val="auto"/>
              </w:rPr>
            </w:pPr>
          </w:p>
        </w:tc>
        <w:tc>
          <w:tcPr>
            <w:tcW w:w="3880" w:type="dxa"/>
            <w:vAlign w:val="bottom"/>
            <w:gridSpan w:val="5"/>
          </w:tcPr>
          <w:p>
            <w:pPr>
              <w:jc w:val="center"/>
              <w:ind w:left="47"/>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340" w:type="dxa"/>
            <w:vAlign w:val="bottom"/>
          </w:tcPr>
          <w:p>
            <w:pPr>
              <w:spacing w:after="0"/>
              <w:rPr>
                <w:sz w:val="17"/>
                <w:szCs w:val="17"/>
                <w:color w:val="auto"/>
              </w:rPr>
            </w:pPr>
          </w:p>
        </w:tc>
      </w:tr>
      <w:tr>
        <w:trPr>
          <w:trHeight w:val="206"/>
        </w:trPr>
        <w:tc>
          <w:tcPr>
            <w:tcW w:w="2880" w:type="dxa"/>
            <w:vAlign w:val="bottom"/>
          </w:tcPr>
          <w:p>
            <w:pPr>
              <w:spacing w:after="0"/>
              <w:rPr>
                <w:sz w:val="17"/>
                <w:szCs w:val="17"/>
                <w:color w:val="auto"/>
              </w:rPr>
            </w:pPr>
          </w:p>
        </w:tc>
        <w:tc>
          <w:tcPr>
            <w:tcW w:w="3880" w:type="dxa"/>
            <w:vAlign w:val="bottom"/>
            <w:gridSpan w:val="5"/>
          </w:tcPr>
          <w:p>
            <w:pPr>
              <w:jc w:val="right"/>
              <w:ind w:right="320"/>
              <w:spacing w:after="0"/>
              <w:rPr>
                <w:sz w:val="20"/>
                <w:szCs w:val="20"/>
                <w:color w:val="auto"/>
              </w:rPr>
            </w:pPr>
            <w:r>
              <w:rPr>
                <w:rFonts w:ascii="Arial" w:cs="Arial" w:eastAsia="Arial" w:hAnsi="Arial"/>
                <w:sz w:val="16"/>
                <w:szCs w:val="16"/>
                <w:color w:val="auto"/>
              </w:rPr>
              <w:t>______________________________________</w:t>
            </w:r>
          </w:p>
        </w:tc>
        <w:tc>
          <w:tcPr>
            <w:tcW w:w="2340" w:type="dxa"/>
            <w:vAlign w:val="bottom"/>
          </w:tcPr>
          <w:p>
            <w:pPr>
              <w:spacing w:after="0"/>
              <w:rPr>
                <w:sz w:val="17"/>
                <w:szCs w:val="17"/>
                <w:color w:val="auto"/>
              </w:rPr>
            </w:pPr>
          </w:p>
        </w:tc>
      </w:tr>
      <w:tr>
        <w:trPr>
          <w:trHeight w:val="803"/>
        </w:trPr>
        <w:tc>
          <w:tcPr>
            <w:tcW w:w="2880" w:type="dxa"/>
            <w:vAlign w:val="bottom"/>
          </w:tcPr>
          <w:p>
            <w:pPr>
              <w:jc w:val="center"/>
              <w:ind w:right="115"/>
              <w:spacing w:after="0"/>
              <w:rPr>
                <w:sz w:val="20"/>
                <w:szCs w:val="20"/>
                <w:color w:val="auto"/>
              </w:rPr>
            </w:pPr>
            <w:r>
              <w:rPr>
                <w:rFonts w:ascii="Arial" w:cs="Arial" w:eastAsia="Arial" w:hAnsi="Arial"/>
                <w:sz w:val="18"/>
                <w:szCs w:val="18"/>
                <w:b w:val="1"/>
                <w:bCs w:val="1"/>
                <w:color w:val="auto"/>
                <w:w w:val="91"/>
              </w:rPr>
              <w:t>Delaware</w:t>
            </w:r>
          </w:p>
        </w:tc>
        <w:tc>
          <w:tcPr>
            <w:tcW w:w="2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2880" w:type="dxa"/>
            <w:vAlign w:val="bottom"/>
          </w:tcPr>
          <w:p>
            <w:pPr>
              <w:jc w:val="center"/>
              <w:ind w:right="135"/>
              <w:spacing w:after="0"/>
              <w:rPr>
                <w:sz w:val="20"/>
                <w:szCs w:val="20"/>
                <w:color w:val="auto"/>
              </w:rPr>
            </w:pPr>
            <w:r>
              <w:rPr>
                <w:rFonts w:ascii="Arial" w:cs="Arial" w:eastAsia="Arial" w:hAnsi="Arial"/>
                <w:sz w:val="16"/>
                <w:szCs w:val="16"/>
                <w:b w:val="1"/>
                <w:bCs w:val="1"/>
                <w:color w:val="auto"/>
                <w:w w:val="91"/>
              </w:rPr>
              <w:t>(State or other jurisdiction of</w:t>
            </w:r>
          </w:p>
        </w:tc>
        <w:tc>
          <w:tcPr>
            <w:tcW w:w="2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40" w:type="dxa"/>
            <w:vAlign w:val="bottom"/>
          </w:tcPr>
          <w:p>
            <w:pPr>
              <w:jc w:val="center"/>
              <w:ind w:left="975"/>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2880" w:type="dxa"/>
            <w:vAlign w:val="bottom"/>
          </w:tcPr>
          <w:p>
            <w:pPr>
              <w:jc w:val="center"/>
              <w:ind w:right="115"/>
              <w:spacing w:after="0"/>
              <w:rPr>
                <w:sz w:val="20"/>
                <w:szCs w:val="20"/>
                <w:color w:val="auto"/>
              </w:rPr>
            </w:pPr>
            <w:r>
              <w:rPr>
                <w:rFonts w:ascii="Arial" w:cs="Arial" w:eastAsia="Arial" w:hAnsi="Arial"/>
                <w:sz w:val="16"/>
                <w:szCs w:val="16"/>
                <w:b w:val="1"/>
                <w:bCs w:val="1"/>
                <w:color w:val="auto"/>
                <w:w w:val="92"/>
              </w:rPr>
              <w:t>incorporation or organization)</w:t>
            </w:r>
          </w:p>
        </w:tc>
        <w:tc>
          <w:tcPr>
            <w:tcW w:w="2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40" w:type="dxa"/>
            <w:vAlign w:val="bottom"/>
          </w:tcPr>
          <w:p>
            <w:pPr>
              <w:jc w:val="center"/>
              <w:ind w:left="975"/>
              <w:spacing w:after="0"/>
              <w:rPr>
                <w:sz w:val="20"/>
                <w:szCs w:val="20"/>
                <w:color w:val="auto"/>
              </w:rPr>
            </w:pPr>
            <w:r>
              <w:rPr>
                <w:rFonts w:ascii="Arial" w:cs="Arial" w:eastAsia="Arial" w:hAnsi="Arial"/>
                <w:sz w:val="16"/>
                <w:szCs w:val="16"/>
                <w:b w:val="1"/>
                <w:bCs w:val="1"/>
                <w:color w:val="auto"/>
                <w:w w:val="94"/>
              </w:rPr>
              <w:t>Identification No.)</w:t>
            </w:r>
          </w:p>
        </w:tc>
      </w:tr>
      <w:tr>
        <w:trPr>
          <w:trHeight w:val="411"/>
        </w:trPr>
        <w:tc>
          <w:tcPr>
            <w:tcW w:w="2880" w:type="dxa"/>
            <w:vAlign w:val="bottom"/>
          </w:tcPr>
          <w:p>
            <w:pPr>
              <w:jc w:val="center"/>
              <w:ind w:right="135"/>
              <w:spacing w:after="0"/>
              <w:rPr>
                <w:sz w:val="20"/>
                <w:szCs w:val="20"/>
                <w:color w:val="auto"/>
              </w:rPr>
            </w:pPr>
            <w:r>
              <w:rPr>
                <w:rFonts w:ascii="Arial" w:cs="Arial" w:eastAsia="Arial" w:hAnsi="Arial"/>
                <w:sz w:val="18"/>
                <w:szCs w:val="18"/>
                <w:b w:val="1"/>
                <w:bCs w:val="1"/>
                <w:color w:val="auto"/>
                <w:w w:val="93"/>
              </w:rPr>
              <w:t>899 Kifer Road</w:t>
            </w:r>
          </w:p>
        </w:tc>
        <w:tc>
          <w:tcPr>
            <w:tcW w:w="2020" w:type="dxa"/>
            <w:vAlign w:val="bottom"/>
          </w:tcPr>
          <w:p>
            <w:pPr>
              <w:ind w:left="840"/>
              <w:spacing w:after="0"/>
              <w:rPr>
                <w:sz w:val="20"/>
                <w:szCs w:val="20"/>
                <w:color w:val="auto"/>
              </w:rPr>
            </w:pPr>
            <w:r>
              <w:rPr>
                <w:rFonts w:ascii="Arial" w:cs="Arial" w:eastAsia="Arial" w:hAnsi="Arial"/>
                <w:sz w:val="18"/>
                <w:szCs w:val="18"/>
                <w:b w:val="1"/>
                <w:bCs w:val="1"/>
                <w:color w:val="auto"/>
              </w:rPr>
              <w:t>Sunnyvale</w:t>
            </w:r>
          </w:p>
        </w:tc>
        <w:tc>
          <w:tcPr>
            <w:tcW w:w="1860" w:type="dxa"/>
            <w:vAlign w:val="bottom"/>
            <w:gridSpan w:val="4"/>
          </w:tcPr>
          <w:p>
            <w:pPr>
              <w:ind w:left="380"/>
              <w:spacing w:after="0"/>
              <w:rPr>
                <w:sz w:val="20"/>
                <w:szCs w:val="20"/>
                <w:color w:val="auto"/>
              </w:rPr>
            </w:pPr>
            <w:r>
              <w:rPr>
                <w:rFonts w:ascii="Arial" w:cs="Arial" w:eastAsia="Arial" w:hAnsi="Arial"/>
                <w:sz w:val="18"/>
                <w:szCs w:val="18"/>
                <w:b w:val="1"/>
                <w:bCs w:val="1"/>
                <w:color w:val="auto"/>
              </w:rPr>
              <w:t>California</w:t>
            </w:r>
          </w:p>
        </w:tc>
        <w:tc>
          <w:tcPr>
            <w:tcW w:w="2340" w:type="dxa"/>
            <w:vAlign w:val="bottom"/>
          </w:tcPr>
          <w:p>
            <w:pPr>
              <w:jc w:val="right"/>
              <w:ind w:right="335"/>
              <w:spacing w:after="0"/>
              <w:rPr>
                <w:sz w:val="20"/>
                <w:szCs w:val="20"/>
                <w:color w:val="auto"/>
              </w:rPr>
            </w:pPr>
            <w:r>
              <w:rPr>
                <w:rFonts w:ascii="Arial" w:cs="Arial" w:eastAsia="Arial" w:hAnsi="Arial"/>
                <w:sz w:val="18"/>
                <w:szCs w:val="18"/>
                <w:b w:val="1"/>
                <w:bCs w:val="1"/>
                <w:color w:val="auto"/>
              </w:rPr>
              <w:t>94086</w:t>
            </w:r>
          </w:p>
        </w:tc>
      </w:tr>
      <w:tr>
        <w:trPr>
          <w:trHeight w:val="251"/>
        </w:trPr>
        <w:tc>
          <w:tcPr>
            <w:tcW w:w="28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340" w:type="dxa"/>
            <w:vAlign w:val="bottom"/>
          </w:tcPr>
          <w:p>
            <w:pPr>
              <w:jc w:val="center"/>
              <w:ind w:left="975"/>
              <w:spacing w:after="0"/>
              <w:rPr>
                <w:sz w:val="20"/>
                <w:szCs w:val="20"/>
                <w:color w:val="auto"/>
              </w:rPr>
            </w:pPr>
            <w:r>
              <w:rPr>
                <w:rFonts w:ascii="Arial" w:cs="Arial" w:eastAsia="Arial" w:hAnsi="Arial"/>
                <w:sz w:val="16"/>
                <w:szCs w:val="16"/>
                <w:b w:val="1"/>
                <w:bCs w:val="1"/>
                <w:color w:val="auto"/>
                <w:w w:val="96"/>
              </w:rPr>
              <w:t>(Zip Code)</w:t>
            </w:r>
          </w:p>
        </w:tc>
      </w:tr>
    </w:tbl>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235-7700</w:t>
      </w:r>
    </w:p>
    <w:p>
      <w:pPr>
        <w:spacing w:after="0" w:line="27"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Exchange Act:</w:t>
      </w:r>
    </w:p>
    <w:p>
      <w:pPr>
        <w:sectPr>
          <w:pgSz w:w="11900" w:h="16838" w:orient="portrait"/>
          <w:cols w:equalWidth="0" w:num="1">
            <w:col w:w="11380"/>
          </w:cols>
          <w:pgMar w:left="240" w:top="229" w:right="279" w:bottom="1440" w:gutter="0" w:footer="0" w:header="0"/>
        </w:sectPr>
      </w:pPr>
    </w:p>
    <w:p>
      <w:pPr>
        <w:spacing w:after="0" w:line="275"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jc w:val="center"/>
        <w:ind w:right="1720"/>
        <w:spacing w:after="0"/>
        <w:rPr>
          <w:sz w:val="20"/>
          <w:szCs w:val="20"/>
          <w:color w:val="auto"/>
        </w:rPr>
      </w:pPr>
      <w:r>
        <w:rPr>
          <w:rFonts w:ascii="Arial" w:cs="Arial" w:eastAsia="Arial" w:hAnsi="Arial"/>
          <w:sz w:val="16"/>
          <w:szCs w:val="16"/>
          <w:b w:val="1"/>
          <w:bCs w:val="1"/>
          <w:color w:val="auto"/>
        </w:rPr>
        <w:t>FTNT</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91" w:lineRule="exact"/>
        <w:rPr>
          <w:sz w:val="24"/>
          <w:szCs w:val="24"/>
          <w:color w:val="auto"/>
        </w:rPr>
      </w:pPr>
    </w:p>
    <w:p>
      <w:pPr>
        <w:sectPr>
          <w:pgSz w:w="11900" w:h="16838" w:orient="portrait"/>
          <w:cols w:equalWidth="0" w:num="3">
            <w:col w:w="4740" w:space="720"/>
            <w:col w:w="2140" w:space="720"/>
            <w:col w:w="3060"/>
          </w:cols>
          <w:pgMar w:left="240" w:top="229" w:right="279" w:bottom="1440" w:gutter="0" w:footer="0" w:header="0"/>
          <w:type w:val="continuous"/>
        </w:sectPr>
      </w:pPr>
    </w:p>
    <w:p>
      <w:pPr>
        <w:ind w:left="11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213" w:lineRule="exact"/>
        <w:rPr>
          <w:sz w:val="24"/>
          <w:szCs w:val="24"/>
          <w:color w:val="auto"/>
        </w:rPr>
      </w:pPr>
    </w:p>
    <w:p>
      <w:pPr>
        <w:sectPr>
          <w:pgSz w:w="11900" w:h="16838" w:orient="portrait"/>
          <w:cols w:equalWidth="0" w:num="3">
            <w:col w:w="4340" w:space="720"/>
            <w:col w:w="2380" w:space="720"/>
            <w:col w:w="3220"/>
          </w:cols>
          <w:pgMar w:left="240" w:top="229" w:right="279" w:bottom="1440" w:gutter="0" w:footer="0" w:header="0"/>
          <w:type w:val="continuous"/>
        </w:sectPr>
      </w:pPr>
    </w:p>
    <w:p>
      <w:pPr>
        <w:spacing w:after="0" w:line="111" w:lineRule="exact"/>
        <w:rPr>
          <w:sz w:val="24"/>
          <w:szCs w:val="24"/>
          <w:color w:val="auto"/>
        </w:rPr>
      </w:pPr>
    </w:p>
    <w:p>
      <w:pPr>
        <w:jc w:val="both"/>
        <w:ind w:right="80" w:firstLine="324"/>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56" w:lineRule="exact"/>
        <w:rPr>
          <w:sz w:val="24"/>
          <w:szCs w:val="24"/>
          <w:color w:val="auto"/>
        </w:rPr>
      </w:pPr>
    </w:p>
    <w:p>
      <w:pPr>
        <w:ind w:right="220" w:firstLine="270"/>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29" w:lineRule="exact"/>
        <w:rPr>
          <w:sz w:val="24"/>
          <w:szCs w:val="24"/>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311"/>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11"/>
        </w:trPr>
        <w:tc>
          <w:tcPr>
            <w:tcW w:w="2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9"/>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98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68" w:lineRule="exact"/>
        <w:rPr>
          <w:sz w:val="20"/>
          <w:szCs w:val="20"/>
          <w:color w:val="auto"/>
        </w:rPr>
      </w:pPr>
    </w:p>
    <w:p>
      <w:pPr>
        <w:ind w:firstLine="27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94" w:lineRule="exact"/>
        <w:rPr>
          <w:sz w:val="20"/>
          <w:szCs w:val="20"/>
          <w:color w:val="auto"/>
        </w:rPr>
      </w:pPr>
    </w:p>
    <w:p>
      <w:pPr>
        <w:ind w:left="280" w:right="2200"/>
        <w:spacing w:after="0" w:line="34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 xml:space="preserve"> As of July 26, 2019, there were 170,991,437 shares of the registrant’s common stock outstanding.</w:t>
      </w:r>
    </w:p>
    <w:p>
      <w:pPr>
        <w:sectPr>
          <w:pgSz w:w="11900" w:h="16838" w:orient="portrait"/>
          <w:cols w:equalWidth="0" w:num="1">
            <w:col w:w="11340"/>
          </w:cols>
          <w:pgMar w:left="240" w:top="121" w:right="31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June 30, 2019</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80" w:type="dxa"/>
            <w:vAlign w:val="bottom"/>
            <w:gridSpan w:val="10"/>
            <w:vMerge w:val="restart"/>
          </w:tcPr>
          <w:p>
            <w:pPr>
              <w:jc w:val="center"/>
              <w:ind w:right="292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80" w:type="dxa"/>
            <w:vAlign w:val="bottom"/>
            <w:gridSpan w:val="10"/>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7400" w:type="dxa"/>
            <w:vAlign w:val="bottom"/>
            <w:gridSpan w:val="11"/>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61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June 30, 2019 and December 31, 2018</w:t>
              </w:r>
            </w:hyperlink>
          </w:p>
        </w:tc>
        <w:tc>
          <w:tcPr>
            <w:tcW w:w="364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8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for the Three and Six Months Ended June 30, 2019 and 2018</w:t>
              </w:r>
            </w:hyperlink>
          </w:p>
        </w:tc>
        <w:tc>
          <w:tcPr>
            <w:tcW w:w="194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0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and Six Months Ended June 30, 2019 and 2018</w:t>
              </w:r>
            </w:hyperlink>
          </w:p>
        </w:tc>
        <w:tc>
          <w:tcPr>
            <w:tcW w:w="76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Stockholders’ Equity for the Three and Six Months Ended June 30, 2019 and 2018</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for the Six Months Ended June 30, 2019 and 2018</w:t>
              </w:r>
            </w:hyperlink>
          </w:p>
        </w:tc>
        <w:tc>
          <w:tcPr>
            <w:tcW w:w="1440" w:type="dxa"/>
            <w:vAlign w:val="bottom"/>
            <w:tcBorders>
              <w:top w:val="single" w:sz="8" w:color="0000EE"/>
            </w:tcBorders>
            <w:gridSpan w:val="2"/>
          </w:tcPr>
          <w:p>
            <w:pPr>
              <w:spacing w:after="0"/>
              <w:rPr>
                <w:sz w:val="21"/>
                <w:szCs w:val="21"/>
                <w:color w:val="auto"/>
              </w:rPr>
            </w:pPr>
          </w:p>
        </w:tc>
        <w:tc>
          <w:tcPr>
            <w:tcW w:w="96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48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8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PART II—OTHER INFORMATION</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400" w:type="dxa"/>
            <w:vAlign w:val="bottom"/>
            <w:gridSpan w:val="2"/>
          </w:tcPr>
          <w:p>
            <w:pPr>
              <w:spacing w:after="0"/>
              <w:rPr>
                <w:sz w:val="21"/>
                <w:szCs w:val="21"/>
                <w:color w:val="auto"/>
              </w:rPr>
            </w:pPr>
          </w:p>
        </w:tc>
        <w:tc>
          <w:tcPr>
            <w:tcW w:w="848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tcBorders>
              <w:left w:val="single" w:sz="8" w:color="0000EE"/>
            </w:tcBorders>
            <w:gridSpan w:val="3"/>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4340" w:type="dxa"/>
            <w:vAlign w:val="bottom"/>
            <w:gridSpan w:val="1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544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2900" w:type="dxa"/>
            <w:vAlign w:val="bottom"/>
            <w:gridSpan w:val="7"/>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Exhibits, Financial Statement Schedules</w:t>
              </w:r>
            </w:hyperlink>
          </w:p>
        </w:tc>
        <w:tc>
          <w:tcPr>
            <w:tcW w:w="688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920" w:type="dxa"/>
            <w:vAlign w:val="bottom"/>
            <w:gridSpan w:val="4"/>
            <w:shd w:val="clear" w:color="auto" w:fill="0000EE"/>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gridSpan w:val="3"/>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Exhibit Index</w:t>
              </w:r>
            </w:hyperlink>
          </w:p>
        </w:tc>
        <w:tc>
          <w:tcPr>
            <w:tcW w:w="1920" w:type="dxa"/>
            <w:vAlign w:val="bottom"/>
            <w:gridSpan w:val="4"/>
          </w:tcPr>
          <w:p>
            <w:pPr>
              <w:spacing w:after="0"/>
              <w:rPr>
                <w:sz w:val="21"/>
                <w:szCs w:val="21"/>
                <w:color w:val="auto"/>
              </w:rPr>
            </w:pPr>
          </w:p>
        </w:tc>
        <w:tc>
          <w:tcPr>
            <w:tcW w:w="6880" w:type="dxa"/>
            <w:vAlign w:val="bottom"/>
            <w:gridSpan w:val="10"/>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tcPr>
          <w:p>
            <w:pPr>
              <w:spacing w:after="0"/>
              <w:rPr>
                <w:rFonts w:ascii="Arial" w:cs="Arial" w:eastAsia="Arial" w:hAnsi="Arial"/>
                <w:sz w:val="18"/>
                <w:szCs w:val="18"/>
                <w:color w:val="0000EE"/>
                <w:w w:val="85"/>
              </w:rPr>
            </w:pPr>
            <w:hyperlink w:anchor="page72">
              <w:r>
                <w:rPr>
                  <w:rFonts w:ascii="Arial" w:cs="Arial" w:eastAsia="Arial" w:hAnsi="Arial"/>
                  <w:sz w:val="18"/>
                  <w:szCs w:val="18"/>
                  <w:color w:val="0000EE"/>
                  <w:w w:val="85"/>
                </w:rPr>
                <w:t>Signatures</w:t>
              </w:r>
            </w:hyperlink>
          </w:p>
        </w:tc>
        <w:tc>
          <w:tcPr>
            <w:tcW w:w="220" w:type="dxa"/>
            <w:vAlign w:val="bottom"/>
            <w:gridSpan w:val="2"/>
          </w:tcPr>
          <w:p>
            <w:pPr>
              <w:spacing w:after="0"/>
              <w:rPr>
                <w:sz w:val="21"/>
                <w:szCs w:val="21"/>
                <w:color w:val="auto"/>
              </w:rPr>
            </w:pPr>
          </w:p>
        </w:tc>
        <w:tc>
          <w:tcPr>
            <w:tcW w:w="8800" w:type="dxa"/>
            <w:vAlign w:val="bottom"/>
            <w:gridSpan w:val="1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90"/>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9"/>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(unaudited, in millions, except per share amounts)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537.2</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90.0</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2,360.7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2,220.9</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271.4</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255.0</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97"/>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3,369.4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3,078.0</w:t>
            </w: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965.9</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1,256.4</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2,067.8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9"/>
              </w:rPr>
              <w:t>Common stock, $0.001 par value—300 shares authorized; 171.0 and 169.8 shares issued and outstanding at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June 30, 2019 and December 31, 2018,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1,068.3</w:t>
            </w:r>
          </w:p>
        </w:tc>
      </w:tr>
      <w:tr>
        <w:trPr>
          <w:trHeight w:val="27"/>
        </w:trPr>
        <w:tc>
          <w:tcPr>
            <w:tcW w:w="8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1,010.2</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3,369.4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3,078.0</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453.0</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393.4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 (Note 9):</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60" w:type="dxa"/>
            <w:vAlign w:val="bottom"/>
            <w:gridSpan w:val="4"/>
          </w:tcPr>
          <w:p>
            <w:pPr>
              <w:jc w:val="right"/>
              <w:ind w:right="274"/>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79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72.7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w w:val="92"/>
              </w:rPr>
              <w:t>Less: tax provision related to change in unrealized gains (losses)</w:t>
            </w: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on investments</w:t>
            </w:r>
          </w:p>
        </w:tc>
        <w:tc>
          <w:tcPr>
            <w:tcW w:w="10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73.8</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49.9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90.3</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80" w:type="dxa"/>
            <w:vAlign w:val="bottom"/>
            <w:gridSpan w:val="8"/>
          </w:tcPr>
          <w:p>
            <w:pPr>
              <w:ind w:left="20"/>
              <w:spacing w:after="0"/>
              <w:rPr>
                <w:sz w:val="20"/>
                <w:szCs w:val="20"/>
                <w:color w:val="auto"/>
              </w:rPr>
            </w:pPr>
            <w:r>
              <w:rPr>
                <w:rFonts w:ascii="Arial" w:cs="Arial" w:eastAsia="Arial" w:hAnsi="Arial"/>
                <w:sz w:val="16"/>
                <w:szCs w:val="16"/>
                <w:b w:val="1"/>
                <w:bCs w:val="1"/>
                <w:color w:val="auto"/>
                <w:w w:val="91"/>
              </w:rPr>
              <w:t>Three Months Ended June 30, 2019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120" w:type="dxa"/>
            <w:vAlign w:val="bottom"/>
            <w:gridSpan w:val="4"/>
            <w:vMerge w:val="restart"/>
          </w:tcPr>
          <w:p>
            <w:pPr>
              <w:jc w:val="right"/>
              <w:ind w:right="431"/>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17"/>
                <w:szCs w:val="17"/>
                <w:color w:val="auto"/>
              </w:rPr>
            </w:pPr>
          </w:p>
        </w:tc>
        <w:tc>
          <w:tcPr>
            <w:tcW w:w="212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Paid-In</w:t>
            </w:r>
          </w:p>
        </w:tc>
        <w:tc>
          <w:tcPr>
            <w:tcW w:w="1260" w:type="dxa"/>
            <w:vAlign w:val="bottom"/>
            <w:gridSpan w:val="4"/>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2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2019</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29"/>
        </w:trPr>
        <w:tc>
          <w:tcPr>
            <w:tcW w:w="460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BALANCE—June 30, 2019</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1,130.2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80" w:type="dxa"/>
            <w:vAlign w:val="bottom"/>
            <w:gridSpan w:val="8"/>
          </w:tcPr>
          <w:p>
            <w:pPr>
              <w:ind w:left="20"/>
              <w:spacing w:after="0"/>
              <w:rPr>
                <w:sz w:val="20"/>
                <w:szCs w:val="20"/>
                <w:color w:val="auto"/>
              </w:rPr>
            </w:pPr>
            <w:r>
              <w:rPr>
                <w:rFonts w:ascii="Arial" w:cs="Arial" w:eastAsia="Arial" w:hAnsi="Arial"/>
                <w:sz w:val="16"/>
                <w:szCs w:val="16"/>
                <w:b w:val="1"/>
                <w:bCs w:val="1"/>
                <w:color w:val="auto"/>
                <w:w w:val="91"/>
              </w:rPr>
              <w:t>Three Months Ended June 30, 2018</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120" w:type="dxa"/>
            <w:vAlign w:val="bottom"/>
            <w:gridSpan w:val="4"/>
            <w:vMerge w:val="restart"/>
          </w:tcPr>
          <w:p>
            <w:pPr>
              <w:jc w:val="right"/>
              <w:ind w:right="431"/>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Accumulated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0" w:type="dxa"/>
            <w:vAlign w:val="bottom"/>
          </w:tcPr>
          <w:p>
            <w:pPr>
              <w:spacing w:after="0"/>
              <w:rPr>
                <w:sz w:val="17"/>
                <w:szCs w:val="17"/>
                <w:color w:val="auto"/>
              </w:rPr>
            </w:pPr>
          </w:p>
        </w:tc>
        <w:tc>
          <w:tcPr>
            <w:tcW w:w="2120" w:type="dxa"/>
            <w:vAlign w:val="bottom"/>
            <w:tcBorders>
              <w:bottom w:val="single" w:sz="8" w:color="auto"/>
            </w:tcBorders>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Paid-In</w:t>
            </w:r>
          </w:p>
        </w:tc>
        <w:tc>
          <w:tcPr>
            <w:tcW w:w="1260" w:type="dxa"/>
            <w:vAlign w:val="bottom"/>
            <w:gridSpan w:val="4"/>
          </w:tcPr>
          <w:p>
            <w:pPr>
              <w:jc w:val="center"/>
              <w:ind w:right="10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00" w:type="dxa"/>
            <w:vAlign w:val="bottom"/>
            <w:gridSpan w:val="3"/>
          </w:tcPr>
          <w:p>
            <w:pPr>
              <w:ind w:left="20"/>
              <w:spacing w:after="0" w:line="182" w:lineRule="exact"/>
              <w:rPr>
                <w:sz w:val="20"/>
                <w:szCs w:val="20"/>
                <w:color w:val="auto"/>
              </w:rPr>
            </w:pPr>
            <w:r>
              <w:rPr>
                <w:rFonts w:ascii="Arial" w:cs="Arial" w:eastAsia="Arial" w:hAnsi="Arial"/>
                <w:sz w:val="16"/>
                <w:szCs w:val="16"/>
                <w:b w:val="1"/>
                <w:bCs w:val="1"/>
                <w:color w:val="auto"/>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000" w:type="dxa"/>
            <w:vAlign w:val="bottom"/>
          </w:tcPr>
          <w:p>
            <w:pPr>
              <w:jc w:val="right"/>
              <w:ind w:right="172"/>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31"/>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Pr>
          <w:p>
            <w:pPr>
              <w:spacing w:after="0"/>
              <w:rPr>
                <w:sz w:val="18"/>
                <w:szCs w:val="18"/>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0"/>
              </w:rPr>
              <w:t>Loss</w:t>
            </w:r>
          </w:p>
        </w:tc>
        <w:tc>
          <w:tcPr>
            <w:tcW w:w="18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2018</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29"/>
        </w:trPr>
        <w:tc>
          <w:tcPr>
            <w:tcW w:w="460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BALANCE—June 30, 2018</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996.1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ind w:left="20"/>
              <w:spacing w:after="0"/>
              <w:rPr>
                <w:sz w:val="20"/>
                <w:szCs w:val="20"/>
                <w:color w:val="auto"/>
              </w:rPr>
            </w:pPr>
            <w:r>
              <w:rPr>
                <w:rFonts w:ascii="Arial" w:cs="Arial" w:eastAsia="Arial" w:hAnsi="Arial"/>
                <w:sz w:val="16"/>
                <w:szCs w:val="16"/>
                <w:b w:val="1"/>
                <w:bCs w:val="1"/>
                <w:color w:val="auto"/>
                <w:w w:val="93"/>
              </w:rPr>
              <w:t>Six Months Ended June 30, 2019</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22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222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2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29"/>
        </w:trPr>
        <w:tc>
          <w:tcPr>
            <w:tcW w:w="460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Cumulative-effect adjustment from adoption of ASU 2018-</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BALANCE—June 30, 2019</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1,130.2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ind w:left="20"/>
              <w:spacing w:after="0"/>
              <w:rPr>
                <w:sz w:val="20"/>
                <w:szCs w:val="20"/>
                <w:color w:val="auto"/>
              </w:rPr>
            </w:pPr>
            <w:r>
              <w:rPr>
                <w:rFonts w:ascii="Arial" w:cs="Arial" w:eastAsia="Arial" w:hAnsi="Arial"/>
                <w:sz w:val="16"/>
                <w:szCs w:val="16"/>
                <w:b w:val="1"/>
                <w:bCs w:val="1"/>
                <w:color w:val="auto"/>
                <w:w w:val="93"/>
              </w:rPr>
              <w:t>Six Months Ended June 30, 2018</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220" w:type="dxa"/>
            <w:vAlign w:val="bottom"/>
            <w:gridSpan w:val="5"/>
            <w:vMerge w:val="restart"/>
          </w:tcPr>
          <w:p>
            <w:pPr>
              <w:ind w:left="5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222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2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9"/>
        </w:trPr>
        <w:tc>
          <w:tcPr>
            <w:tcW w:w="460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Cumulative effect adjustments from adoption of ASC 606</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BALANCE—June 30, 2018</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70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120" w:type="dxa"/>
            <w:vAlign w:val="bottom"/>
          </w:tcPr>
          <w:p>
            <w:pPr>
              <w:jc w:val="right"/>
              <w:ind w:right="328"/>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46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48"/>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131.5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22"/>
                <w:szCs w:val="22"/>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deferred contract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 net of accretion of purchase discounts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22"/>
                <w:szCs w:val="22"/>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40" w:type="dxa"/>
            <w:vAlign w:val="bottom"/>
          </w:tcPr>
          <w:p>
            <w:pPr>
              <w:spacing w:after="0"/>
              <w:rPr>
                <w:sz w:val="22"/>
                <w:szCs w:val="22"/>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contract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22"/>
                <w:szCs w:val="22"/>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396.4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240" w:type="dxa"/>
            <w:vAlign w:val="bottom"/>
          </w:tcPr>
          <w:p>
            <w:pPr>
              <w:spacing w:after="0"/>
              <w:rPr>
                <w:sz w:val="22"/>
                <w:szCs w:val="22"/>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(748.1)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(262.3)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240" w:type="dxa"/>
            <w:vAlign w:val="bottom"/>
          </w:tcPr>
          <w:p>
            <w:pPr>
              <w:spacing w:after="0"/>
              <w:rPr>
                <w:sz w:val="22"/>
                <w:szCs w:val="22"/>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384.9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244.3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Payments made in connection with business combination, net of cash acquired</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56"/>
        </w:trPr>
        <w:tc>
          <w:tcPr>
            <w:tcW w:w="85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(375.6)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40" w:type="dxa"/>
            <w:vAlign w:val="bottom"/>
          </w:tcPr>
          <w:p>
            <w:pPr>
              <w:spacing w:after="0"/>
              <w:rPr>
                <w:sz w:val="22"/>
                <w:szCs w:val="22"/>
                <w:color w:val="auto"/>
              </w:rPr>
            </w:pPr>
          </w:p>
        </w:tc>
        <w:tc>
          <w:tcPr>
            <w:tcW w:w="1140" w:type="dxa"/>
            <w:vAlign w:val="bottom"/>
          </w:tcPr>
          <w:p>
            <w:pPr>
              <w:jc w:val="right"/>
              <w:ind w:right="47"/>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Payments of debt assumed in connection with business combination</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tcBorders>
            <w:shd w:val="clear" w:color="auto" w:fill="CCEEFF"/>
          </w:tcPr>
          <w:p>
            <w:pPr>
              <w:ind w:left="1900"/>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(111.1)</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tcPr>
          <w:p>
            <w:pPr>
              <w:spacing w:after="0"/>
              <w:rPr>
                <w:sz w:val="21"/>
                <w:szCs w:val="21"/>
                <w:color w:val="auto"/>
              </w:rPr>
            </w:pPr>
          </w:p>
        </w:tc>
        <w:tc>
          <w:tcPr>
            <w:tcW w:w="1140" w:type="dxa"/>
            <w:vAlign w:val="bottom"/>
          </w:tcPr>
          <w:p>
            <w:pPr>
              <w:jc w:val="right"/>
              <w:ind w:right="7"/>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161.1</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1,112.4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811.0</w:t>
            </w:r>
          </w:p>
        </w:tc>
        <w:tc>
          <w:tcPr>
            <w:tcW w:w="0" w:type="dxa"/>
            <w:vAlign w:val="bottom"/>
          </w:tcPr>
          <w:p>
            <w:pPr>
              <w:spacing w:after="0"/>
              <w:rPr>
                <w:sz w:val="1"/>
                <w:szCs w:val="1"/>
                <w:color w:val="auto"/>
              </w:rPr>
            </w:pP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1,022.1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972.1</w:t>
            </w:r>
          </w:p>
        </w:tc>
        <w:tc>
          <w:tcPr>
            <w:tcW w:w="0" w:type="dxa"/>
            <w:vAlign w:val="bottom"/>
          </w:tcPr>
          <w:p>
            <w:pPr>
              <w:spacing w:after="0"/>
              <w:rPr>
                <w:sz w:val="1"/>
                <w:szCs w:val="1"/>
                <w:color w:val="auto"/>
              </w:rPr>
            </w:pP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Cash paid to settle liability incurred for repurchase of common stock</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incurred for repurchase of common stock</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0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057"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unaudited condensed consolidated financial statements of Fortinet, Inc.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2018, contained in our Annual Report on Form 10-K filed with the SEC on February 27, 2019. In the opinion of management, all adjustments, which includes normal recurring adjustments, considered necessary for a fair presentation have been included. All intercompany balances, transactions and cash flows have been eliminated. The results of operations for the three and six months ended June 30, 2019 are not necessarily indicative of the results for the full year or for any future periods. The condensed consolidated balance sheet as of December 31, 2018 is derived from the audited consolidated financial statements for the year ended December 31, 2018.</w:t>
      </w:r>
    </w:p>
    <w:p>
      <w:pPr>
        <w:spacing w:after="0" w:line="19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as of and for the three and six months ended June 30, 2019, except for the accounting policies for leases that were updated as a result of adopting Accounting Standards Update (“ASU”) 2016-02—Leases (Topic 842) (“Topic 842”). For more information, refer to the “Recently Adopted Accounting Standards” and Note 10.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February 2016, the Financial Accounting Standards Board (the “FASB”) issued Topic 842, which requires the recognition of right-of-use (“ROU”) assets and lease liabilities for operating leases on the condensed consolidated balance sheet. We adopted Topic 842 and its related amendments as of January 1, 2019 using a modified retrospective transition approach by applying the new standard to all leases existing at the date of initial application and not restating comparative periods. We elected the package of practical expedients permitted under the transition guidance, which allowed us to waive reassessing the lease classification for any expired or existing leases, the initial direct costs for any existing leases and whether any expired or existing contracts contained leases.</w:t>
      </w:r>
    </w:p>
    <w:p>
      <w:pPr>
        <w:spacing w:after="0" w:line="193"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Under the new guidance, we determine if an arrangement contains a lease and the classification of that lease, if applicable, at inception or upon modification of a contract. We have elected to not recognize a lease liability or ROU asset for short-term leases (leases that, at the commencement date, have a lease term of twelve months or less and do not include an option to purchase the underlying asset that the Company is reasonably certain to exercise). We have elected to not allocate the contract consideration for operating lease contracts with lease and non-lease components, and account for the lease and non-lease components as a single lease component.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net of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primary impact of adopting Topic 842 was the recognition of ROU assets and lease liabilities for operating leases of $39.1 million and $40.6 million, respectively, on January 1, 2019, which included reclassifying prepaid rent and deferred rent as a component of the ROU asset. Topic 842 did not have a material impact on our condensed consolidated statements of income and cash flows.</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ROU assets and the short-term and long-term lease liabilities from our operating leases are included in other assets, accrued liabilities and other liabilities in our condensed consolidated balance sheets, respectively. Our accounting for finance leases (formerly referred to as capital leases prior to the adoption of Topic 842) remains substantially unchanged. Finance leases are not material to our condensed consolidated financial statements.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for lease payments for our operating leases is recognized on a straight-line basis over the term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2018, the FASB issued ASU 2018-02—Income Statement—Reporting Comprehensive Income (Topic 220): Reclassification of Certain Tax Effects from Accumulated Other Comprehensive Income, which allows companies to reclassify stranded tax effects resulting from the Tax Cuts and Jobs Act (the “2017 Tax Act”) from accumulated other comprehensive income to retained earnings. We adopted ASU 2018-02 on January 1, 2019 and elected to reclassify $0.1 million of stranded tax effects as of that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June 2018, the FASB issued ASU 2018-07—Compensation—Stock Compensation (Topic 718): Improvements to Nonemployee Share-Based Payment Accounting, which simplifies the accounting for share-based payments to nonemployees by aligning it with the accounting for share-based payments to employees subject to certain exceptions. ASU 2018-07 expands the scope of Accounting Standards Codification (“ASC”) Topic 718, Compensation— Stock Compensation (“ASC 718”), to include share-based payments granted to nonemployees in exchange for goods or services used or consumed in an entity’s own operations and supersedes the guidance in ASC 505, Equity, by moving it to ASC 718. We adopted ASU 2018-07 on January 1, 2019. ASU 2018-07 did not have a material impact on our condensed consolidated financial statements.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Cloud Computing</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ASC Topic 350, Intangibles—Goodwill and Other, to determine which implementation costs to capitalize as assets or expense as incurred. Companies can choose to adopt the ASU 2018-15 prospectively or retrospectively. ASU 2018-15 is effective for us beginning January 1, 2020, and early adoption is permitted. We are currently evaluating the impact of ASU 2018-15 on our condensed consolidated financial statements.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ASU 2018-13 is effective for us beginning January 1, 2020. The amendments in ASU 2018-13 that relate to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in ASU 2018-13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We are currently assessing the impact the new guidance will have on our disclosures.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In June 2016, the FASB issued ASU 2016-13—Financial Instruments—Credit Losses (Topic 326): Measurement of Credit Losses on Financial Instruments and in November 2018, the FASB issued ASU 2018-19—Codification Improvements to Topic 326, Financial Instruments—Credit Losses, as a subsequent amendment to the initial guidance (collectively, Topic 326). In April 2019, the FASB issued ASU 2019-04—Codification Improvements to Topic</w:t>
      </w:r>
    </w:p>
    <w:p>
      <w:pPr>
        <w:ind w:firstLine="8"/>
        <w:spacing w:after="0" w:line="288" w:lineRule="auto"/>
        <w:tabs>
          <w:tab w:leader="none" w:pos="365"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Instruments—Credit Losses, Topic 815, Derivatives and Hedging, and Topic 825, Financial Instruments, and in May 2019, the FASB issued ASU 2019-05—Financial Instruments—Credit Losses (Topic 326): Targeted Transition Relief. Topic 326 requires a financial asset (or a group of financial assets) measured at an amortized cost basis to be presented at the net amount expected to be collected. The new approach to estimating credit losses (referred to as the current expected credit losses model) generally accelerates recognition of credit losses. We are in the process of determining the changes needed to our valuation model for trade receivables, and we are reviewing our process to identify credit-related losses on available-for-sale investments. We also expect the new guidance to expand our related financial statement disclosures. The new guidance is effective for us beginning on January 1, 2020, and early adoption is permitted. We are currently assessing the impact of the new guidance on our condensed consolidated financial statements.</w:t>
      </w:r>
    </w:p>
    <w:p>
      <w:pPr>
        <w:spacing w:after="0" w:line="16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Our revenue consists of product and service revenue. Product revenue is generated by sales of our FortiGate products and other hardware and software solutions. Service revenue relates to sales of our FortiGuard security subscription, FortiCare technical support services and other services.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780" w:type="dxa"/>
            <w:vAlign w:val="bottom"/>
            <w:gridSpan w:val="4"/>
          </w:tcPr>
          <w:p>
            <w:pPr>
              <w:jc w:val="right"/>
              <w:ind w:right="77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Arial" w:cs="Arial" w:eastAsia="Arial" w:hAnsi="Arial"/>
                <w:sz w:val="16"/>
                <w:szCs w:val="16"/>
                <w:b w:val="1"/>
                <w:bCs w:val="1"/>
                <w:color w:val="auto"/>
              </w:rPr>
              <w:t>2018</w:t>
            </w:r>
          </w:p>
        </w:tc>
      </w:tr>
      <w:tr>
        <w:trPr>
          <w:trHeight w:val="33"/>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309.1</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Service: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 subscription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283.8</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Technical support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247.4</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service revenue</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531.2</w:t>
            </w: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521.7</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994.3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840.3</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June 30, 2019 and June 30, 2018, we recognized $252.0 million and $203.3 million in revenue that was included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deferred revenue balance as of December 31, 2018 and December 31, 2017, respectively. During the six months ended June 30, 2019 and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2018, we recognized $540.6 million and $442.3 million in revenue that was included in the deferred revenue balance as of December 31, 2018 and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2017,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2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June 30, 2019, the aggregate amount of the transaction price allocated to remaining performance obligations was $1.87 billion, which was substantially comprised of deferred security subscription and technical support services. We expect to recognize approximately $1.03 billion into revenue over the next 12 months and the remainder thereafter.</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Trade accounts receivable are recorded at the invoiced amount. Trade accounts receivable is reduced by an allowance for doubtful accounts which is determined based on our assessment of the collectability of customer accounts. The allowance for doubtful accounts was $0.8 million and $0.9 million as of June 30, 2019 and December 31,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The amortization of deferred contract costs is included in sales and marketing expense in our condensed consolidated statements of income. Amortization of deferred contract costs during the three months ended June 30, 2019 and June 30, 2018 were $25.9 million and $22.4 million, respectively. Amortization of deferred contract costs during the six months ended June 30, 2019 and June 30, 2018 were $51.0 million and $43.2 million, respectively.</w:t>
      </w:r>
    </w:p>
    <w:p>
      <w:pPr>
        <w:spacing w:after="0" w:line="15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our investments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June 30, 2019</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517.7</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204.3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147.4</w:t>
            </w:r>
          </w:p>
        </w:tc>
      </w:tr>
      <w:tr>
        <w:trPr>
          <w:trHeight w:val="270"/>
        </w:trPr>
        <w:tc>
          <w:tcPr>
            <w:tcW w:w="516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88.2</w:t>
            </w:r>
          </w:p>
        </w:tc>
      </w:tr>
      <w:tr>
        <w:trPr>
          <w:trHeight w:val="257"/>
        </w:trPr>
        <w:tc>
          <w:tcPr>
            <w:tcW w:w="516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957.6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298.3</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80" w:hanging="186"/>
        <w:spacing w:after="0"/>
        <w:tabs>
          <w:tab w:leader="none" w:pos="68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The majority of our certificates of deposit and term deposits are foreign deposits.</w:t>
      </w:r>
    </w:p>
    <w:p>
      <w:pPr>
        <w:spacing w:after="0" w:line="200" w:lineRule="exact"/>
        <w:rPr>
          <w:sz w:val="20"/>
          <w:szCs w:val="20"/>
          <w:color w:val="auto"/>
        </w:rPr>
      </w:pPr>
    </w:p>
    <w:p>
      <w:pPr>
        <w:spacing w:after="0" w:line="24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46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6"/>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3"/>
              </w:rPr>
              <w:t>Unrealized</w:t>
            </w: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6"/>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79"/>
              </w:rPr>
              <w:t>Losses</w:t>
            </w: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6"/>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4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340" w:type="dxa"/>
            <w:vAlign w:val="bottom"/>
          </w:tcPr>
          <w:p>
            <w:pPr>
              <w:jc w:val="right"/>
              <w:ind w:right="14"/>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1340" w:type="dxa"/>
            <w:vAlign w:val="bottom"/>
          </w:tcPr>
          <w:p>
            <w:pPr>
              <w:jc w:val="right"/>
              <w:ind w:right="114"/>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2018</w:t>
            </w:r>
          </w:p>
        </w:tc>
      </w:tr>
      <w:tr>
        <w:trPr>
          <w:trHeight w:val="33"/>
        </w:trPr>
        <w:tc>
          <w:tcPr>
            <w:tcW w:w="7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537.2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67.0</w:t>
            </w:r>
          </w:p>
        </w:tc>
      </w:tr>
      <w:tr>
        <w:trPr>
          <w:trHeight w:val="27"/>
        </w:trPr>
        <w:tc>
          <w:tcPr>
            <w:tcW w:w="75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604.2</w:t>
            </w:r>
          </w:p>
        </w:tc>
      </w:tr>
      <w:tr>
        <w:trPr>
          <w:trHeight w:val="20"/>
        </w:trPr>
        <w:tc>
          <w:tcPr>
            <w:tcW w:w="7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Realized gains and losses on available-for-sale securities were insignificant in the periods presented and are included in other expense—net in our condensed consolidated statements of income.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June 30, 2019.</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tables present the fair value of our financial assets measured at fair value on a recurring basis as of June 30, 2019 and December 31, 2018 (in millions):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ind w:left="44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7"/>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87"/>
              </w:rPr>
              <w:t>Aggregate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8"/>
              </w:rPr>
              <w:t>Unobservable</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0"/>
              </w:rPr>
              <w:t>Remaining</w:t>
            </w:r>
          </w:p>
        </w:tc>
      </w:t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r>
      <w:tr>
        <w:trPr>
          <w:trHeight w:val="224"/>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9"/>
                <w:szCs w:val="19"/>
                <w:color w:val="auto"/>
              </w:rPr>
            </w:pPr>
          </w:p>
        </w:tc>
        <w:tc>
          <w:tcPr>
            <w:tcW w:w="980" w:type="dxa"/>
            <w:vAlign w:val="bottom"/>
          </w:tcPr>
          <w:p>
            <w:pPr>
              <w:jc w:val="center"/>
              <w:ind w:right="6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520.6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520.6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299.3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rPr>
              <w:t>Certificates of deposit and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term deposits</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U.S. government and agency</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152.4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1,007.5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841.1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713.7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808.1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149.5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1,007.5</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six months ended June 30, 2019 and year ended December 31, 2018.</w:t>
      </w:r>
    </w:p>
    <w:p>
      <w:pPr>
        <w:spacing w:after="0" w:line="16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54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440" w:type="dxa"/>
            <w:vAlign w:val="bottom"/>
            <w:tcBorders>
              <w:bottom w:val="single" w:sz="8" w:color="CCEEFF"/>
            </w:tcBorders>
            <w:gridSpan w:val="2"/>
            <w:shd w:val="clear" w:color="auto" w:fill="CCEEFF"/>
          </w:tcPr>
          <w:p>
            <w:pPr>
              <w:jc w:val="right"/>
              <w:ind w:right="11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5440" w:type="dxa"/>
            <w:vAlign w:val="bottom"/>
            <w:gridSpan w:val="2"/>
            <w:shd w:val="clear" w:color="auto" w:fill="CCEEFF"/>
          </w:tcPr>
          <w:p>
            <w:pPr>
              <w:jc w:val="right"/>
              <w:ind w:right="117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1552"/>
              <w:spacing w:after="0"/>
              <w:rPr>
                <w:sz w:val="20"/>
                <w:szCs w:val="20"/>
                <w:color w:val="auto"/>
              </w:rPr>
            </w:pPr>
            <w:r>
              <w:rPr>
                <w:rFonts w:ascii="Arial" w:cs="Arial" w:eastAsia="Arial" w:hAnsi="Arial"/>
                <w:sz w:val="18"/>
                <w:szCs w:val="18"/>
                <w:color w:val="auto"/>
              </w:rPr>
              <w:t>12</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3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300" w:type="dxa"/>
            <w:vAlign w:val="bottom"/>
          </w:tcPr>
          <w:p>
            <w:pPr>
              <w:jc w:val="right"/>
              <w:ind w:right="74"/>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2018</w:t>
            </w:r>
          </w:p>
        </w:tc>
      </w:tr>
      <w:tr>
        <w:trPr>
          <w:trHeight w:val="33"/>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144.2</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382.2</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300" w:type="dxa"/>
            <w:vAlign w:val="bottom"/>
            <w:tcBorders>
              <w:top w:val="single" w:sz="8" w:color="auto"/>
              <w:bottom w:val="single" w:sz="8" w:color="auto"/>
            </w:tcBorders>
          </w:tcPr>
          <w:p>
            <w:pPr>
              <w:jc w:val="right"/>
              <w:ind w:right="109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271.4</w:t>
            </w:r>
          </w:p>
        </w:tc>
      </w:tr>
      <w:tr>
        <w:trPr>
          <w:trHeight w:val="20"/>
        </w:trPr>
        <w:tc>
          <w:tcPr>
            <w:tcW w:w="7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was $12.3 million and $11.8 million during the three months ended June 30, 2019 and June 30, 2018,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$25.0 million and $23.1 million during the six months ended June 30, 2019 and June 30, 2018, respectively.</w:t>
      </w:r>
    </w:p>
    <w:p>
      <w:pPr>
        <w:spacing w:after="0" w:line="207"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investments in the equity securities of privately held companies totaled $9.1 million as of June 30, 2019 and December 31, 2018. These investments are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recorded as other assets in our condensed consolidated balance sheets and would be measured at fair value if indicators of an increase in value or impairment existed. As of June 30, 2019, no events have occurred that would affect the carrying value of these investments.</w:t>
      </w:r>
    </w:p>
    <w:p>
      <w:pPr>
        <w:spacing w:after="0" w:line="169"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ZoneFox Holdings Limited</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On October 22, 2018, we acquired all outstanding shares of ZoneFox Holdings Limited (“ZoneFox”), a privately held cloud-based company providing insider threat detection and response. ZoneFox is headquartered in Edinburgh, Scotland.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business combination method of accounting in accordance with ASC Topic 805, Business Combinations (“ASC 805”), the total purchase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price was allocated to ZoneFox’s identifiable tangible and intangible assets acquired and liabilities assumed based on their estimated fair values using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management’s best estimates and assumptions to assign fair value as of the acquisition date. The purchase price for ZoneFox was $16.1 million,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 million was allocated to goodwill that was non-deductible for tax purposes, and $6.8 million was allocated to identifiable intangible assets the majority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which was developed technology offset by $3.2 million of net liabilities assumed. Acquisition-related costs related to the ZoneFox acquisition were not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material. Goodwill recorded in connection with this acquisition represents the value we expect to be created through expansion into markets within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existing business, and potential cost savings and synergies.</w:t>
      </w:r>
    </w:p>
    <w:p>
      <w:pPr>
        <w:spacing w:after="0" w:line="21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may pay an additional $2.0 million in cash consideration as an earn-out that is subject in full to satisfaction of certain performance conditions. As of June 30, 2019, no fair value was assigned to the contingent consideration based on the estimated probability of attainment of the performance conditions.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Bradford Networks, Inc.</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June 4, 2018, we acquired all outstanding shares of Bradford Networks, Inc. (“Bradford”), a provider of network access control security products and services.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business combination method of accounting in accordance with ASC 805, the total purchase price was allocated to Bradford’s identifiable tangible and intangible assets acquired and liabilities assumed based on their estimated fair values using management's best estimates and assumptions to assign fair value as of the acquisition date. The purchase price for Bradford was $6.8 million, of which $11.1 million was allocated to goodwill that was non-deductible for tax purposes, and $8.0 million was allocated to identifiable intangible assets the majority of which was developed technology offset by $12.3 million of net liabilities assumed. Acquisition-related costs related to the Bradford acquisition were not material. Goodwill recorded in connection with this acquisition represents the value we expect to be created through expansion into markets within our existing business, and potential cost savings and synergies.</w:t>
      </w:r>
    </w:p>
    <w:p>
      <w:pPr>
        <w:spacing w:after="0" w:line="16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acquisition included a $2.0 million cash earn-out that was subject in full to satisfaction of certain performance conditions. The performance conditions were not met and the cash earn-out will not be paid.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 forma information has not been presented for these acquisitions as the impact to our condensed consolidated financial statements was not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material.</w:t>
      </w:r>
    </w:p>
    <w:p>
      <w:pPr>
        <w:spacing w:after="0" w:line="207"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June 30, 2019 and December 31, 2018, we had goodwill of $38.2 million. There were no impairments to goodwill during the six months ended June 30, 2019 or during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June 30, 2019 and December 31, 2018 (in millions, except years):</w:t>
      </w:r>
    </w:p>
    <w:p>
      <w:pPr>
        <w:spacing w:after="0" w:line="200" w:lineRule="exact"/>
        <w:rPr>
          <w:sz w:val="20"/>
          <w:szCs w:val="20"/>
          <w:color w:val="auto"/>
        </w:rPr>
      </w:pPr>
    </w:p>
    <w:p>
      <w:pPr>
        <w:spacing w:after="0" w:line="201"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16.2</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33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Amortization expense was $2.9 million and $1.8 million during the three months ended June 30, 2019 and June 30, 2018, respectively. Amortization expense was $5.9 million and $3.6 million during the six months ended June 30, 2019 and June 30, 2018, respectively.</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2019 (the remainder of 2019)</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our Employee Stock Purchase Plan (the “ESPP”), which was terminated in February 2019 at the completion of the prior offering period. Dilutive shares of common stock are determined by applying the treasury stock method.</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760" w:type="dxa"/>
            <w:vAlign w:val="bottom"/>
            <w:gridSpan w:val="4"/>
          </w:tcPr>
          <w:p>
            <w:pPr>
              <w:jc w:val="right"/>
              <w:ind w:right="77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4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311"/>
        </w:trPr>
        <w:tc>
          <w:tcPr>
            <w:tcW w:w="5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920"/>
              <w:spacing w:after="0"/>
              <w:rPr>
                <w:sz w:val="20"/>
                <w:szCs w:val="20"/>
                <w:color w:val="auto"/>
              </w:rPr>
            </w:pPr>
            <w:r>
              <w:rPr>
                <w:rFonts w:ascii="Arial" w:cs="Arial" w:eastAsia="Arial" w:hAnsi="Arial"/>
                <w:sz w:val="18"/>
                <w:szCs w:val="18"/>
                <w:color w:val="auto"/>
              </w:rPr>
              <w:t>RSUs</w:t>
            </w:r>
          </w:p>
        </w:tc>
        <w:tc>
          <w:tcPr>
            <w:tcW w:w="2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200" w:type="dxa"/>
            <w:vAlign w:val="bottom"/>
          </w:tcPr>
          <w:p>
            <w:pPr>
              <w:ind w:left="920"/>
              <w:spacing w:after="0"/>
              <w:rPr>
                <w:sz w:val="20"/>
                <w:szCs w:val="20"/>
                <w:color w:val="auto"/>
              </w:rPr>
            </w:pPr>
            <w:r>
              <w:rPr>
                <w:rFonts w:ascii="Arial" w:cs="Arial" w:eastAsia="Arial" w:hAnsi="Arial"/>
                <w:sz w:val="18"/>
                <w:szCs w:val="18"/>
                <w:color w:val="auto"/>
              </w:rPr>
              <w:t>ESPP</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Weighted-average shares used to compute diluted net income per share</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0" w:type="dxa"/>
            <w:vAlign w:val="bottom"/>
          </w:tcPr>
          <w:p>
            <w:pPr>
              <w:ind w:left="5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85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320"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660" w:type="dxa"/>
            <w:vAlign w:val="bottom"/>
            <w:gridSpan w:val="4"/>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4"/>
          </w:tcPr>
          <w:p>
            <w:pPr>
              <w:ind w:left="900"/>
              <w:spacing w:after="0"/>
              <w:rPr>
                <w:sz w:val="20"/>
                <w:szCs w:val="20"/>
                <w:color w:val="auto"/>
              </w:rPr>
            </w:pPr>
            <w:r>
              <w:rPr>
                <w:rFonts w:ascii="Arial" w:cs="Arial" w:eastAsia="Arial" w:hAnsi="Arial"/>
                <w:sz w:val="16"/>
                <w:szCs w:val="16"/>
                <w:b w:val="1"/>
                <w:bCs w:val="1"/>
                <w:color w:val="auto"/>
              </w:rPr>
              <w:t>Six Months Ended</w:t>
            </w:r>
          </w:p>
        </w:tc>
        <w:tc>
          <w:tcPr>
            <w:tcW w:w="400" w:type="dxa"/>
            <w:vAlign w:val="bottom"/>
          </w:tcPr>
          <w:p>
            <w:pPr>
              <w:spacing w:after="0"/>
              <w:rPr>
                <w:sz w:val="18"/>
                <w:szCs w:val="18"/>
                <w:color w:val="auto"/>
              </w:rPr>
            </w:pPr>
          </w:p>
        </w:tc>
      </w:tr>
      <w:tr>
        <w:trPr>
          <w:trHeight w:val="33"/>
        </w:trPr>
        <w:tc>
          <w:tcPr>
            <w:tcW w:w="50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9"/>
        </w:trPr>
        <w:tc>
          <w:tcPr>
            <w:tcW w:w="5080" w:type="dxa"/>
            <w:vAlign w:val="bottom"/>
          </w:tcPr>
          <w:p>
            <w:pPr>
              <w:spacing w:after="0"/>
              <w:rPr>
                <w:sz w:val="18"/>
                <w:szCs w:val="18"/>
                <w:color w:val="auto"/>
              </w:rPr>
            </w:pPr>
          </w:p>
        </w:tc>
        <w:tc>
          <w:tcPr>
            <w:tcW w:w="1060" w:type="dxa"/>
            <w:vAlign w:val="bottom"/>
          </w:tcPr>
          <w:p>
            <w:pPr>
              <w:ind w:left="420"/>
              <w:spacing w:after="0"/>
              <w:rPr>
                <w:sz w:val="20"/>
                <w:szCs w:val="20"/>
                <w:color w:val="auto"/>
              </w:rPr>
            </w:pPr>
            <w:r>
              <w:rPr>
                <w:rFonts w:ascii="Arial" w:cs="Arial" w:eastAsia="Arial" w:hAnsi="Arial"/>
                <w:sz w:val="16"/>
                <w:szCs w:val="16"/>
                <w:b w:val="1"/>
                <w:bCs w:val="1"/>
                <w:color w:val="auto"/>
                <w:w w:val="96"/>
              </w:rPr>
              <w:t>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279"/>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left="279"/>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left="279"/>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8"/>
                <w:szCs w:val="18"/>
                <w:color w:val="auto"/>
              </w:rPr>
            </w:pPr>
          </w:p>
        </w:tc>
      </w:tr>
      <w:tr>
        <w:trPr>
          <w:trHeight w:val="210"/>
        </w:trPr>
        <w:tc>
          <w:tcPr>
            <w:tcW w:w="6140" w:type="dxa"/>
            <w:vAlign w:val="bottom"/>
            <w:gridSpan w:val="2"/>
          </w:tcPr>
          <w:p>
            <w:pPr>
              <w:ind w:left="5660"/>
              <w:spacing w:after="0"/>
              <w:rPr>
                <w:sz w:val="20"/>
                <w:szCs w:val="20"/>
                <w:color w:val="auto"/>
              </w:rPr>
            </w:pPr>
            <w:r>
              <w:rPr>
                <w:rFonts w:ascii="Arial" w:cs="Arial" w:eastAsia="Arial" w:hAnsi="Arial"/>
                <w:sz w:val="16"/>
                <w:szCs w:val="16"/>
                <w:b w:val="1"/>
                <w:bCs w:val="1"/>
                <w:color w:val="auto"/>
              </w:rPr>
              <w:t>2019</w:t>
            </w:r>
          </w:p>
        </w:tc>
        <w:tc>
          <w:tcPr>
            <w:tcW w:w="160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156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15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0.6</w:t>
            </w:r>
          </w:p>
        </w:tc>
      </w:tr>
      <w:tr>
        <w:trPr>
          <w:trHeight w:val="27"/>
        </w:trPr>
        <w:tc>
          <w:tcPr>
            <w:tcW w:w="5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0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ind w:right="1219"/>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jc w:val="right"/>
              <w:ind w:right="1179"/>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3"/>
            <w:shd w:val="clear" w:color="auto" w:fill="CCEEFF"/>
          </w:tcPr>
          <w:p>
            <w:pPr>
              <w:jc w:val="right"/>
              <w:ind w:right="119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57"/>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r>
      <w:tr>
        <w:trPr>
          <w:trHeight w:val="20"/>
        </w:trPr>
        <w:tc>
          <w:tcPr>
            <w:tcW w:w="5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operating leases for offices, research and development facilities and data centers. Our leases have remaining terms that range from less than one year to approximately seven years, some of which include one or more options to renew, with renewal terms of up to five years. We do not include any of our renewal options in our lease terms for calculating our lease liability, as the renewal options allow us to maintain operational flexibility and we are not reasonably certain we will exercise these renewal options at the time of the lease commencement. Our finance leases are not material to our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2000" w:type="dxa"/>
            <w:vAlign w:val="bottom"/>
          </w:tcPr>
          <w:p>
            <w:pPr>
              <w:jc w:val="center"/>
              <w:ind w:left="315"/>
              <w:spacing w:after="0"/>
              <w:rPr>
                <w:sz w:val="20"/>
                <w:szCs w:val="20"/>
                <w:color w:val="auto"/>
              </w:rPr>
            </w:pPr>
            <w:r>
              <w:rPr>
                <w:rFonts w:ascii="Arial" w:cs="Arial" w:eastAsia="Arial" w:hAnsi="Arial"/>
                <w:sz w:val="16"/>
                <w:szCs w:val="16"/>
                <w:b w:val="1"/>
                <w:bCs w:val="1"/>
                <w:color w:val="auto"/>
                <w:w w:val="93"/>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254"/>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65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9"/>
        </w:trPr>
        <w:tc>
          <w:tcPr>
            <w:tcW w:w="6500" w:type="dxa"/>
            <w:vAlign w:val="bottom"/>
          </w:tcPr>
          <w:p>
            <w:pPr>
              <w:spacing w:after="0"/>
              <w:rPr>
                <w:sz w:val="18"/>
                <w:szCs w:val="18"/>
                <w:color w:val="auto"/>
              </w:rPr>
            </w:pPr>
          </w:p>
        </w:tc>
        <w:tc>
          <w:tcPr>
            <w:tcW w:w="2000" w:type="dxa"/>
            <w:vAlign w:val="bottom"/>
          </w:tcPr>
          <w:p>
            <w:pPr>
              <w:jc w:val="center"/>
              <w:ind w:left="275"/>
              <w:spacing w:after="0"/>
              <w:rPr>
                <w:sz w:val="20"/>
                <w:szCs w:val="20"/>
                <w:color w:val="auto"/>
              </w:rPr>
            </w:pPr>
            <w:r>
              <w:rPr>
                <w:rFonts w:ascii="Arial" w:cs="Arial" w:eastAsia="Arial" w:hAnsi="Arial"/>
                <w:sz w:val="16"/>
                <w:szCs w:val="16"/>
                <w:b w:val="1"/>
                <w:bCs w:val="1"/>
                <w:color w:val="auto"/>
                <w:w w:val="87"/>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314"/>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6500" w:type="dxa"/>
            <w:vAlign w:val="bottom"/>
          </w:tcPr>
          <w:p>
            <w:pPr>
              <w:spacing w:after="0"/>
              <w:rPr>
                <w:sz w:val="18"/>
                <w:szCs w:val="18"/>
                <w:color w:val="auto"/>
              </w:rPr>
            </w:pPr>
          </w:p>
        </w:tc>
        <w:tc>
          <w:tcPr>
            <w:tcW w:w="2000" w:type="dxa"/>
            <w:vAlign w:val="bottom"/>
          </w:tcPr>
          <w:p>
            <w:pPr>
              <w:jc w:val="center"/>
              <w:ind w:left="315"/>
              <w:spacing w:after="0"/>
              <w:rPr>
                <w:sz w:val="20"/>
                <w:szCs w:val="20"/>
                <w:color w:val="auto"/>
              </w:rPr>
            </w:pPr>
            <w:r>
              <w:rPr>
                <w:rFonts w:ascii="Arial" w:cs="Arial" w:eastAsia="Arial" w:hAnsi="Arial"/>
                <w:sz w:val="16"/>
                <w:szCs w:val="16"/>
                <w:b w:val="1"/>
                <w:bCs w:val="1"/>
                <w:color w:val="auto"/>
                <w:w w:val="89"/>
              </w:rPr>
              <w:t>2019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jc w:val="center"/>
              <w:ind w:right="254"/>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5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2000" w:type="dxa"/>
            <w:vAlign w:val="bottom"/>
            <w:tcBorders>
              <w:bottom w:val="single" w:sz="8" w:color="CCEEFF"/>
            </w:tcBorders>
            <w:shd w:val="clear" w:color="auto" w:fill="CCEEFF"/>
          </w:tcPr>
          <w:p>
            <w:pPr>
              <w:jc w:val="right"/>
              <w:ind w:right="1795"/>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r>
      <w:tr>
        <w:trPr>
          <w:trHeight w:val="270"/>
        </w:trPr>
        <w:tc>
          <w:tcPr>
            <w:tcW w:w="6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5"/>
                <w:szCs w:val="25"/>
                <w:color w:val="auto"/>
                <w:vertAlign w:val="superscript"/>
              </w:rPr>
              <w:t>(1)</w:t>
            </w:r>
          </w:p>
        </w:tc>
        <w:tc>
          <w:tcPr>
            <w:tcW w:w="2000" w:type="dxa"/>
            <w:vAlign w:val="bottom"/>
          </w:tcPr>
          <w:p>
            <w:pPr>
              <w:spacing w:after="0"/>
              <w:rPr>
                <w:sz w:val="23"/>
                <w:szCs w:val="23"/>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60" w:type="dxa"/>
            <w:vAlign w:val="bottom"/>
          </w:tcPr>
          <w:p>
            <w:pPr>
              <w:jc w:val="right"/>
              <w:ind w:right="34"/>
              <w:spacing w:after="0"/>
              <w:rPr>
                <w:sz w:val="20"/>
                <w:szCs w:val="20"/>
                <w:color w:val="auto"/>
              </w:rPr>
            </w:pPr>
            <w:r>
              <w:rPr>
                <w:rFonts w:ascii="Arial" w:cs="Arial" w:eastAsia="Arial" w:hAnsi="Arial"/>
                <w:sz w:val="18"/>
                <w:szCs w:val="18"/>
                <w:color w:val="auto"/>
              </w:rPr>
              <w:t>1.2</w:t>
            </w: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expense</w:t>
            </w:r>
          </w:p>
        </w:tc>
        <w:tc>
          <w:tcPr>
            <w:tcW w:w="2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r>
      <w:tr>
        <w:trPr>
          <w:trHeight w:val="257"/>
        </w:trPr>
        <w:tc>
          <w:tcPr>
            <w:tcW w:w="6500" w:type="dxa"/>
            <w:vAlign w:val="bottom"/>
          </w:tcPr>
          <w:p>
            <w:pPr>
              <w:ind w:left="380"/>
              <w:spacing w:after="0"/>
              <w:rPr>
                <w:sz w:val="20"/>
                <w:szCs w:val="20"/>
                <w:color w:val="auto"/>
              </w:rPr>
            </w:pPr>
            <w:r>
              <w:rPr>
                <w:rFonts w:ascii="Arial" w:cs="Arial" w:eastAsia="Arial" w:hAnsi="Arial"/>
                <w:sz w:val="18"/>
                <w:szCs w:val="18"/>
                <w:color w:val="auto"/>
              </w:rPr>
              <w:t>Total lease expense</w:t>
            </w:r>
          </w:p>
        </w:tc>
        <w:tc>
          <w:tcPr>
            <w:tcW w:w="2000" w:type="dxa"/>
            <w:vAlign w:val="bottom"/>
            <w:tcBorders>
              <w:top w:val="single" w:sz="8" w:color="auto"/>
              <w:bottom w:val="single" w:sz="8" w:color="auto"/>
            </w:tcBorders>
          </w:tcPr>
          <w:p>
            <w:pPr>
              <w:jc w:val="right"/>
              <w:ind w:right="1795"/>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9.9</w:t>
            </w:r>
          </w:p>
        </w:tc>
      </w:tr>
      <w:tr>
        <w:trPr>
          <w:trHeight w:val="20"/>
        </w:trPr>
        <w:tc>
          <w:tcPr>
            <w:tcW w:w="65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Variable lease expense for the three and six months ended June 30, 2019 predominantly included common area maintenance charges and parking expense.</w:t>
      </w:r>
    </w:p>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Rent expense was $4.6 million and $8.7 million during the three and six months ended June 30, 2018, respectively. Rent expense was recognized in accordance with ASC 840, Leases, using the straight-line method over the term of a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tcPr>
          <w:p>
            <w:pPr>
              <w:jc w:val="right"/>
              <w:ind w:right="83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320" w:type="dxa"/>
            <w:vAlign w:val="bottom"/>
          </w:tcPr>
          <w:p>
            <w:pPr>
              <w:spacing w:after="0"/>
              <w:rPr>
                <w:sz w:val="18"/>
                <w:szCs w:val="18"/>
                <w:color w:val="auto"/>
              </w:rPr>
            </w:pPr>
          </w:p>
        </w:tc>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Classification</w:t>
            </w:r>
          </w:p>
        </w:tc>
        <w:tc>
          <w:tcPr>
            <w:tcW w:w="500" w:type="dxa"/>
            <w:vAlign w:val="bottom"/>
          </w:tcPr>
          <w:p>
            <w:pPr>
              <w:spacing w:after="0"/>
              <w:rPr>
                <w:sz w:val="18"/>
                <w:szCs w:val="18"/>
                <w:color w:val="auto"/>
              </w:rPr>
            </w:pPr>
          </w:p>
        </w:tc>
        <w:tc>
          <w:tcPr>
            <w:tcW w:w="1860" w:type="dxa"/>
            <w:vAlign w:val="bottom"/>
          </w:tcPr>
          <w:p>
            <w:pPr>
              <w:jc w:val="right"/>
              <w:ind w:right="932"/>
              <w:spacing w:after="0"/>
              <w:rPr>
                <w:sz w:val="20"/>
                <w:szCs w:val="20"/>
                <w:color w:val="auto"/>
              </w:rPr>
            </w:pPr>
            <w:r>
              <w:rPr>
                <w:rFonts w:ascii="Arial" w:cs="Arial" w:eastAsia="Arial" w:hAnsi="Arial"/>
                <w:sz w:val="16"/>
                <w:szCs w:val="16"/>
                <w:b w:val="1"/>
                <w:bCs w:val="1"/>
                <w:color w:val="auto"/>
              </w:rPr>
              <w:t>2019</w:t>
            </w:r>
          </w:p>
        </w:tc>
      </w:tr>
      <w:tr>
        <w:trPr>
          <w:trHeight w:val="33"/>
        </w:trPr>
        <w:tc>
          <w:tcPr>
            <w:tcW w:w="632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 - non-current</w:t>
            </w: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37.3</w:t>
            </w:r>
          </w:p>
        </w:tc>
      </w:tr>
      <w:tr>
        <w:trPr>
          <w:trHeight w:val="20"/>
        </w:trPr>
        <w:tc>
          <w:tcPr>
            <w:tcW w:w="6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84"/>
        </w:trPr>
        <w:tc>
          <w:tcPr>
            <w:tcW w:w="6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current</w:t>
            </w: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11.7</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Operating lease liabilities - non-current</w:t>
            </w:r>
          </w:p>
        </w:tc>
        <w:tc>
          <w:tcPr>
            <w:tcW w:w="27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21"/>
                <w:szCs w:val="21"/>
                <w:color w:val="auto"/>
              </w:rPr>
            </w:pPr>
          </w:p>
        </w:tc>
        <w:tc>
          <w:tcPr>
            <w:tcW w:w="1860" w:type="dxa"/>
            <w:vAlign w:val="bottom"/>
          </w:tcPr>
          <w:p>
            <w:pPr>
              <w:jc w:val="right"/>
              <w:ind w:right="112"/>
              <w:spacing w:after="0"/>
              <w:rPr>
                <w:sz w:val="20"/>
                <w:szCs w:val="20"/>
                <w:color w:val="auto"/>
              </w:rPr>
            </w:pPr>
            <w:r>
              <w:rPr>
                <w:rFonts w:ascii="Arial" w:cs="Arial" w:eastAsia="Arial" w:hAnsi="Arial"/>
                <w:sz w:val="18"/>
                <w:szCs w:val="18"/>
                <w:color w:val="auto"/>
              </w:rPr>
              <w:t>25.8</w:t>
            </w:r>
          </w:p>
        </w:tc>
      </w:tr>
      <w:tr>
        <w:trPr>
          <w:trHeight w:val="27"/>
        </w:trPr>
        <w:tc>
          <w:tcPr>
            <w:tcW w:w="63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lease liabilities</w:t>
            </w:r>
          </w:p>
        </w:tc>
        <w:tc>
          <w:tcPr>
            <w:tcW w:w="27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37.5</w:t>
            </w:r>
          </w:p>
        </w:tc>
      </w:tr>
      <w:tr>
        <w:trPr>
          <w:trHeight w:val="20"/>
        </w:trPr>
        <w:tc>
          <w:tcPr>
            <w:tcW w:w="6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84"/>
        </w:trPr>
        <w:tc>
          <w:tcPr>
            <w:tcW w:w="63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 - operating leases</w:t>
            </w:r>
          </w:p>
        </w:tc>
        <w:tc>
          <w:tcPr>
            <w:tcW w:w="27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w:t>
            </w: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color w:val="auto"/>
              </w:rPr>
              <w:t>Weighted average discount rate - operating leases</w:t>
            </w:r>
          </w:p>
        </w:tc>
        <w:tc>
          <w:tcPr>
            <w:tcW w:w="2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125" w:right="2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center"/>
              <w:ind w:right="234"/>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33"/>
        </w:trPr>
        <w:tc>
          <w:tcPr>
            <w:tcW w:w="9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center"/>
              <w:ind w:right="274"/>
              <w:spacing w:after="0"/>
              <w:rPr>
                <w:sz w:val="20"/>
                <w:szCs w:val="20"/>
                <w:color w:val="auto"/>
              </w:rPr>
            </w:pPr>
            <w:r>
              <w:rPr>
                <w:rFonts w:ascii="Arial" w:cs="Arial" w:eastAsia="Arial" w:hAnsi="Arial"/>
                <w:sz w:val="16"/>
                <w:szCs w:val="16"/>
                <w:b w:val="1"/>
                <w:bCs w:val="1"/>
                <w:color w:val="auto"/>
                <w:w w:val="87"/>
              </w:rPr>
              <w:t>June 30,</w:t>
            </w:r>
          </w:p>
        </w:tc>
        <w:tc>
          <w:tcPr>
            <w:tcW w:w="0" w:type="dxa"/>
            <w:vAlign w:val="bottom"/>
          </w:tcPr>
          <w:p>
            <w:pPr>
              <w:spacing w:after="0"/>
              <w:rPr>
                <w:sz w:val="1"/>
                <w:szCs w:val="1"/>
                <w:color w:val="auto"/>
              </w:rPr>
            </w:pPr>
          </w:p>
        </w:tc>
      </w:tr>
      <w:tr>
        <w:trPr>
          <w:trHeight w:val="210"/>
        </w:trPr>
        <w:tc>
          <w:tcPr>
            <w:tcW w:w="9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center"/>
              <w:ind w:right="234"/>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9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cash flows used for operating leases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84"/>
        </w:trPr>
        <w:tc>
          <w:tcPr>
            <w:tcW w:w="9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120" w:type="dxa"/>
            <w:vAlign w:val="bottom"/>
          </w:tcPr>
          <w:p>
            <w:pPr>
              <w:ind w:left="4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3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660"/>
              <w:spacing w:after="0"/>
              <w:rPr>
                <w:sz w:val="20"/>
                <w:szCs w:val="20"/>
                <w:color w:val="auto"/>
              </w:rPr>
            </w:pPr>
            <w:r>
              <w:rPr>
                <w:rFonts w:ascii="Arial" w:cs="Arial" w:eastAsia="Arial" w:hAnsi="Arial"/>
                <w:sz w:val="18"/>
                <w:szCs w:val="18"/>
                <w:color w:val="auto"/>
              </w:rPr>
              <w:t>Maturities of operating lease liabilities as of June 30, 2019 were as follows (in millions):</w:t>
            </w: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12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tcPr>
          <w:p>
            <w:pPr>
              <w:spacing w:after="0"/>
              <w:rPr>
                <w:sz w:val="24"/>
                <w:szCs w:val="24"/>
                <w:color w:val="auto"/>
              </w:rPr>
            </w:pPr>
          </w:p>
        </w:tc>
        <w:tc>
          <w:tcPr>
            <w:tcW w:w="1960" w:type="dxa"/>
            <w:vAlign w:val="bottom"/>
          </w:tcPr>
          <w:p>
            <w:pPr>
              <w:jc w:val="center"/>
              <w:ind w:right="234"/>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 (the remainder of 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8.8</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3.7</w:t>
      </w:r>
    </w:p>
    <w:p>
      <w:pPr>
        <w:spacing w:after="0" w:line="6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2947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39.9</w:t>
      </w:r>
    </w:p>
    <w:p>
      <w:pPr>
        <w:spacing w:after="0" w:line="63"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46355</wp:posOffset>
            </wp:positionV>
            <wp:extent cx="72294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80"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48895</wp:posOffset>
            </wp:positionV>
            <wp:extent cx="14408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40" w:space="720"/>
            <w:col w:w="2240"/>
          </w:cols>
          <w:pgMar w:left="240" w:top="125" w:right="259" w:bottom="1440" w:gutter="0" w:footer="0" w:header="0"/>
          <w:type w:val="continuous"/>
        </w:sectPr>
      </w:pPr>
    </w:p>
    <w:p>
      <w:pPr>
        <w:spacing w:after="0" w:line="29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June 30, 2019, we had additional minimum lease payments of $2.4 million relating to operating leases that had been signed but had not yet commenced and therefore were excluded from the table above. These leases will commence during 2019 and will have lease terms of approximately two to five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future principal contractual obligations for operating lease commitments as of December 31, 2018 (in millions):</w:t>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9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9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0"/>
        </w:trPr>
        <w:tc>
          <w:tcPr>
            <w:tcW w:w="9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Total future principal contractual obligations for operating lease commitments as of December 31, 2018 exceeded our undiscounted lease liability as of the Topic 842 adoption date, primarily because the lease liability excluded short-term lease payments due to the adoption of the short-term lease exemption and excluded minimum lease payments relating to an operating lease that had been signed but had not yet commenced.</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125" w:right="2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June 30, 2019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Arial" w:cs="Arial" w:eastAsia="Arial" w:hAnsi="Arial"/>
                <w:sz w:val="16"/>
                <w:szCs w:val="16"/>
                <w:b w:val="1"/>
                <w:bCs w:val="1"/>
                <w:color w:val="auto"/>
              </w:rPr>
              <w:t>Total</w:t>
            </w:r>
          </w:p>
        </w:tc>
        <w:tc>
          <w:tcPr>
            <w:tcW w:w="380" w:type="dxa"/>
            <w:vAlign w:val="bottom"/>
          </w:tcPr>
          <w:p>
            <w:pPr>
              <w:spacing w:after="0"/>
              <w:rPr>
                <w:sz w:val="18"/>
                <w:szCs w:val="18"/>
                <w:color w:val="auto"/>
              </w:rPr>
            </w:pPr>
          </w:p>
        </w:tc>
        <w:tc>
          <w:tcPr>
            <w:tcW w:w="9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1240" w:type="dxa"/>
            <w:vAlign w:val="bottom"/>
          </w:tcPr>
          <w:p>
            <w:pPr>
              <w:jc w:val="right"/>
              <w:ind w:right="694"/>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694"/>
              <w:spacing w:after="0"/>
              <w:rPr>
                <w:sz w:val="20"/>
                <w:szCs w:val="20"/>
                <w:color w:val="auto"/>
              </w:rPr>
            </w:pPr>
            <w:r>
              <w:rPr>
                <w:rFonts w:ascii="Arial" w:cs="Arial" w:eastAsia="Arial" w:hAnsi="Arial"/>
                <w:sz w:val="16"/>
                <w:szCs w:val="16"/>
                <w:b w:val="1"/>
                <w:bCs w:val="1"/>
                <w:color w:val="auto"/>
              </w:rPr>
              <w:t>2022</w:t>
            </w:r>
          </w:p>
        </w:tc>
        <w:tc>
          <w:tcPr>
            <w:tcW w:w="1140" w:type="dxa"/>
            <w:vAlign w:val="bottom"/>
          </w:tcPr>
          <w:p>
            <w:pPr>
              <w:jc w:val="right"/>
              <w:ind w:right="574"/>
              <w:spacing w:after="0"/>
              <w:rPr>
                <w:sz w:val="20"/>
                <w:szCs w:val="20"/>
                <w:color w:val="auto"/>
              </w:rPr>
            </w:pPr>
            <w:r>
              <w:rPr>
                <w:rFonts w:ascii="Arial" w:cs="Arial" w:eastAsia="Arial" w:hAnsi="Arial"/>
                <w:sz w:val="16"/>
                <w:szCs w:val="16"/>
                <w:b w:val="1"/>
                <w:bCs w:val="1"/>
                <w:color w:val="auto"/>
              </w:rPr>
              <w:t>2023</w:t>
            </w: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218.9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208.1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June 30, 2019, we had $218.9 million of open purchase orders with our independent contract manufacturers that may not be cancelable.</w:t>
      </w:r>
    </w:p>
    <w:p>
      <w:pPr>
        <w:spacing w:after="0" w:line="141"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June 30, 2019, we had $22.8 million in other contractual commitments having a remaining term in excess of one year that may not be cancelable.</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w:t>
      </w:r>
    </w:p>
    <w:p>
      <w:pPr>
        <w:spacing w:after="0" w:line="160"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b w:val="1"/>
          <w:bCs w:val="1"/>
          <w:color w:val="auto"/>
        </w:rPr>
        <w:t>Indemnification and other matters</w:t>
      </w:r>
      <w:r>
        <w:rPr>
          <w:rFonts w:ascii="Arial" w:cs="Arial" w:eastAsia="Arial" w:hAnsi="Arial"/>
          <w:sz w:val="16"/>
          <w:szCs w:val="16"/>
          <w:color w:val="auto"/>
        </w:rPr>
        <w:t>—Under the indemnification provisions of our standard sales contracts, we agree to defend our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third-party claims 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although from time to time there are indemnification claims asserted against us and currently there are pending indemnification claims, there have been no material awards under such indemnification provisions.</w:t>
      </w:r>
    </w:p>
    <w:p>
      <w:pPr>
        <w:spacing w:after="0" w:line="16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Periodically we, like other security companies and companies in other industries, may experience cybersecurity threats, threats to our information technology infrastructure and unauthorized attempts to gain access to our and our customers’ sensitive information and systems. For example, in the second quarter of 2019, we discovered that an unauthorized party illegally targeted us using sophisticated techniques, such as stealing technical data in order to both impersonate our firewall update servers and possibly attempt other attack methodologies, in an effort to try to gain access to certain of our customers’ systems. We are in the process of investigating and evaluating this matter, and, although at this time there can be no assurances as to the outcome and impact of this matter, which are currently not determinable and not predictable, we currently are unaware of any existing claims or proceedings related to this matter, including any that we believe are likely to have a material adverse effect on our financial position. There are many uncertainties associated with these types of incidents and possible impacts associated with a cybersecurity attack or other events may include remediation costs related to lost, stolen or compromised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data, repairs to data processing systems, increased cybersecurity protection costs, adverse effects on our compliance with laws and regulations, litigation and reputational damage.</w:t>
      </w:r>
    </w:p>
    <w:p>
      <w:pPr>
        <w:spacing w:after="0" w:line="16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have stock-based compensation plans pursuant to which we have granted RSUs and stock options. We also previously had an ESPP for eligible employees, which was terminated in February 2019.</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June 21, 2019, our stockholders approved the Amended and Restated Fortinet, Inc. 2009 Equity Incentive Plan (the “Amended Plan”). Among other things, the Amended Plan provided for a net decrease in the number of shares of common stock that were authorized and available for issuance pursuant to future awards granted on or following the effective date of the Amended Plan. On June 28, 2019, we deregistered from various registration statements on Form S-8 an aggregate of 46.2 million shares of common stock that were originally registered for issuance under our 2009 Equity Incentive Plan.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2019, there was a total of 13.5 million shares of common stock available for grant under the Amended Plan.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70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52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3"/>
              <w:spacing w:after="0"/>
              <w:rPr>
                <w:sz w:val="20"/>
                <w:szCs w:val="20"/>
                <w:color w:val="auto"/>
              </w:rPr>
            </w:pPr>
            <w:r>
              <w:rPr>
                <w:rFonts w:ascii="Arial" w:cs="Arial" w:eastAsia="Arial" w:hAnsi="Arial"/>
                <w:sz w:val="16"/>
                <w:szCs w:val="16"/>
                <w:b w:val="1"/>
                <w:bCs w:val="1"/>
                <w:color w:val="auto"/>
              </w:rPr>
              <w:t>Share</w:t>
            </w:r>
          </w:p>
        </w:tc>
      </w:tr>
      <w:tr>
        <w:trPr>
          <w:trHeight w:val="33"/>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46.07</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84.44</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51.38</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42.40</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2019</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56.68</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As of June 30, 2019, total compensation expense related to unvested RSUs granted to employees and non-employees under the 2009 Plan, but not yet recognized, was $360.8 million. This expense is expected to be amortized on a straight-line basis over a weighted-average vesting period of 2.9 years.</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 requirement. Total payment of the employees’ tax obligations to the tax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60" w:type="dxa"/>
            <w:vAlign w:val="bottom"/>
            <w:gridSpan w:val="4"/>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40" w:type="dxa"/>
            <w:vAlign w:val="bottom"/>
          </w:tcPr>
          <w:p>
            <w:pPr>
              <w:ind w:left="440"/>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336"/>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040" w:type="dxa"/>
            <w:vAlign w:val="bottom"/>
          </w:tcPr>
          <w:p>
            <w:pPr>
              <w:jc w:val="right"/>
              <w:ind w:right="835"/>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24.5</w:t>
            </w:r>
          </w:p>
        </w:tc>
        <w:tc>
          <w:tcPr>
            <w:tcW w:w="12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13.3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32.5</w:t>
            </w:r>
          </w:p>
        </w:tc>
      </w:tr>
      <w:tr>
        <w:trPr>
          <w:trHeight w:val="918"/>
        </w:trPr>
        <w:tc>
          <w:tcPr>
            <w:tcW w:w="5160" w:type="dxa"/>
            <w:vAlign w:val="bottom"/>
          </w:tcPr>
          <w:p>
            <w:pPr>
              <w:spacing w:after="0"/>
              <w:rPr>
                <w:sz w:val="24"/>
                <w:szCs w:val="24"/>
                <w:color w:val="auto"/>
              </w:rPr>
            </w:pPr>
          </w:p>
        </w:tc>
        <w:tc>
          <w:tcPr>
            <w:tcW w:w="1040" w:type="dxa"/>
            <w:vAlign w:val="bottom"/>
          </w:tcPr>
          <w:p>
            <w:pPr>
              <w:ind w:left="46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26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80" w:type="dxa"/>
            <w:vAlign w:val="bottom"/>
            <w:gridSpan w:val="3"/>
          </w:tcPr>
          <w:p>
            <w:pPr>
              <w:jc w:val="right"/>
              <w:ind w:right="85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98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4980" w:type="dxa"/>
            <w:vAlign w:val="bottom"/>
          </w:tcPr>
          <w:p>
            <w:pPr>
              <w:spacing w:after="0"/>
              <w:rPr>
                <w:sz w:val="18"/>
                <w:szCs w:val="18"/>
                <w:color w:val="auto"/>
              </w:rPr>
            </w:pPr>
          </w:p>
        </w:tc>
        <w:tc>
          <w:tcPr>
            <w:tcW w:w="1640" w:type="dxa"/>
            <w:vAlign w:val="bottom"/>
            <w:gridSpan w:val="2"/>
          </w:tcPr>
          <w:p>
            <w:pPr>
              <w:ind w:left="460"/>
              <w:spacing w:after="0"/>
              <w:rPr>
                <w:sz w:val="20"/>
                <w:szCs w:val="20"/>
                <w:color w:val="auto"/>
              </w:rPr>
            </w:pPr>
            <w:r>
              <w:rPr>
                <w:rFonts w:ascii="Arial" w:cs="Arial" w:eastAsia="Arial" w:hAnsi="Arial"/>
                <w:sz w:val="16"/>
                <w:szCs w:val="16"/>
                <w:b w:val="1"/>
                <w:bCs w:val="1"/>
                <w:color w:val="auto"/>
              </w:rPr>
              <w:t>June 30,</w:t>
            </w: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640" w:type="dxa"/>
            <w:vAlign w:val="bottom"/>
            <w:gridSpan w:val="2"/>
          </w:tcPr>
          <w:p>
            <w:pPr>
              <w:ind w:left="460"/>
              <w:spacing w:after="0"/>
              <w:rPr>
                <w:sz w:val="20"/>
                <w:szCs w:val="20"/>
                <w:color w:val="auto"/>
              </w:rPr>
            </w:pPr>
            <w:r>
              <w:rPr>
                <w:rFonts w:ascii="Arial" w:cs="Arial" w:eastAsia="Arial" w:hAnsi="Arial"/>
                <w:sz w:val="16"/>
                <w:szCs w:val="16"/>
                <w:b w:val="1"/>
                <w:bCs w:val="1"/>
                <w:color w:val="auto"/>
              </w:rPr>
              <w:t>June 30,</w:t>
            </w:r>
          </w:p>
        </w:tc>
        <w:tc>
          <w:tcPr>
            <w:tcW w:w="1540" w:type="dxa"/>
            <w:vAlign w:val="bottom"/>
          </w:tcPr>
          <w:p>
            <w:pPr>
              <w:jc w:val="right"/>
              <w:ind w:right="41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4980" w:type="dxa"/>
            <w:vAlign w:val="bottom"/>
          </w:tcPr>
          <w:p>
            <w:pPr>
              <w:spacing w:after="0"/>
              <w:rPr>
                <w:sz w:val="18"/>
                <w:szCs w:val="18"/>
                <w:color w:val="auto"/>
              </w:rPr>
            </w:pPr>
          </w:p>
        </w:tc>
        <w:tc>
          <w:tcPr>
            <w:tcW w:w="1520" w:type="dxa"/>
            <w:vAlign w:val="bottom"/>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52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r>
      <w:tr>
        <w:trPr>
          <w:trHeight w:val="33"/>
        </w:trPr>
        <w:tc>
          <w:tcPr>
            <w:tcW w:w="49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52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84.42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Balance—June 30, 2019</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47.94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vest—June 30, 2019</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47.94</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89.9</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exercisable—June 30, 2019</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59.5</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aggregate intrinsic value represents the difference between the exercise price of stock options and the quoted market price of our common stock on June 30, 2019 for all in-the-money stock options. As of June 30, 2019, total compensation expense related to unvested stock options granted to employees but not yet recognized was $28.8 million. This expense is expected to be amortized on a straight-line basis over a weighted-average period of 3.0 years.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15.21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r>
      <w:tr>
        <w:trPr>
          <w:trHeight w:val="89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60" w:type="dxa"/>
            <w:vAlign w:val="bottom"/>
            <w:gridSpan w:val="4"/>
          </w:tcPr>
          <w:p>
            <w:pPr>
              <w:jc w:val="right"/>
              <w:ind w:right="274"/>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26.3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44.5</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45.0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40.6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77.1</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60" w:type="dxa"/>
            <w:vAlign w:val="bottom"/>
            <w:gridSpan w:val="4"/>
          </w:tcPr>
          <w:p>
            <w:pPr>
              <w:jc w:val="right"/>
              <w:ind w:right="274"/>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jc w:val="right"/>
              <w:ind w:right="354"/>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5"/>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5"/>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81.1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67.9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0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5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45.0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40.6</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88.0</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77.1</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income is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700" w:type="dxa"/>
            <w:vAlign w:val="bottom"/>
            <w:gridSpan w:val="4"/>
          </w:tcPr>
          <w:p>
            <w:pPr>
              <w:jc w:val="right"/>
              <w:ind w:right="316"/>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jc w:val="right"/>
              <w:ind w:right="356"/>
              <w:spacing w:after="0"/>
              <w:rPr>
                <w:sz w:val="20"/>
                <w:szCs w:val="20"/>
                <w:color w:val="auto"/>
              </w:rPr>
            </w:pPr>
            <w:r>
              <w:rPr>
                <w:rFonts w:ascii="Arial" w:cs="Arial" w:eastAsia="Arial" w:hAnsi="Arial"/>
                <w:sz w:val="16"/>
                <w:szCs w:val="16"/>
                <w:b w:val="1"/>
                <w:bCs w:val="1"/>
                <w:color w:val="auto"/>
              </w:rPr>
              <w:t>Six Months Ended</w:t>
            </w:r>
          </w:p>
        </w:tc>
        <w:tc>
          <w:tcPr>
            <w:tcW w:w="4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040" w:type="dxa"/>
            <w:vAlign w:val="bottom"/>
          </w:tcPr>
          <w:p>
            <w:pPr>
              <w:jc w:val="center"/>
              <w:ind w:left="337"/>
              <w:spacing w:after="0"/>
              <w:rPr>
                <w:sz w:val="20"/>
                <w:szCs w:val="20"/>
                <w:color w:val="auto"/>
              </w:rPr>
            </w:pPr>
            <w:r>
              <w:rPr>
                <w:rFonts w:ascii="Arial" w:cs="Arial" w:eastAsia="Arial" w:hAnsi="Arial"/>
                <w:sz w:val="16"/>
                <w:szCs w:val="16"/>
                <w:b w:val="1"/>
                <w:bCs w:val="1"/>
                <w:color w:val="auto"/>
                <w:w w:val="90"/>
              </w:rPr>
              <w:t>June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296"/>
              <w:spacing w:after="0"/>
              <w:rPr>
                <w:sz w:val="20"/>
                <w:szCs w:val="20"/>
                <w:color w:val="auto"/>
              </w:rPr>
            </w:pPr>
            <w:r>
              <w:rPr>
                <w:rFonts w:ascii="Arial" w:cs="Arial" w:eastAsia="Arial" w:hAnsi="Arial"/>
                <w:sz w:val="16"/>
                <w:szCs w:val="16"/>
                <w:b w:val="1"/>
                <w:bCs w:val="1"/>
                <w:color w:val="auto"/>
                <w:w w:val="90"/>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337"/>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left="336"/>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r>
      <w:tr>
        <w:trPr>
          <w:trHeight w:val="210"/>
        </w:trPr>
        <w:tc>
          <w:tcPr>
            <w:tcW w:w="516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96"/>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7"/>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6"/>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1"/>
              </w:rPr>
              <w:t>10.4</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20.4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1"/>
              </w:rPr>
              <w:t>12.1</w:t>
            </w:r>
          </w:p>
        </w:tc>
      </w:tr>
      <w:tr>
        <w:trPr>
          <w:trHeight w:val="27"/>
        </w:trPr>
        <w:tc>
          <w:tcPr>
            <w:tcW w:w="5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Share Repurchase Program originally approved by our board of directors in January 2016 (the “Repurchase Program”), the repurchase of up to $1.5 billion of our outstanding common stock is authorized through December 31, 2019.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and six months ended June 30, 2019, we repurchased 0.5 million and 1.3 million shares of common stock, respectively, under the Repurchase Program in open market transactions at an average price of $73.48 per share and $72.68 per share, respectively, for an aggregate purchase price of $34.8 million and $91.1 million, respectively. As of June 30, 2019, $642.7 million remained available for future share repurchases under the Repurchase Program.</w:t>
      </w:r>
    </w:p>
    <w:p>
      <w:pPr>
        <w:spacing w:after="0" w:line="18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effective tax rate was 15% for the three months ended June 30, 2019, compared to an effective tax rate of 4% for the same period last year. Our effective tax rate was 10% for the six months ended June 30, 2019, compared to an effective tax rate benefit of 3% for the same period last year. The effective tax rates for the periods presented are primarily comprised of U.S. federal and state taxes, withholding taxes, foreign taxes and excess tax benefits from stock-based compensation expense. The tax rates for the three months ended June 30, 2019 and June 30, 2018 were impacted by U.S. federal and state taxes, withholding taxes and foreign taxes of $24.5 million and $17.2 million, respectively, which were offset by excess tax benefits</w:t>
      </w:r>
    </w:p>
    <w:p>
      <w:pPr>
        <w:sectPr>
          <w:pgSz w:w="11900" w:h="16838" w:orient="portrait"/>
          <w:cols w:equalWidth="0" w:num="1">
            <w:col w:w="11420"/>
          </w:cols>
          <w:pgMar w:left="240" w:top="125"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from stock-based compensation expense of $11.7 million and $4.9 million, respectively. The tax rate for the three months ended June 30, 2019 was impacted by an increase in tax expense of $10.3 million for an unrecognized tax benefit related to the Court of Appeals for the Ninth Circuit’s opinion on Altera Corporation and Subsidiaries vs. Commissioner of Internal Revenue (“Altera”) described below regarding stock-based compensation expense in cost sharing arrangements. This expense was offset by release of reserves of $10.0 million on uncertain tax positions and the interest due to the expiration of the statute of limitations. The tax rate for the three months ended June 30, 2018 was also impacted by release of a reserve on uncertain tax position including interest of $10.1 million.</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tax rates for the six months ended June 30, 2019 and June 30, 2018 were impacted by U.S. federal and state taxes, withholding taxes and foreign taxes of $42.0 million and $25.7 million, respectively, which were offset by excess tax benefits from stock-based compensation expense of $27.7 million and $10.5 million, respectively. The tax rate for the six months ended June 30, 2019 was impacted by an increase in tax expense of $10.3 million for an unrecognized tax benefit related to the Ninth Circuit’s Altera decision described below, regarding stock-based compensation expense in cost sharing arrangements. This expense was offset by release of reserves of $10.0 million on uncertain tax positions and the interest due to the expiration of the statute of limitations. The tax rate for the six months ended June 30, 2018 was also impacted by release of a reserve on uncertain tax position including interest of $18.0 million.</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June 30, 2019 and December 31, 2018, unrecognized tax benefits were $67.8 million and $63.5 million, respectively. If recognized, an amount of $62.9 million of the unrecognized tax benefits would favorably affect our effective tax rate. It is our policy to include accrued interest and penalties related to uncertain tax benefits in income tax expense. As of June 30, 2019 and December 31, 2018, accrued interest and penalties were $12.8 million and $11.6 million, respectively. It is reasonably possible that our gross unrecognized tax benefits will decrease by up to $9.0 million in the next 12 months, due to the lapse of the statute of limitations. These adjustments, if recognized, would positively impact our effective tax rate, and would be recognized as additional tax benefits.</w:t>
      </w:r>
    </w:p>
    <w:p>
      <w:pPr>
        <w:spacing w:after="0" w:line="193"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foreign income tax examinations by tax authorities for tax years prior to 2010. We are no longer subject to examination by U.S federal income tax authorities for tax years prior to 2015. We currently have ongoing tax audits in the United Kingdom, Canada and several other foreign jurisdictions. The focus of these audits is the inter-company profit allocation.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June 7, 2019, the Ninth Circuit overturned the U.S. Tax Court’s decision on Altera and ruled in favor of the Commissioner, validating the regulations requiring stock-based compensation to be included in a cost sharing arrangement. Due to the uncertainty surrounding the status of the current regulations and questions related to the scope of potential benefits or obligations, we increased an unrecognized tax benefit of $10.3 million related to the Ninth Circuit’s Altera decision regarding stock-based compensation in cost sharing arrangements. We continue to monitor developments in this case and any impact it could have on our tax provision.</w:t>
      </w:r>
    </w:p>
    <w:p>
      <w:pPr>
        <w:spacing w:after="0" w:line="18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the three months ended June 30, 2019 and June 30, 2018 were $1.7 million and $1.5 million, respectively. Our matching contributions to our 401(k) Plan and the RRSP for the six months ended June 30, 2019 and June 30, 2018 were $3.4 million and $3.0 million, respectively.</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8"/>
                <w:szCs w:val="18"/>
                <w:color w:val="auto"/>
              </w:rPr>
            </w:pPr>
          </w:p>
        </w:tc>
        <w:tc>
          <w:tcPr>
            <w:tcW w:w="2780" w:type="dxa"/>
            <w:vAlign w:val="bottom"/>
            <w:gridSpan w:val="4"/>
          </w:tcPr>
          <w:p>
            <w:pPr>
              <w:jc w:val="right"/>
              <w:ind w:right="79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8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June 30,</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5"/>
                <w:szCs w:val="15"/>
                <w:color w:val="auto"/>
              </w:rPr>
            </w:pPr>
          </w:p>
        </w:tc>
        <w:tc>
          <w:tcPr>
            <w:tcW w:w="1220" w:type="dxa"/>
            <w:vAlign w:val="bottom"/>
          </w:tcPr>
          <w:p>
            <w:pPr>
              <w:jc w:val="right"/>
              <w:ind w:right="493"/>
              <w:spacing w:after="0" w:line="176" w:lineRule="exact"/>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93"/>
              <w:spacing w:after="0" w:line="176"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45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278.5</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40" w:type="dxa"/>
            <w:vAlign w:val="bottom"/>
            <w:shd w:val="clear" w:color="auto" w:fill="CCEEFF"/>
          </w:tcPr>
          <w:p>
            <w:pPr>
              <w:spacing w:after="0"/>
              <w:rPr>
                <w:sz w:val="22"/>
                <w:szCs w:val="22"/>
                <w:color w:val="auto"/>
              </w:rPr>
            </w:pPr>
          </w:p>
        </w:tc>
        <w:tc>
          <w:tcPr>
            <w:tcW w:w="5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Other Americas </w:t>
            </w:r>
            <w:r>
              <w:rPr>
                <w:rFonts w:ascii="Arial" w:cs="Arial" w:eastAsia="Arial" w:hAnsi="Arial"/>
                <w:sz w:val="18"/>
                <w:szCs w:val="18"/>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365.1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308.9</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Asia Pacific (“APAC”)</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166.3</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521.7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840.3</w:t>
            </w:r>
          </w:p>
        </w:tc>
      </w:tr>
    </w:tbl>
    <w:p>
      <w:pPr>
        <w:spacing w:after="0" w:line="8" w:lineRule="exact"/>
        <w:rPr>
          <w:sz w:val="20"/>
          <w:szCs w:val="20"/>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 2019, Canada and Latin America revenue were combined and presented as Other Americas. Prior periods have been reclassified to conform with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8120" w:type="dxa"/>
            <w:vAlign w:val="bottom"/>
            <w:gridSpan w:val="3"/>
            <w:vMerge w:val="continue"/>
          </w:tcPr>
          <w:p>
            <w:pPr>
              <w:spacing w:after="0"/>
              <w:rPr>
                <w:sz w:val="15"/>
                <w:szCs w:val="15"/>
                <w:color w:val="auto"/>
              </w:rPr>
            </w:pPr>
          </w:p>
        </w:tc>
        <w:tc>
          <w:tcPr>
            <w:tcW w:w="1080" w:type="dxa"/>
            <w:vAlign w:val="bottom"/>
          </w:tcPr>
          <w:p>
            <w:pPr>
              <w:jc w:val="right"/>
              <w:ind w:right="34"/>
              <w:spacing w:after="0" w:line="176" w:lineRule="exact"/>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596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1080" w:type="dxa"/>
            <w:vAlign w:val="bottom"/>
          </w:tcPr>
          <w:p>
            <w:pPr>
              <w:jc w:val="right"/>
              <w:ind w:right="89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148.3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Latin America</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62"/>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8"/>
                <w:szCs w:val="18"/>
                <w:color w:val="auto"/>
                <w:vertAlign w:val="superscript"/>
              </w:rPr>
              <w:t>(1)</w:t>
            </w:r>
          </w:p>
        </w:tc>
        <w:tc>
          <w:tcPr>
            <w:tcW w:w="1080" w:type="dxa"/>
            <w:vAlign w:val="bottom"/>
          </w:tcPr>
          <w:p>
            <w:pPr>
              <w:spacing w:after="0"/>
              <w:rPr>
                <w:sz w:val="22"/>
                <w:szCs w:val="22"/>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8"/>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10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108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284.7</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5" w:lineRule="exact"/>
        <w:rPr>
          <w:sz w:val="20"/>
          <w:szCs w:val="20"/>
          <w:color w:val="auto"/>
        </w:rPr>
      </w:pPr>
    </w:p>
    <w:p>
      <w:pPr>
        <w:ind w:left="180" w:hanging="145"/>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In 2019, France and Other EMEA property and equipment were combined and presented as EMEA. Prior periods have been reclassified to conform with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-98425</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72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gridSpan w:val="3"/>
          </w:tcPr>
          <w:p>
            <w:pPr>
              <w:jc w:val="right"/>
              <w:ind w:right="85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4980" w:type="dxa"/>
            <w:vAlign w:val="bottom"/>
          </w:tcPr>
          <w:p>
            <w:pPr>
              <w:spacing w:after="0"/>
              <w:rPr>
                <w:sz w:val="18"/>
                <w:szCs w:val="18"/>
                <w:color w:val="auto"/>
              </w:rPr>
            </w:pPr>
          </w:p>
        </w:tc>
        <w:tc>
          <w:tcPr>
            <w:tcW w:w="1100" w:type="dxa"/>
            <w:vAlign w:val="bottom"/>
          </w:tcPr>
          <w:p>
            <w:pPr>
              <w:jc w:val="center"/>
              <w:ind w:left="299"/>
              <w:spacing w:after="0"/>
              <w:rPr>
                <w:sz w:val="20"/>
                <w:szCs w:val="20"/>
                <w:color w:val="auto"/>
              </w:rPr>
            </w:pPr>
            <w:r>
              <w:rPr>
                <w:rFonts w:ascii="Arial" w:cs="Arial" w:eastAsia="Arial" w:hAnsi="Arial"/>
                <w:sz w:val="16"/>
                <w:szCs w:val="16"/>
                <w:b w:val="1"/>
                <w:bCs w:val="1"/>
                <w:color w:val="auto"/>
                <w:w w:val="87"/>
              </w:rPr>
              <w:t>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left="299"/>
              <w:spacing w:after="0"/>
              <w:rPr>
                <w:sz w:val="20"/>
                <w:szCs w:val="20"/>
                <w:color w:val="auto"/>
              </w:rPr>
            </w:pPr>
            <w:r>
              <w:rPr>
                <w:rFonts w:ascii="Arial" w:cs="Arial" w:eastAsia="Arial" w:hAnsi="Arial"/>
                <w:sz w:val="16"/>
                <w:szCs w:val="16"/>
                <w:b w:val="1"/>
                <w:bCs w:val="1"/>
                <w:color w:val="auto"/>
                <w:w w:val="90"/>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ind w:left="460"/>
              <w:spacing w:after="0"/>
              <w:rPr>
                <w:sz w:val="20"/>
                <w:szCs w:val="20"/>
                <w:color w:val="auto"/>
              </w:rPr>
            </w:pPr>
            <w:r>
              <w:rPr>
                <w:rFonts w:ascii="Arial" w:cs="Arial" w:eastAsia="Arial" w:hAnsi="Arial"/>
                <w:sz w:val="16"/>
                <w:szCs w:val="16"/>
                <w:b w:val="1"/>
                <w:bCs w:val="1"/>
                <w:color w:val="auto"/>
              </w:rPr>
              <w:t>June 30,</w:t>
            </w:r>
          </w:p>
        </w:tc>
        <w:tc>
          <w:tcPr>
            <w:tcW w:w="1540" w:type="dxa"/>
            <w:vAlign w:val="bottom"/>
          </w:tcPr>
          <w:p>
            <w:pPr>
              <w:jc w:val="right"/>
              <w:ind w:right="41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0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6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1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40" w:type="dxa"/>
            <w:vAlign w:val="bottom"/>
          </w:tcPr>
          <w:p>
            <w:pPr>
              <w:jc w:val="right"/>
              <w:ind w:right="514"/>
              <w:spacing w:after="0"/>
              <w:rPr>
                <w:sz w:val="20"/>
                <w:szCs w:val="20"/>
                <w:color w:val="auto"/>
              </w:rPr>
            </w:pPr>
            <w:r>
              <w:rPr>
                <w:rFonts w:ascii="Arial" w:cs="Arial" w:eastAsia="Arial" w:hAnsi="Arial"/>
                <w:sz w:val="16"/>
                <w:szCs w:val="16"/>
                <w:b w:val="1"/>
                <w:bCs w:val="1"/>
                <w:color w:val="auto"/>
              </w:rPr>
              <w:t>2018</w:t>
            </w:r>
          </w:p>
        </w:tc>
      </w:tr>
      <w:tr>
        <w:trPr>
          <w:trHeight w:val="33"/>
        </w:trPr>
        <w:tc>
          <w:tcPr>
            <w:tcW w:w="49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Ingram Micro</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ind w:right="94"/>
              <w:spacing w:after="0"/>
              <w:rPr>
                <w:sz w:val="20"/>
                <w:szCs w:val="20"/>
                <w:color w:val="auto"/>
              </w:rPr>
            </w:pPr>
            <w:r>
              <w:rPr>
                <w:rFonts w:ascii="Arial" w:cs="Arial" w:eastAsia="Arial" w:hAnsi="Arial"/>
                <w:sz w:val="18"/>
                <w:szCs w:val="18"/>
                <w:color w:val="auto"/>
              </w:rPr>
              <w:t>*</w:t>
            </w:r>
          </w:p>
        </w:tc>
      </w:tr>
    </w:tbl>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Represents less than 10%</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360" w:type="dxa"/>
            <w:vAlign w:val="bottom"/>
          </w:tcPr>
          <w:p>
            <w:pPr>
              <w:jc w:val="center"/>
              <w:ind w:left="419"/>
              <w:spacing w:after="0"/>
              <w:rPr>
                <w:sz w:val="20"/>
                <w:szCs w:val="20"/>
                <w:color w:val="auto"/>
              </w:rPr>
            </w:pPr>
            <w:r>
              <w:rPr>
                <w:rFonts w:ascii="Arial" w:cs="Arial" w:eastAsia="Arial" w:hAnsi="Arial"/>
                <w:sz w:val="16"/>
                <w:szCs w:val="16"/>
                <w:b w:val="1"/>
                <w:bCs w:val="1"/>
                <w:color w:val="auto"/>
                <w:w w:val="90"/>
              </w:rPr>
              <w:t>June 30,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41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9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694"/>
              <w:spacing w:after="0"/>
              <w:rPr>
                <w:sz w:val="20"/>
                <w:szCs w:val="20"/>
                <w:color w:val="auto"/>
              </w:rPr>
            </w:pPr>
            <w:r>
              <w:rPr>
                <w:rFonts w:ascii="Arial" w:cs="Arial" w:eastAsia="Arial" w:hAnsi="Arial"/>
                <w:sz w:val="16"/>
                <w:szCs w:val="16"/>
                <w:b w:val="1"/>
                <w:bCs w:val="1"/>
                <w:color w:val="auto"/>
              </w:rPr>
              <w:t>2018</w:t>
            </w:r>
          </w:p>
        </w:tc>
      </w:tr>
      <w:tr>
        <w:trPr>
          <w:trHeight w:val="33"/>
        </w:trPr>
        <w:tc>
          <w:tcPr>
            <w:tcW w:w="7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8900" w:type="dxa"/>
            <w:vAlign w:val="bottom"/>
            <w:gridSpan w:val="2"/>
          </w:tcPr>
          <w:p>
            <w:pPr>
              <w:ind w:left="40"/>
              <w:spacing w:after="0"/>
              <w:rPr>
                <w:sz w:val="20"/>
                <w:szCs w:val="20"/>
                <w:color w:val="auto"/>
              </w:rPr>
            </w:pPr>
            <w:r>
              <w:rPr>
                <w:rFonts w:ascii="Arial" w:cs="Arial" w:eastAsia="Arial" w:hAnsi="Arial"/>
                <w:sz w:val="18"/>
                <w:szCs w:val="18"/>
                <w:color w:val="auto"/>
              </w:rPr>
              <w:t>Ingram Micro</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90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18"/>
        </w:trPr>
        <w:tc>
          <w:tcPr>
            <w:tcW w:w="8900" w:type="dxa"/>
            <w:vAlign w:val="bottom"/>
            <w:gridSpan w:val="2"/>
          </w:tcPr>
          <w:p>
            <w:pPr>
              <w:ind w:left="40"/>
              <w:spacing w:after="0"/>
              <w:rPr>
                <w:sz w:val="20"/>
                <w:szCs w:val="20"/>
                <w:color w:val="auto"/>
              </w:rPr>
            </w:pPr>
            <w:r>
              <w:rPr>
                <w:rFonts w:ascii="Arial" w:cs="Arial" w:eastAsia="Arial" w:hAnsi="Arial"/>
                <w:sz w:val="14"/>
                <w:szCs w:val="14"/>
                <w:color w:val="auto"/>
              </w:rPr>
              <w:t>* Represents less than 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bl>
    <w:p>
      <w:pPr>
        <w:spacing w:after="0" w:line="200" w:lineRule="exact"/>
        <w:rPr>
          <w:sz w:val="20"/>
          <w:szCs w:val="20"/>
          <w:color w:val="auto"/>
        </w:rPr>
      </w:pPr>
    </w:p>
    <w:p>
      <w:pPr>
        <w:spacing w:after="0" w:line="226"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 (in millions):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Tax provision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(benefit) related to</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Unrealized Gains</w:t>
            </w:r>
          </w:p>
        </w:tc>
        <w:tc>
          <w:tcPr>
            <w:tcW w:w="1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unrealized gains or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(Losses) on</w:t>
            </w:r>
          </w:p>
        </w:tc>
        <w:tc>
          <w:tcPr>
            <w:tcW w:w="180" w:type="dxa"/>
            <w:vAlign w:val="bottom"/>
          </w:tcPr>
          <w:p>
            <w:pPr>
              <w:spacing w:after="0"/>
              <w:rPr>
                <w:sz w:val="17"/>
                <w:szCs w:val="17"/>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1"/>
              </w:rPr>
              <w:t>losses on</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investments</w:t>
            </w:r>
          </w:p>
        </w:tc>
        <w:tc>
          <w:tcPr>
            <w:tcW w:w="36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adopted ASU 2018-02 on January 1, 2019, and elected to reclassify the income tax effects of the 2017 Tax Act to retained earnings at the beginning of the period. Other amounts reclassified from accumulated other comprehensive loss for unrealized losses on investments and tax provision related to unrealized gains or losses on investments are recorded in other expense—net and in provision for (benefit from) income taxes,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sales;</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government regulation, tariffs and other related policies;</w:t>
      </w:r>
    </w:p>
    <w:p>
      <w:pPr>
        <w:spacing w:after="0" w:line="225" w:lineRule="exact"/>
        <w:rPr>
          <w:rFonts w:ascii="Arial" w:cs="Arial" w:eastAsia="Arial" w:hAnsi="Arial"/>
          <w:sz w:val="18"/>
          <w:szCs w:val="18"/>
          <w:i w:val="1"/>
          <w:iCs w:val="1"/>
          <w:color w:val="auto"/>
        </w:rPr>
      </w:pPr>
    </w:p>
    <w:p>
      <w:pPr>
        <w:ind w:left="1300" w:right="300" w:hanging="644"/>
        <w:spacing w:after="0" w:line="277" w:lineRule="auto"/>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i w:val="1"/>
          <w:iCs w:val="1"/>
          <w:color w:val="auto"/>
        </w:rPr>
      </w:pPr>
    </w:p>
    <w:p>
      <w:pPr>
        <w:ind w:left="1300" w:right="20" w:hanging="644"/>
        <w:spacing w:after="0" w:line="259" w:lineRule="auto"/>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growing our sales to businesses, service providers and government organizations, our ability to execute these sales and of the complexity of selling to all segments (including the increased competition and unpredictability of timing associated with sales to larger enterprises), the impact of sales to these organizations on our long-term growth, expansion and operating results, and the effectiveness of our internal sales organization;</w:t>
      </w:r>
    </w:p>
    <w:p>
      <w:pPr>
        <w:spacing w:after="0" w:line="186"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properly qualified and effective sales, support and engineering employees;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i w:val="1"/>
          <w:iCs w:val="1"/>
          <w:color w:val="auto"/>
        </w:rPr>
      </w:pPr>
    </w:p>
    <w:p>
      <w:pPr>
        <w:ind w:left="1300" w:right="2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w:t>
      </w:r>
    </w:p>
    <w:p>
      <w:pPr>
        <w:spacing w:after="0" w:line="170"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risks and expectations related to acquisitions or sales of assets, including integration issues related to product plans and products, including the acquired technology;</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 and expectations that our research and development expense will increase in absolute dollars during the remainder of 2019;</w:t>
      </w:r>
    </w:p>
    <w:p>
      <w:pPr>
        <w:spacing w:after="0" w:line="170" w:lineRule="exact"/>
        <w:rPr>
          <w:rFonts w:ascii="Arial" w:cs="Arial" w:eastAsia="Arial" w:hAnsi="Arial"/>
          <w:sz w:val="18"/>
          <w:szCs w:val="18"/>
          <w:i w:val="1"/>
          <w:iCs w:val="1"/>
          <w:color w:val="auto"/>
        </w:rPr>
      </w:pPr>
    </w:p>
    <w:p>
      <w:pPr>
        <w:ind w:left="1300" w:right="380" w:hanging="644"/>
        <w:spacing w:after="0" w:line="277" w:lineRule="auto"/>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our sales resources and infrastructure and marketing strategy, and expectations that our sales and marketing expense will increase in absolute dollars during the remainder of 2019;</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our general and administrative expense will increase in absolute dollars during the remainder of 2019;</w:t>
      </w:r>
    </w:p>
    <w:p>
      <w:pPr>
        <w:spacing w:after="0" w:line="225" w:lineRule="exact"/>
        <w:rPr>
          <w:rFonts w:ascii="Arial" w:cs="Arial" w:eastAsia="Arial" w:hAnsi="Arial"/>
          <w:sz w:val="18"/>
          <w:szCs w:val="18"/>
          <w:i w:val="1"/>
          <w:iCs w:val="1"/>
          <w:color w:val="auto"/>
        </w:rPr>
      </w:pPr>
    </w:p>
    <w:p>
      <w:pPr>
        <w:ind w:left="1300" w:right="140" w:hanging="644"/>
        <w:spacing w:after="0" w:line="277" w:lineRule="auto"/>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that proceeds from the exercise of stock options in future years will be impacted by the increased mix of restricted stock units versus stock options granted;</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estimates of a range of 2019 spending on our new headquarters project;</w:t>
      </w:r>
    </w:p>
    <w:p>
      <w:pPr>
        <w:spacing w:after="0" w:line="225" w:lineRule="exact"/>
        <w:rPr>
          <w:rFonts w:ascii="Arial" w:cs="Arial" w:eastAsia="Arial" w:hAnsi="Arial"/>
          <w:sz w:val="18"/>
          <w:szCs w:val="18"/>
          <w:i w:val="1"/>
          <w:iCs w:val="1"/>
          <w:color w:val="auto"/>
        </w:rPr>
      </w:pPr>
    </w:p>
    <w:p>
      <w:pPr>
        <w:ind w:left="1300" w:right="14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expectations regarding uncertain tax benefits and our effective domestic and global tax rates, and the impact of the Tax Cuts and Jobs Act </w:t>
      </w:r>
      <w:r>
        <w:rPr>
          <w:rFonts w:ascii="Arial" w:cs="Arial" w:eastAsia="Arial" w:hAnsi="Arial"/>
          <w:sz w:val="16"/>
          <w:szCs w:val="16"/>
          <w:color w:val="auto"/>
        </w:rPr>
        <w:t>(the “</w:t>
      </w:r>
      <w:r>
        <w:rPr>
          <w:rFonts w:ascii="Arial" w:cs="Arial" w:eastAsia="Arial" w:hAnsi="Arial"/>
          <w:sz w:val="16"/>
          <w:szCs w:val="16"/>
          <w:i w:val="1"/>
          <w:iCs w:val="1"/>
          <w:color w:val="auto"/>
        </w:rPr>
        <w:t>2017 Tax Act</w:t>
      </w:r>
      <w:r>
        <w:rPr>
          <w:rFonts w:ascii="Arial" w:cs="Arial" w:eastAsia="Arial" w:hAnsi="Arial"/>
          <w:sz w:val="16"/>
          <w:szCs w:val="16"/>
          <w:color w:val="auto"/>
        </w:rPr>
        <w:t xml:space="preserve">”) </w:t>
      </w:r>
      <w:r>
        <w:rPr>
          <w:rFonts w:ascii="Arial" w:cs="Arial" w:eastAsia="Arial" w:hAnsi="Arial"/>
          <w:sz w:val="16"/>
          <w:szCs w:val="16"/>
          <w:i w:val="1"/>
          <w:iCs w:val="1"/>
          <w:color w:val="auto"/>
        </w:rPr>
        <w:t>and the Ninth Circuit’s Altera decision regarding stock-based compensation in cost sharing arrangements;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statements regarding expected outcomes and liabilities in litigation;</w:t>
      </w:r>
    </w:p>
    <w:p>
      <w:pPr>
        <w:spacing w:after="0" w:line="225" w:lineRule="exact"/>
        <w:rPr>
          <w:rFonts w:ascii="Arial" w:cs="Arial" w:eastAsia="Arial" w:hAnsi="Arial"/>
          <w:sz w:val="18"/>
          <w:szCs w:val="18"/>
          <w:i w:val="1"/>
          <w:iCs w:val="1"/>
          <w:color w:val="auto"/>
        </w:rPr>
      </w:pPr>
    </w:p>
    <w:p>
      <w:pPr>
        <w:ind w:left="1300" w:right="4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Fortinet is a global leader in cybersecurity solutions provided to a wide variety of organizations, such as enterprises, communication service providers, government organizations and small businesses. Our cybersecurity solutions are designed to provide broad visibility and segmentation of the digital attack surface through our integrated Fortinet Security Fabric platform, which features automated protection, detection and responses.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25" w:lineRule="exact"/>
        <w:rPr>
          <w:sz w:val="20"/>
          <w:szCs w:val="20"/>
          <w:color w:val="auto"/>
        </w:rPr>
      </w:pPr>
    </w:p>
    <w:p>
      <w:pPr>
        <w:ind w:left="660" w:right="20" w:hanging="328"/>
        <w:spacing w:after="0" w:line="291" w:lineRule="auto"/>
        <w:tabs>
          <w:tab w:leader="none" w:pos="660"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Network Security</w:t>
      </w:r>
      <w:r>
        <w:rPr>
          <w:rFonts w:ascii="Arial" w:cs="Arial" w:eastAsia="Arial" w:hAnsi="Arial"/>
          <w:sz w:val="16"/>
          <w:szCs w:val="16"/>
          <w:color w:val="auto"/>
        </w:rPr>
        <w:t>—We derive a majority of product sales from our FortiGate network security appliances. Our FortiGate network security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appliances include a broad set of built-in security and networking features and functionalities, including firewall, software-defined wide-area network (“SD-WAN”), secure sockets layer data leak prevention, virtual private network, switch and wireless controller and wide area network edge. Our network security appliances are managed by our FortiOS network operating system, which provides the foundation for FortiGate security functions. Our Security Processing Unit (“SPU”) hardware architecture is an important part of our approach to network security and results in high performance across all of our appliances, from branch to data center. Our proprietary Application-Specific Integrated Circuits (“ASICs”) are designed for highly efficient execution of computationally intensive tasks, including policy enforcement, threat detection and encryption.</w:t>
      </w:r>
    </w:p>
    <w:p>
      <w:pPr>
        <w:spacing w:after="0" w:line="167" w:lineRule="exact"/>
        <w:rPr>
          <w:rFonts w:ascii="Arial" w:cs="Arial" w:eastAsia="Arial" w:hAnsi="Arial"/>
          <w:sz w:val="16"/>
          <w:szCs w:val="16"/>
          <w:b w:val="1"/>
          <w:bCs w:val="1"/>
          <w:i w:val="1"/>
          <w:iCs w:val="1"/>
          <w:color w:val="auto"/>
        </w:rPr>
      </w:pPr>
    </w:p>
    <w:p>
      <w:pPr>
        <w:ind w:left="660" w:right="30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Fortinet Security Fabric</w:t>
      </w:r>
      <w:r>
        <w:rPr>
          <w:rFonts w:ascii="Arial" w:cs="Arial" w:eastAsia="Arial" w:hAnsi="Arial"/>
          <w:sz w:val="18"/>
          <w:szCs w:val="18"/>
          <w:color w:val="auto"/>
        </w:rPr>
        <w:t>—The Fortinet Security Fabric extends beyond the network to cover other attack vectors. Our products include endpoint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products, application security products (including for email and web application security), ethernet switches, wireless access points and other security products.</w:t>
      </w:r>
    </w:p>
    <w:p>
      <w:pPr>
        <w:spacing w:after="0" w:line="181" w:lineRule="exact"/>
        <w:rPr>
          <w:rFonts w:ascii="Arial" w:cs="Arial" w:eastAsia="Arial" w:hAnsi="Arial"/>
          <w:sz w:val="18"/>
          <w:szCs w:val="18"/>
          <w:color w:val="auto"/>
        </w:rPr>
      </w:pPr>
    </w:p>
    <w:p>
      <w:pPr>
        <w:ind w:left="660" w:right="80" w:hanging="328"/>
        <w:spacing w:after="0" w:line="272"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Cloud Security</w:t>
      </w:r>
      <w:r>
        <w:rPr>
          <w:rFonts w:ascii="Arial" w:cs="Arial" w:eastAsia="Arial" w:hAnsi="Arial"/>
          <w:sz w:val="17"/>
          <w:szCs w:val="17"/>
          <w:color w:val="auto"/>
        </w:rPr>
        <w:t>—We help customers connect securely to and across their cloud environments by offering security through our virtual firewall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software products in public and private cloud environments. Our Cloud Security solutions, including virtual appliances such as FortiGateVM, FortiSIEM and FortiManager, extend the core capabilities of the Fortinet Security Fabric to provide businesses with the same level of cybersecurity and threat intelligence in cloud environments that they receive on their physical networks. Our virtual appliances can be deployed as bring-your-own-license (“BYOL”) or on-demand with all major cloud providers, including Amazon Web Services, Microsoft Azure, Google Cloud, Oracle Cloud, IBM Cloud and Alibaba Cloud. Cloud security solutions also include FortiCloud, which offers a range of cloud-based management solutions and services across FortiGates and access points.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right="24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Internet of Things and Operational Technology</w:t>
      </w:r>
      <w:r>
        <w:rPr>
          <w:rFonts w:ascii="Arial" w:cs="Arial" w:eastAsia="Arial" w:hAnsi="Arial"/>
          <w:sz w:val="18"/>
          <w:szCs w:val="18"/>
          <w:color w:val="auto"/>
        </w:rPr>
        <w:t>—The proliferation of Internet of Things (“IoT”) and the digitization of Operational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devices has generated new opportunities for us to grow our business. We offer network access control solutions that provide visibility, control and automated event responses in order to secure IoT devices.</w:t>
      </w:r>
    </w:p>
    <w:p>
      <w:pPr>
        <w:spacing w:after="0" w:line="181"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Our customers may also purchase FortiGuard subscription services to receive threat intelligence updates. We provide standard technical support across all of our products through our FortiCare support services. We also offer services to end-customers including Technical Account Managers, Resident Engineers and professional service consultants for implementations, as well as training services to our end-customers and channel partners.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hanging="328"/>
        <w:spacing w:after="0" w:line="27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recorded total revenue of $521.7 million and $994.3 million during the three and six months ended June 30, 2019, an increase of 18% in both periods compared to $441.3 million and $840.3 million in the same periods last year. Product revenue was $189.9 million and $352.6 million during the three and six months ended June 30, 2019, an increase of 14% in both periods compared to $166.3 million and $309.1 million in the same periods last year. Service revenue was $331.8 million and $641.7 million during the three and six months ended June 30, 2019, an increase of 21% in both periods compared to $275.0 million and $531.2 million in the same periods last year.</w:t>
      </w:r>
    </w:p>
    <w:p>
      <w:pPr>
        <w:spacing w:after="0" w:line="172"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generated operating income of $75.2 million and $125.8 million during the three and six months ended June 30, 2019, an increase of 48% and 51%, respectively, compared to $50.7 million and $83.1 million in the same periods last year.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Cash, cash equivalents and investments were $1.98 billion as of June 30, 2019, an increase of $263.1 million, or 15%, from December 31, 2018.</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Deferred revenue was $1.87 billion as of June 30, 2019, an increase of $179.7 million, or 11%, from December 31, 2018.</w:t>
      </w:r>
    </w:p>
    <w:p>
      <w:pPr>
        <w:spacing w:after="0" w:line="225"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$396.4 million during the six months ended June 30, 2019, an increase of $114.4 million, or 41%, compared to the same period last year.</w:t>
      </w:r>
    </w:p>
    <w:p>
      <w:pPr>
        <w:spacing w:after="0" w:line="170"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the six months ended June 30, 2019, we repurchased 1.3 million shares of common stock under our Share Repurchase Program (the “Repurchase Program”), for an aggregate purchase price of $91.1 million.</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During the three and six months ended June 30, 2019, our revenue growth was primarily driven by our service revenue growth. On a geographic basis, revenue continues to be diversified globally, which remains a key strength of our business. Product revenue grew14% during the three and six months ended June 30, 2019 compared to the same periods last year. We experienced revenue growth across several of our hardware and software products. Service revenue growth of 21% during the three and six months ended June 30, 2019 compared to the same periods last year was driven by the strength of our FortiGuard and other security subscription revenue, which grew 24% in both periods compared to the same periods last year. During the three and six months ended June 30, 2019, FortiCare technical support and other service revenue grew 16% and 17%, respectively, compared to the same periods last year.</w:t>
      </w:r>
    </w:p>
    <w:p>
      <w:pPr>
        <w:spacing w:after="0" w:line="16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During the second quarter of 2019, we reclassified the 100 series of our FortiGate product from an entry-level product to a mid-range product. Prior periods have been reclassified to conform with current period presentation. Including this reclassification, we saw a mix shift to mid-range products, with the percentage of our FortiGate-related billings from mid-range products increasing from 42% during the three months ended June 30, 2018 to 46% during the three months ended June 30, 2019. Accordingly, the percentage of our FortiGate-related billings from entry-level and high-end products decreased.</w:t>
      </w:r>
    </w:p>
    <w:p>
      <w:pPr>
        <w:spacing w:after="0" w:line="154"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During the three and six months ended June 30, 2019, operating expenses as a percentage of revenue decreased by two percentage points in both periods compared to the same periods last year. The deferral of sales commissions for service contracts had a minimal impact to the changes in operating expenses as a percentage of revenue compared to the same periods last year. Headcount increased by 5% and 8% to 6,293 employees and contractors as of June 30, 2019, from 6,015 as of March 31, 2019 and from 5,845 as of December 31, 2018, respectively.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sales strategy is based on a two-tier distribution model. We sell to distributors that sell to networking security and enterprise-focused resellers and service providers, who in turn sell to our end-customers. In certain cases, we sell directly to large service providers and major systems integrators. We also offer our products across major cloud providers, and have recognized on-demand revenue from Amazon Web Services, Microsoft Azure, IBM Cloud and Google Cloud. We have also recognized revenue from customers who deploy our products in a bring-your-own-license (“BYOL”) arrangement at a cloud provider such as Amazon Web Services, Microsoft Azure, Google Cloud, Oracle Cloud and Alibaba Cloud. In a BYOL arrangement, a customer purchases a perpetual license from us through our channel partners and deploys the software in a cloud provider’s environment. Similarly, customers may purchase such a license from us and deploy in their private cloud.</w:t>
      </w:r>
    </w:p>
    <w:p>
      <w:pPr>
        <w:spacing w:after="0" w:line="17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Typically, our customers purchase our hardware products and software licenses, as well as our FortiGuard security subscription and FortiCare technical support services. We generally invoice at the time of our sale for the total price of the products and security and technical support services. The invoice is typically payable within 30 to 45 days. We also invoice certain services on a monthly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3"/>
          </w:tcPr>
          <w:p>
            <w:pPr>
              <w:jc w:val="right"/>
              <w:ind w:right="351"/>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212"/>
              <w:spacing w:after="0"/>
              <w:rPr>
                <w:sz w:val="20"/>
                <w:szCs w:val="20"/>
                <w:color w:val="auto"/>
              </w:rPr>
            </w:pPr>
            <w:r>
              <w:rPr>
                <w:rFonts w:ascii="Arial" w:cs="Arial" w:eastAsia="Arial" w:hAnsi="Arial"/>
                <w:sz w:val="16"/>
                <w:szCs w:val="16"/>
                <w:b w:val="1"/>
                <w:bCs w:val="1"/>
                <w:color w:val="auto"/>
                <w:w w:val="96"/>
              </w:rPr>
              <w:t>June 30, 2019</w:t>
            </w:r>
          </w:p>
        </w:tc>
        <w:tc>
          <w:tcPr>
            <w:tcW w:w="28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June 30, 2018</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3"/>
          </w:tcPr>
          <w:p>
            <w:pPr>
              <w:jc w:val="right"/>
              <w:ind w:right="971"/>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1,866.5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1,470.8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142.2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130.6</w:t>
            </w:r>
          </w:p>
        </w:tc>
      </w:tr>
      <w:tr>
        <w:trPr>
          <w:trHeight w:val="27"/>
        </w:trPr>
        <w:tc>
          <w:tcPr>
            <w:tcW w:w="8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free cash flow and of revenue to be recognized in future periods. Deferred revenue was $1.87 billion as of June 30, 2019, an increase of $179.7 million, or 11%, from December 31, 2018.</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Billings (non-GAAP). </w:t>
      </w:r>
      <w:r>
        <w:rPr>
          <w:rFonts w:ascii="Arial" w:cs="Arial" w:eastAsia="Arial" w:hAnsi="Arial"/>
          <w:sz w:val="16"/>
          <w:szCs w:val="16"/>
          <w:color w:val="auto"/>
        </w:rPr>
        <w:t>We define billings as revenue recognized in accordance with GAAP plus the change in deferred revenue from the beginning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end of the period and adjustments to the deferred revenue balance due to adoption of the new revenue recognition standard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$622.4 million for the three months ended June 30, 2019, an increase of 21% compared to $513.4 million in the same period last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0"/>
                <w:szCs w:val="20"/>
                <w:color w:val="auto"/>
              </w:rPr>
            </w:pPr>
          </w:p>
        </w:tc>
        <w:tc>
          <w:tcPr>
            <w:tcW w:w="1280" w:type="dxa"/>
            <w:vAlign w:val="bottom"/>
          </w:tcPr>
          <w:p>
            <w:pPr>
              <w:jc w:val="right"/>
              <w:ind w:right="172"/>
              <w:spacing w:after="0"/>
              <w:rPr>
                <w:sz w:val="20"/>
                <w:szCs w:val="20"/>
                <w:color w:val="auto"/>
              </w:rPr>
            </w:pPr>
            <w:r>
              <w:rPr>
                <w:rFonts w:ascii="Arial" w:cs="Arial" w:eastAsia="Arial" w:hAnsi="Arial"/>
                <w:sz w:val="16"/>
                <w:szCs w:val="16"/>
                <w:b w:val="1"/>
                <w:bCs w:val="1"/>
                <w:color w:val="auto"/>
                <w:w w:val="96"/>
              </w:rPr>
              <w:t>June 30, 2018</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4"/>
          </w:tcPr>
          <w:p>
            <w:pPr>
              <w:jc w:val="right"/>
              <w:ind w:right="972"/>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521.7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441.3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Change in 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 Deferred revenue balance acquired in business combination</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622.4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513.4</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purchases of property and equipment.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cash flow statement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w:t>
      </w:r>
    </w:p>
    <w:p>
      <w:pPr>
        <w:spacing w:after="0" w:line="18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reconciliation of net cash provided by operating activities, the most directly comparable financial measure calculated and presented in accordance with GAAP, to free cash flow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0"/>
                <w:szCs w:val="20"/>
                <w:color w:val="auto"/>
              </w:rPr>
            </w:pPr>
          </w:p>
        </w:tc>
        <w:tc>
          <w:tcPr>
            <w:tcW w:w="128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June 30, 2018</w:t>
            </w:r>
          </w:p>
        </w:tc>
      </w:tr>
      <w:tr>
        <w:trPr>
          <w:trHeight w:val="33"/>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4"/>
          </w:tcPr>
          <w:p>
            <w:pPr>
              <w:jc w:val="right"/>
              <w:ind w:right="971"/>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142.2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Purchases of property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130.6</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There were no material changes to our critical accounting policies and estimates as of and for the three and six months ended June 30, 2019, as compared to the critical accounting policies and estimates described in our Annual Report on Form 10-K filed with the SEC on February 27, 2019 (the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and June 30,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773"/>
              <w:spacing w:after="0"/>
              <w:rPr>
                <w:sz w:val="20"/>
                <w:szCs w:val="20"/>
                <w:color w:val="auto"/>
              </w:rPr>
            </w:pPr>
            <w:r>
              <w:rPr>
                <w:rFonts w:ascii="Arial" w:cs="Arial" w:eastAsia="Arial" w:hAnsi="Arial"/>
                <w:sz w:val="16"/>
                <w:szCs w:val="16"/>
                <w:b w:val="1"/>
                <w:bCs w:val="1"/>
                <w:color w:val="auto"/>
                <w:w w:val="89"/>
              </w:rPr>
              <w:t>2018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21</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521.7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80.4</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18%</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3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17</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420" w:type="dxa"/>
            <w:vAlign w:val="bottom"/>
          </w:tcPr>
          <w:p>
            <w:pPr>
              <w:ind w:left="1060"/>
              <w:spacing w:after="0"/>
              <w:rPr>
                <w:sz w:val="20"/>
                <w:szCs w:val="20"/>
                <w:color w:val="auto"/>
              </w:rPr>
            </w:pPr>
            <w:r>
              <w:rPr>
                <w:rFonts w:ascii="Arial" w:cs="Arial" w:eastAsia="Arial" w:hAnsi="Arial"/>
                <w:sz w:val="18"/>
                <w:szCs w:val="18"/>
                <w:color w:val="auto"/>
              </w:rPr>
              <w:t>19</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18%</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Total revenue increased by $80.4 million, or 18%, during the three months ended June 30, 2019 compared to the same period last year. We continued to experience diversification of revenue globally. Revenue from all regions grew, with the Americas contributing the largest portion of our revenue growth on an absolute dollar basis.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Product revenue increased by $23.6 million, or 14%, during the three months ended June 30, 2019 compared to the same period last year. We experienced revenue growth across many of our hardware and software products due to an increase in unit shipments year-over-year, and we saw a mix shift toward mid-range FortiGate appliances.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Service revenue increased by $56.8 million, or 21%, during the three months ended June 30, 2019 compared to the same period last year. The increase in service revenue was primarily due to the recognition of revenue from our growing deferred revenue balance consisting of FortiGuard security subscription and FortiCare technical support and other contracts, which increased by $36.0 million, or 24%, and $20.8 million, or 16%, respectively, during the three months ended June 30, 2019 compared to the same period last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20" w:type="dxa"/>
            <w:vAlign w:val="bottom"/>
            <w:gridSpan w:val="3"/>
          </w:tcPr>
          <w:p>
            <w:pPr>
              <w:jc w:val="right"/>
              <w:ind w:right="475"/>
              <w:spacing w:after="0"/>
              <w:rPr>
                <w:sz w:val="20"/>
                <w:szCs w:val="20"/>
                <w:color w:val="auto"/>
              </w:rPr>
            </w:pPr>
            <w:r>
              <w:rPr>
                <w:rFonts w:ascii="Arial" w:cs="Arial" w:eastAsia="Arial" w:hAnsi="Arial"/>
                <w:sz w:val="16"/>
                <w:szCs w:val="16"/>
                <w:b w:val="1"/>
                <w:bCs w:val="1"/>
                <w:color w:val="auto"/>
                <w:w w:val="90"/>
              </w:rPr>
              <w:t>Three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55"/>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18"/>
                <w:szCs w:val="18"/>
                <w:color w:val="auto"/>
              </w:rPr>
            </w:pP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(in millions, except percentages)</w:t>
            </w: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91"/>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1240" w:type="dxa"/>
            <w:vAlign w:val="bottom"/>
          </w:tcPr>
          <w:p>
            <w:pPr>
              <w:jc w:val="right"/>
              <w:ind w:right="103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12%</w:t>
            </w:r>
          </w:p>
        </w:tc>
      </w:tr>
      <w:tr>
        <w:trPr>
          <w:trHeight w:val="27"/>
        </w:trPr>
        <w:tc>
          <w:tcPr>
            <w:tcW w:w="3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16</w:t>
            </w:r>
          </w:p>
        </w:tc>
      </w:tr>
      <w:tr>
        <w:trPr>
          <w:trHeight w:val="297"/>
        </w:trPr>
        <w:tc>
          <w:tcPr>
            <w:tcW w:w="3660" w:type="dxa"/>
            <w:vAlign w:val="bottom"/>
            <w:tcBorders>
              <w:bottom w:val="single" w:sz="8" w:color="CCEEFF"/>
            </w:tcBorders>
          </w:tcPr>
          <w:p>
            <w:pPr>
              <w:jc w:val="center"/>
              <w:ind w:right="1990"/>
              <w:spacing w:after="0"/>
              <w:rPr>
                <w:sz w:val="20"/>
                <w:szCs w:val="20"/>
                <w:color w:val="auto"/>
              </w:rPr>
            </w:pPr>
            <w:r>
              <w:rPr>
                <w:rFonts w:ascii="Arial" w:cs="Arial" w:eastAsia="Arial" w:hAnsi="Arial"/>
                <w:sz w:val="18"/>
                <w:szCs w:val="18"/>
                <w:color w:val="auto"/>
                <w:w w:val="89"/>
              </w:rPr>
              <w:t>Total cost of revenue</w:t>
            </w:r>
          </w:p>
        </w:tc>
        <w:tc>
          <w:tcPr>
            <w:tcW w:w="1220" w:type="dxa"/>
            <w:vAlign w:val="bottom"/>
            <w:tcBorders>
              <w:top w:val="single" w:sz="8" w:color="auto"/>
              <w:bottom w:val="single" w:sz="8" w:color="auto"/>
            </w:tcBorders>
          </w:tcPr>
          <w:p>
            <w:pPr>
              <w:jc w:val="right"/>
              <w:ind w:right="101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right"/>
              <w:ind w:right="1035"/>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113.1</w:t>
            </w:r>
          </w:p>
        </w:tc>
        <w:tc>
          <w:tcPr>
            <w:tcW w:w="1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13%</w:t>
            </w: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Total gross margin increased by 1.0 percentage points during the three months ended June 30, 2019 compared to the same period last year, driven by improvements to both product and service gross margins.</w:t>
      </w:r>
    </w:p>
    <w:p>
      <w:pPr>
        <w:spacing w:after="0" w:line="170" w:lineRule="exact"/>
        <w:rPr>
          <w:sz w:val="20"/>
          <w:szCs w:val="20"/>
          <w:color w:val="auto"/>
        </w:rPr>
      </w:pPr>
    </w:p>
    <w:p>
      <w:pPr>
        <w:jc w:val="both"/>
        <w:ind w:right="580" w:firstLine="648"/>
        <w:spacing w:after="0" w:line="259" w:lineRule="auto"/>
        <w:rPr>
          <w:sz w:val="20"/>
          <w:szCs w:val="20"/>
          <w:color w:val="auto"/>
        </w:rPr>
      </w:pPr>
      <w:r>
        <w:rPr>
          <w:rFonts w:ascii="Arial" w:cs="Arial" w:eastAsia="Arial" w:hAnsi="Arial"/>
          <w:sz w:val="18"/>
          <w:szCs w:val="18"/>
          <w:color w:val="auto"/>
        </w:rPr>
        <w:t>Product gross margin increased by 0.9 percentage points during the three months ended June 30, 2019 compared to the same period last year. Product gross margin benefited from lower indirect product costs as a percentage of revenue, partially offset by an increase in direct product costs as a percentage of revenue, reflecting our shift in product mix. Cost of product revenue was comprised of direct product costs and indirect costs, including inventory reserves and other manufacturing overhead.</w:t>
      </w:r>
    </w:p>
    <w:p>
      <w:pPr>
        <w:spacing w:after="0" w:line="18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Service gross margin increased by 0.6 percentage points during the three months ended June 30, 2019 compared to the same period last year, as our service revenue growth outpaced our growth in related personnel costs. Cost of service revenue was comprised primarily of personnel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6"/>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694"/>
              <w:spacing w:after="0"/>
              <w:rPr>
                <w:sz w:val="20"/>
                <w:szCs w:val="20"/>
                <w:color w:val="auto"/>
              </w:rPr>
            </w:pPr>
            <w:r>
              <w:rPr>
                <w:rFonts w:ascii="Arial" w:cs="Arial" w:eastAsia="Arial" w:hAnsi="Arial"/>
                <w:sz w:val="16"/>
                <w:szCs w:val="16"/>
                <w:b w:val="1"/>
                <w:bCs w:val="1"/>
                <w:color w:val="auto"/>
                <w:w w:val="87"/>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2019</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Revenue</w:t>
            </w:r>
          </w:p>
        </w:tc>
        <w:tc>
          <w:tcPr>
            <w:tcW w:w="20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80"/>
              <w:spacing w:after="0"/>
              <w:rPr>
                <w:sz w:val="20"/>
                <w:szCs w:val="20"/>
                <w:color w:val="auto"/>
              </w:rPr>
            </w:pPr>
            <w:r>
              <w:rPr>
                <w:rFonts w:ascii="Arial" w:cs="Arial" w:eastAsia="Arial" w:hAnsi="Arial"/>
                <w:sz w:val="16"/>
                <w:szCs w:val="16"/>
                <w:b w:val="1"/>
                <w:bCs w:val="1"/>
                <w:color w:val="auto"/>
                <w:w w:val="9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74"/>
              <w:spacing w:after="0"/>
              <w:rPr>
                <w:sz w:val="20"/>
                <w:szCs w:val="20"/>
                <w:color w:val="auto"/>
              </w:rPr>
            </w:pPr>
            <w:r>
              <w:rPr>
                <w:rFonts w:ascii="Arial" w:cs="Arial" w:eastAsia="Arial" w:hAnsi="Arial"/>
                <w:sz w:val="18"/>
                <w:szCs w:val="18"/>
                <w:color w:val="auto"/>
                <w:w w:val="94"/>
              </w:rPr>
              <w:t>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89"/>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74"/>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3</w:t>
            </w: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center"/>
              <w:ind w:right="174"/>
              <w:spacing w:after="0"/>
              <w:rPr>
                <w:sz w:val="20"/>
                <w:szCs w:val="20"/>
                <w:color w:val="auto"/>
              </w:rPr>
            </w:pPr>
            <w:r>
              <w:rPr>
                <w:rFonts w:ascii="Arial" w:cs="Arial" w:eastAsia="Arial" w:hAnsi="Arial"/>
                <w:sz w:val="18"/>
                <w:szCs w:val="18"/>
                <w:color w:val="auto"/>
                <w:w w:val="94"/>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Research and development expense increased by $6.2 million, or 10%, during the three months ended June 30, 2019 compared to the same period last year, primarily due to an increase of $6.9 million in personnel-related costs as a result of increased headcount to support the development of new products and continued enhancements of our existing products. The increase in expense was offset by a decrease in product development expenses, such as third-party testing, prototypes and supplies of $2.3 million. We intend to continue to invest in our research and development organization, and expect research and development expense to increase in absolute dollars during the remainder of 2019.</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Sales and marketing expense increased by $33.7 million, or 17%, during the three months ended June 30, 2019 compared to the same period last year, primarily due to an increase of $25.0 million in personnel-related costs, including higher stock-based compensation expense of $2.7 million, as sales and marketing headcount increased in order to drive market share gains globally. Marketing-related expense increased by $3.7 million. We intend to continue to make investments in our sales resources and infrastructure and marketing strategy, which are critical to support our future growth, and expect sales and marketing expense to increase in absolute dollars during the remainder of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General and administrative expense increased by $0.8 million, or 3%, during the three months ended June 30, 2019 compared to the same period last year, due to an increase of $1.4 million in legal expenses and an increase of $0.5 million in personnel-related costs. The increase in expenses was partially offset by a decrease of $0.4 million in professional services cost and a decrease of $0.7 million in other expenses. We expect general and administrative expense to increase in absolute dollars during the remainder of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3"/>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ind w:right="595"/>
              <w:spacing w:after="0"/>
              <w:rPr>
                <w:sz w:val="20"/>
                <w:szCs w:val="20"/>
                <w:color w:val="auto"/>
              </w:rPr>
            </w:pPr>
            <w:r>
              <w:rPr>
                <w:rFonts w:ascii="Arial" w:cs="Arial" w:eastAsia="Arial" w:hAnsi="Arial"/>
                <w:sz w:val="16"/>
                <w:szCs w:val="16"/>
                <w:b w:val="1"/>
                <w:bCs w:val="1"/>
                <w:color w:val="auto"/>
              </w:rPr>
              <w:t>June 30,</w:t>
            </w:r>
          </w:p>
        </w:tc>
        <w:tc>
          <w:tcPr>
            <w:tcW w:w="420" w:type="dxa"/>
            <w:vAlign w:val="bottom"/>
          </w:tcPr>
          <w:p>
            <w:pPr>
              <w:spacing w:after="0"/>
              <w:rPr>
                <w:sz w:val="18"/>
                <w:szCs w:val="18"/>
                <w:color w:val="auto"/>
              </w:rPr>
            </w:pPr>
          </w:p>
        </w:tc>
        <w:tc>
          <w:tcPr>
            <w:tcW w:w="1460" w:type="dxa"/>
            <w:vAlign w:val="bottom"/>
          </w:tcPr>
          <w:p>
            <w:pPr>
              <w:jc w:val="right"/>
              <w:ind w:right="55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jc w:val="right"/>
              <w:ind w:right="695"/>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4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72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76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3"/>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8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(in millions, except percentages)</w:t>
            </w:r>
          </w:p>
        </w:tc>
        <w:tc>
          <w:tcPr>
            <w:tcW w:w="176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11.0</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5.2</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13"/>
              <w:spacing w:after="0"/>
              <w:rPr>
                <w:sz w:val="20"/>
                <w:szCs w:val="20"/>
                <w:color w:val="auto"/>
              </w:rPr>
            </w:pPr>
            <w:r>
              <w:rPr>
                <w:rFonts w:ascii="Arial" w:cs="Arial" w:eastAsia="Arial" w:hAnsi="Arial"/>
                <w:sz w:val="18"/>
                <w:szCs w:val="18"/>
                <w:color w:val="auto"/>
              </w:rPr>
              <w:t>4.6</w:t>
            </w:r>
          </w:p>
        </w:tc>
        <w:tc>
          <w:tcPr>
            <w:tcW w:w="176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Interest income increased during the three months ended June 30, 2019 compared to the same period last year, primarily due to higher interest rates and, to a lesser extent, higher invested balances of cash, cash equivalents and investments. Interest income varies depending on our average investment balances during the period, types and mix of investments, and market interest rates. The change in other expense—net during the three months ended June 30, 2019 compared to the same period last year was primarily due to lower foreign currency exchange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00" w:type="dxa"/>
            <w:vAlign w:val="bottom"/>
            <w:gridSpan w:val="2"/>
          </w:tcPr>
          <w:p>
            <w:pPr>
              <w:jc w:val="right"/>
              <w:ind w:right="557"/>
              <w:spacing w:after="0"/>
              <w:rPr>
                <w:sz w:val="20"/>
                <w:szCs w:val="20"/>
                <w:color w:val="auto"/>
              </w:rPr>
            </w:pPr>
            <w:r>
              <w:rPr>
                <w:rFonts w:ascii="Arial" w:cs="Arial" w:eastAsia="Arial" w:hAnsi="Arial"/>
                <w:sz w:val="16"/>
                <w:szCs w:val="16"/>
                <w:b w:val="1"/>
                <w:bCs w:val="1"/>
                <w:color w:val="auto"/>
                <w:w w:val="90"/>
              </w:rPr>
              <w:t>Three Months Ended</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1220" w:type="dxa"/>
            <w:vAlign w:val="bottom"/>
          </w:tcPr>
          <w:p>
            <w:pPr>
              <w:jc w:val="center"/>
              <w:ind w:left="556"/>
              <w:spacing w:after="0"/>
              <w:rPr>
                <w:sz w:val="20"/>
                <w:szCs w:val="20"/>
                <w:color w:val="auto"/>
              </w:rPr>
            </w:pPr>
            <w:r>
              <w:rPr>
                <w:rFonts w:ascii="Arial" w:cs="Arial" w:eastAsia="Arial" w:hAnsi="Arial"/>
                <w:sz w:val="16"/>
                <w:szCs w:val="16"/>
                <w:b w:val="1"/>
                <w:bCs w:val="1"/>
                <w:color w:val="auto"/>
                <w:w w:val="90"/>
              </w:rPr>
              <w:t>June 30,</w:t>
            </w:r>
          </w:p>
        </w:tc>
        <w:tc>
          <w:tcPr>
            <w:tcW w:w="720" w:type="dxa"/>
            <w:vAlign w:val="bottom"/>
          </w:tcPr>
          <w:p>
            <w:pPr>
              <w:spacing w:after="0"/>
              <w:rPr>
                <w:sz w:val="18"/>
                <w:szCs w:val="18"/>
                <w:color w:val="auto"/>
              </w:rPr>
            </w:pPr>
          </w:p>
        </w:tc>
        <w:tc>
          <w:tcPr>
            <w:tcW w:w="1380" w:type="dxa"/>
            <w:vAlign w:val="bottom"/>
          </w:tcPr>
          <w:p>
            <w:pPr>
              <w:ind w:left="680"/>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Arial" w:cs="Arial" w:eastAsia="Arial" w:hAnsi="Arial"/>
                <w:sz w:val="16"/>
                <w:szCs w:val="16"/>
                <w:b w:val="1"/>
                <w:bCs w:val="1"/>
                <w:color w:val="auto"/>
              </w:rPr>
              <w:t>2019</w:t>
            </w:r>
          </w:p>
        </w:tc>
        <w:tc>
          <w:tcPr>
            <w:tcW w:w="720" w:type="dxa"/>
            <w:vAlign w:val="bottom"/>
          </w:tcPr>
          <w:p>
            <w:pPr>
              <w:spacing w:after="0"/>
              <w:rPr>
                <w:sz w:val="18"/>
                <w:szCs w:val="18"/>
                <w:color w:val="auto"/>
              </w:rPr>
            </w:pPr>
          </w:p>
        </w:tc>
        <w:tc>
          <w:tcPr>
            <w:tcW w:w="1380" w:type="dxa"/>
            <w:vAlign w:val="bottom"/>
          </w:tcPr>
          <w:p>
            <w:pPr>
              <w:ind w:left="820"/>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6"/>
                <w:szCs w:val="16"/>
                <w:b w:val="1"/>
                <w:bCs w:val="1"/>
                <w:color w:val="auto"/>
              </w:rPr>
              <w:t>Change</w:t>
            </w:r>
          </w:p>
        </w:tc>
        <w:tc>
          <w:tcPr>
            <w:tcW w:w="820" w:type="dxa"/>
            <w:vAlign w:val="bottom"/>
          </w:tcPr>
          <w:p>
            <w:pPr>
              <w:spacing w:after="0"/>
              <w:rPr>
                <w:sz w:val="18"/>
                <w:szCs w:val="18"/>
                <w:color w:val="auto"/>
              </w:rPr>
            </w:pPr>
          </w:p>
        </w:tc>
        <w:tc>
          <w:tcPr>
            <w:tcW w:w="1700" w:type="dxa"/>
            <w:vAlign w:val="bottom"/>
          </w:tcPr>
          <w:p>
            <w:pPr>
              <w:jc w:val="right"/>
              <w:ind w:right="49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300" w:type="dxa"/>
            <w:vAlign w:val="bottom"/>
            <w:gridSpan w:val="3"/>
          </w:tcPr>
          <w:p>
            <w:pPr>
              <w:ind w:left="860"/>
              <w:spacing w:after="0"/>
              <w:rPr>
                <w:sz w:val="20"/>
                <w:szCs w:val="20"/>
                <w:color w:val="auto"/>
              </w:rPr>
            </w:pPr>
            <w:r>
              <w:rPr>
                <w:rFonts w:ascii="Arial" w:cs="Arial" w:eastAsia="Arial" w:hAnsi="Arial"/>
                <w:sz w:val="16"/>
                <w:szCs w:val="16"/>
                <w:b w:val="1"/>
                <w:bCs w:val="1"/>
                <w:color w:val="auto"/>
                <w:w w:val="97"/>
              </w:rPr>
              <w:t>(in millions, except percentages)</w:t>
            </w:r>
          </w:p>
        </w:tc>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13.1</w:t>
            </w:r>
          </w:p>
        </w:tc>
        <w:tc>
          <w:tcPr>
            <w:tcW w:w="1380" w:type="dxa"/>
            <w:vAlign w:val="bottom"/>
            <w:tcBorders>
              <w:bottom w:val="single" w:sz="8" w:color="CCEEFF"/>
            </w:tcBorders>
            <w:shd w:val="clear" w:color="auto" w:fill="CCEEFF"/>
          </w:tcPr>
          <w:p>
            <w:pPr>
              <w:jc w:val="right"/>
              <w:ind w:right="1117"/>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3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10.9</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2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3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Our effective tax rate was 15% for the three months ended June 30, 2019 compared to an effective tax rate of 4% for the same period last year. The effective tax rate for the three months ended June 30, 2019 was primarily comprised of U.S. federal and state taxes, withholding taxes and foreign taxes of $24.5 million, which were offset by excess tax benefits from stock-based compensation expense of $11.7 million. The tax rate for the three months ended June 30, 2019 was impacted by an increase in tax expense of $10.3 million for an unrecognized tax benefit related to the Ninth Circuit’s Altera decision regarding stock-based compensation in cost sharing arrangements. This expense was offset by release of reserves of $10.0 million on uncertain tax positions and the associated interests due to the expiration of the statute of limitations. The tax rate for the three months ended June 30, 2018 are comprised of U.S. federal and state taxes, withholding taxes, and foreign taxes of $17.2 million, which were offset by excess tax benefits from stock-based compensation expense of $4.9 million. The tax rate for the three months ended by June 30, 2018 was also impacted by release of a reserve on uncertain tax positions, including interest, of $10.1 million.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and June 30,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713"/>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center"/>
              <w:ind w:left="773"/>
              <w:spacing w:after="0"/>
              <w:rPr>
                <w:sz w:val="20"/>
                <w:szCs w:val="20"/>
                <w:color w:val="auto"/>
              </w:rPr>
            </w:pPr>
            <w:r>
              <w:rPr>
                <w:rFonts w:ascii="Arial" w:cs="Arial" w:eastAsia="Arial" w:hAnsi="Arial"/>
                <w:sz w:val="16"/>
                <w:szCs w:val="16"/>
                <w:b w:val="1"/>
                <w:bCs w:val="1"/>
                <w:color w:val="auto"/>
                <w:w w:val="89"/>
              </w:rPr>
              <w:t>2018</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150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1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43.5</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110.5</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21</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994.3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154.0</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18%</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426.0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17%</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32.8</w:t>
            </w:r>
          </w:p>
        </w:tc>
        <w:tc>
          <w:tcPr>
            <w:tcW w:w="1420" w:type="dxa"/>
            <w:vAlign w:val="bottom"/>
          </w:tcPr>
          <w:p>
            <w:pPr>
              <w:ind w:left="1060"/>
              <w:spacing w:after="0"/>
              <w:rPr>
                <w:sz w:val="20"/>
                <w:szCs w:val="20"/>
                <w:color w:val="auto"/>
              </w:rPr>
            </w:pPr>
            <w:r>
              <w:rPr>
                <w:rFonts w:ascii="Arial" w:cs="Arial" w:eastAsia="Arial" w:hAnsi="Arial"/>
                <w:sz w:val="18"/>
                <w:szCs w:val="18"/>
                <w:color w:val="auto"/>
              </w:rPr>
              <w:t>20</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154.0</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18%</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Total revenue increased by $154.0 million, or 18%, during the six months ended June 30, 2019 compared to the same period last year. We continued to experience diversification of revenue globally. Revenue from all regions grew, with the Americas contributing the largest portion of our revenue growth on an absolute dollar basis.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Product revenue increased by $43.5 million, or 14%, during the six months ended June 30, 2019 compared to the same period last year. We experienced revenue growth across many of our hardware and software products due to an increase in unit shipments year-over-year, and we saw a mix shift toward mid-range FortiGate appliances.</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Service revenue increased by $110.5 million, or 21%, during the six months ended June 30, 2019 compared to the same period last year. The increase in service revenue was primarily due to the recognition of revenue from our growing deferred revenue balance consisting of FortiGuard security subscription and FortiCare technical support and other contracts, which increased by $68.9 million, or 24%, and $41.6 million, or 17%, respectively, during the six months ended June 30, 2019 compared to the same period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Arial" w:cs="Arial" w:eastAsia="Arial" w:hAnsi="Arial"/>
                <w:sz w:val="16"/>
                <w:szCs w:val="16"/>
                <w:b w:val="1"/>
                <w:bCs w:val="1"/>
                <w:color w:val="auto"/>
              </w:rPr>
              <w:t>Six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ind w:left="620"/>
              <w:spacing w:after="0"/>
              <w:rPr>
                <w:sz w:val="20"/>
                <w:szCs w:val="20"/>
                <w:color w:val="auto"/>
              </w:rPr>
            </w:pPr>
            <w:r>
              <w:rPr>
                <w:rFonts w:ascii="Arial" w:cs="Arial" w:eastAsia="Arial" w:hAnsi="Arial"/>
                <w:sz w:val="16"/>
                <w:szCs w:val="16"/>
                <w:b w:val="1"/>
                <w:bCs w:val="1"/>
                <w:color w:val="auto"/>
                <w:w w:val="93"/>
              </w:rPr>
              <w:t>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1260" w:type="dxa"/>
            <w:vAlign w:val="bottom"/>
          </w:tcPr>
          <w:p>
            <w:pPr>
              <w:jc w:val="right"/>
              <w:ind w:right="74"/>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360" w:type="dxa"/>
            <w:vAlign w:val="bottom"/>
            <w:gridSpan w:val="2"/>
          </w:tcPr>
          <w:p>
            <w:pPr>
              <w:ind w:left="880"/>
              <w:spacing w:after="0"/>
              <w:rPr>
                <w:sz w:val="20"/>
                <w:szCs w:val="20"/>
                <w:color w:val="auto"/>
              </w:rPr>
            </w:pPr>
            <w:r>
              <w:rPr>
                <w:rFonts w:ascii="Arial" w:cs="Arial" w:eastAsia="Arial" w:hAnsi="Arial"/>
                <w:sz w:val="16"/>
                <w:szCs w:val="16"/>
                <w:b w:val="1"/>
                <w:bCs w:val="1"/>
                <w:color w:val="auto"/>
              </w:rPr>
              <w:t>2018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540" w:type="dxa"/>
            <w:vAlign w:val="bottom"/>
          </w:tcPr>
          <w:p>
            <w:pPr>
              <w:spacing w:after="0"/>
              <w:rPr>
                <w:sz w:val="18"/>
                <w:szCs w:val="18"/>
                <w:color w:val="auto"/>
              </w:rPr>
            </w:pP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4"/>
          </w:tcPr>
          <w:p>
            <w:pPr>
              <w:ind w:left="800"/>
              <w:spacing w:after="0"/>
              <w:rPr>
                <w:sz w:val="20"/>
                <w:szCs w:val="20"/>
                <w:color w:val="auto"/>
              </w:rPr>
            </w:pPr>
            <w:r>
              <w:rPr>
                <w:rFonts w:ascii="Arial" w:cs="Arial" w:eastAsia="Arial" w:hAnsi="Arial"/>
                <w:sz w:val="16"/>
                <w:szCs w:val="16"/>
                <w:b w:val="1"/>
                <w:bCs w:val="1"/>
                <w:color w:val="auto"/>
                <w:w w:val="97"/>
              </w:rPr>
              <w:t>(in millions, except percentages)</w:t>
            </w: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60" w:type="dxa"/>
            <w:vAlign w:val="bottom"/>
          </w:tcPr>
          <w:p>
            <w:pPr>
              <w:jc w:val="right"/>
              <w:ind w:right="105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91"/>
              <w:spacing w:after="0"/>
              <w:rPr>
                <w:sz w:val="20"/>
                <w:szCs w:val="20"/>
                <w:color w:val="auto"/>
              </w:rPr>
            </w:pPr>
            <w:r>
              <w:rPr>
                <w:rFonts w:ascii="Arial" w:cs="Arial" w:eastAsia="Arial" w:hAnsi="Arial"/>
                <w:sz w:val="18"/>
                <w:szCs w:val="18"/>
                <w:color w:val="auto"/>
                <w:w w:val="93"/>
              </w:rPr>
              <w:t>152.9</w:t>
            </w:r>
          </w:p>
        </w:tc>
        <w:tc>
          <w:tcPr>
            <w:tcW w:w="1360" w:type="dxa"/>
            <w:vAlign w:val="bottom"/>
            <w:gridSpan w:val="2"/>
          </w:tcPr>
          <w:p>
            <w:pPr>
              <w:jc w:val="center"/>
              <w:ind w:right="8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132.1</w:t>
            </w:r>
          </w:p>
        </w:tc>
        <w:tc>
          <w:tcPr>
            <w:tcW w:w="100" w:type="dxa"/>
            <w:vAlign w:val="bottom"/>
          </w:tcPr>
          <w:p>
            <w:pPr>
              <w:spacing w:after="0"/>
              <w:rPr>
                <w:sz w:val="21"/>
                <w:szCs w:val="21"/>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20.8</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16%</w:t>
            </w:r>
          </w:p>
        </w:tc>
      </w:tr>
      <w:tr>
        <w:trPr>
          <w:trHeight w:val="27"/>
        </w:trPr>
        <w:tc>
          <w:tcPr>
            <w:tcW w:w="3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13</w:t>
            </w:r>
          </w:p>
        </w:tc>
      </w:tr>
      <w:tr>
        <w:trPr>
          <w:trHeight w:val="297"/>
        </w:trPr>
        <w:tc>
          <w:tcPr>
            <w:tcW w:w="3660" w:type="dxa"/>
            <w:vAlign w:val="bottom"/>
            <w:tcBorders>
              <w:bottom w:val="single" w:sz="8" w:color="CCEEFF"/>
            </w:tcBorders>
          </w:tcPr>
          <w:p>
            <w:pPr>
              <w:jc w:val="center"/>
              <w:ind w:right="1990"/>
              <w:spacing w:after="0"/>
              <w:rPr>
                <w:sz w:val="20"/>
                <w:szCs w:val="20"/>
                <w:color w:val="auto"/>
              </w:rPr>
            </w:pPr>
            <w:r>
              <w:rPr>
                <w:rFonts w:ascii="Arial" w:cs="Arial" w:eastAsia="Arial" w:hAnsi="Arial"/>
                <w:sz w:val="18"/>
                <w:szCs w:val="18"/>
                <w:color w:val="auto"/>
                <w:w w:val="89"/>
              </w:rPr>
              <w:t>Total cost of revenue</w:t>
            </w:r>
          </w:p>
        </w:tc>
        <w:tc>
          <w:tcPr>
            <w:tcW w:w="1260" w:type="dxa"/>
            <w:vAlign w:val="bottom"/>
            <w:tcBorders>
              <w:top w:val="single" w:sz="8" w:color="auto"/>
              <w:bottom w:val="single" w:sz="8" w:color="auto"/>
            </w:tcBorders>
          </w:tcPr>
          <w:p>
            <w:pPr>
              <w:jc w:val="right"/>
              <w:ind w:right="105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3"/>
              </w:rPr>
              <w:t>241.3</w:t>
            </w:r>
          </w:p>
        </w:tc>
        <w:tc>
          <w:tcPr>
            <w:tcW w:w="120" w:type="dxa"/>
            <w:vAlign w:val="bottom"/>
            <w:tcBorders>
              <w:bottom w:val="single" w:sz="8" w:color="CCEEFF"/>
            </w:tcBorders>
          </w:tcPr>
          <w:p>
            <w:pPr>
              <w:spacing w:after="0"/>
              <w:rPr>
                <w:sz w:val="24"/>
                <w:szCs w:val="24"/>
                <w:color w:val="auto"/>
              </w:rPr>
            </w:pPr>
          </w:p>
        </w:tc>
        <w:tc>
          <w:tcPr>
            <w:tcW w:w="1240" w:type="dxa"/>
            <w:vAlign w:val="bottom"/>
            <w:tcBorders>
              <w:top w:val="single" w:sz="8" w:color="auto"/>
              <w:bottom w:val="single" w:sz="8" w:color="auto"/>
            </w:tcBorders>
          </w:tcPr>
          <w:p>
            <w:pPr>
              <w:jc w:val="center"/>
              <w:ind w:right="10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210.3</w:t>
            </w:r>
          </w:p>
        </w:tc>
        <w:tc>
          <w:tcPr>
            <w:tcW w:w="1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15%</w:t>
            </w:r>
          </w:p>
        </w:tc>
      </w:tr>
      <w:tr>
        <w:trPr>
          <w:trHeight w:val="23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60" w:type="dxa"/>
            <w:vAlign w:val="bottom"/>
          </w:tcPr>
          <w:p>
            <w:pPr>
              <w:jc w:val="center"/>
              <w:ind w:right="2010"/>
              <w:spacing w:after="0"/>
              <w:rPr>
                <w:sz w:val="20"/>
                <w:szCs w:val="20"/>
                <w:color w:val="auto"/>
              </w:rPr>
            </w:pPr>
            <w:r>
              <w:rPr>
                <w:rFonts w:ascii="Arial" w:cs="Arial" w:eastAsia="Arial" w:hAnsi="Arial"/>
                <w:sz w:val="18"/>
                <w:szCs w:val="18"/>
                <w:color w:val="auto"/>
                <w:w w:val="90"/>
              </w:rPr>
              <w:t>Product</w:t>
            </w:r>
          </w:p>
        </w:tc>
        <w:tc>
          <w:tcPr>
            <w:tcW w:w="1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jc w:val="center"/>
              <w:ind w:right="2030"/>
              <w:spacing w:after="0"/>
              <w:rPr>
                <w:sz w:val="20"/>
                <w:szCs w:val="20"/>
                <w:color w:val="auto"/>
              </w:rPr>
            </w:pPr>
            <w:r>
              <w:rPr>
                <w:rFonts w:ascii="Arial" w:cs="Arial" w:eastAsia="Arial" w:hAnsi="Arial"/>
                <w:sz w:val="18"/>
                <w:szCs w:val="18"/>
                <w:color w:val="auto"/>
                <w:w w:val="89"/>
              </w:rPr>
              <w:t>Service</w:t>
            </w:r>
          </w:p>
        </w:tc>
        <w:tc>
          <w:tcPr>
            <w:tcW w:w="1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702"/>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gridSpan w:val="2"/>
          </w:tcPr>
          <w:p>
            <w:pPr>
              <w:jc w:val="center"/>
              <w:ind w:right="936"/>
              <w:spacing w:after="0"/>
              <w:rPr>
                <w:sz w:val="20"/>
                <w:szCs w:val="20"/>
                <w:color w:val="auto"/>
              </w:rPr>
            </w:pPr>
            <w:r>
              <w:rPr>
                <w:rFonts w:ascii="Arial" w:cs="Arial" w:eastAsia="Arial" w:hAnsi="Arial"/>
                <w:sz w:val="18"/>
                <w:szCs w:val="18"/>
                <w:color w:val="auto"/>
                <w:w w:val="89"/>
              </w:rPr>
              <w:t>33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Total gross margin increased by 0.7 percentage points during the six months ended June 30, 2019 compared to the same period last year, driven primarily by an increase in service gross margin, which was partially offset by a decrease in product gross margin.</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Product gross margin decreased by 0.7 percentage points, reflecting changes in our product mix during the six months ended June 30, 2019 compared to the same period last year. Cost of product revenue was comprised of direct product costs and indirect costs, including inventory reserves and other manufacturing overhead.</w:t>
      </w:r>
    </w:p>
    <w:p>
      <w:pPr>
        <w:spacing w:after="0" w:line="18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Service gross margin increased by 0.9 percentage points during the six months ended June 30, 2019 compared to the same period last year, as our service revenue growth outpaced our growth in related personnel costs. Cost of service revenue was comprised primarily of personnel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40" w:type="dxa"/>
            <w:vAlign w:val="bottom"/>
            <w:gridSpan w:val="6"/>
          </w:tcPr>
          <w:p>
            <w:pPr>
              <w:ind w:left="440"/>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center"/>
              <w:ind w:left="694"/>
              <w:spacing w:after="0"/>
              <w:rPr>
                <w:sz w:val="20"/>
                <w:szCs w:val="20"/>
                <w:color w:val="auto"/>
              </w:rPr>
            </w:pPr>
            <w:r>
              <w:rPr>
                <w:rFonts w:ascii="Arial" w:cs="Arial" w:eastAsia="Arial" w:hAnsi="Arial"/>
                <w:sz w:val="16"/>
                <w:szCs w:val="16"/>
                <w:b w:val="1"/>
                <w:bCs w:val="1"/>
                <w:color w:val="auto"/>
                <w:w w:val="87"/>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2019</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Revenue</w:t>
            </w:r>
          </w:p>
        </w:tc>
        <w:tc>
          <w:tcPr>
            <w:tcW w:w="200" w:type="dxa"/>
            <w:vAlign w:val="bottom"/>
          </w:tcPr>
          <w:p>
            <w:pPr>
              <w:spacing w:after="0"/>
              <w:rPr>
                <w:sz w:val="18"/>
                <w:szCs w:val="18"/>
                <w:color w:val="auto"/>
              </w:rPr>
            </w:pPr>
          </w:p>
        </w:tc>
        <w:tc>
          <w:tcPr>
            <w:tcW w:w="146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80"/>
              <w:spacing w:after="0"/>
              <w:rPr>
                <w:sz w:val="20"/>
                <w:szCs w:val="20"/>
                <w:color w:val="auto"/>
              </w:rPr>
            </w:pPr>
            <w:r>
              <w:rPr>
                <w:rFonts w:ascii="Arial" w:cs="Arial" w:eastAsia="Arial" w:hAnsi="Arial"/>
                <w:sz w:val="16"/>
                <w:szCs w:val="16"/>
                <w:b w:val="1"/>
                <w:bCs w:val="1"/>
                <w:color w:val="auto"/>
                <w:w w:val="9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74"/>
              <w:spacing w:after="0"/>
              <w:rPr>
                <w:sz w:val="20"/>
                <w:szCs w:val="20"/>
                <w:color w:val="auto"/>
              </w:rPr>
            </w:pPr>
            <w:r>
              <w:rPr>
                <w:rFonts w:ascii="Arial" w:cs="Arial" w:eastAsia="Arial" w:hAnsi="Arial"/>
                <w:sz w:val="18"/>
                <w:szCs w:val="18"/>
                <w:color w:val="auto"/>
                <w:w w:val="94"/>
              </w:rPr>
              <w:t>14%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89"/>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64.3</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74"/>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1</w:t>
            </w: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627.2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center"/>
              <w:ind w:right="174"/>
              <w:spacing w:after="0"/>
              <w:rPr>
                <w:sz w:val="20"/>
                <w:szCs w:val="20"/>
                <w:color w:val="auto"/>
              </w:rPr>
            </w:pPr>
            <w:r>
              <w:rPr>
                <w:rFonts w:ascii="Arial" w:cs="Arial" w:eastAsia="Arial" w:hAnsi="Arial"/>
                <w:sz w:val="18"/>
                <w:szCs w:val="18"/>
                <w:color w:val="auto"/>
                <w:w w:val="94"/>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Research and development expense increased by $15.7 million, or 13%, during the six months ended June 30, 2019 compared to the same period last year, primarily due to an increase of $14.1 million in personnel-related costs as a result of increased headcount to support the development of new products and continued enhancements of our existing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Sales and marketing expense increased by $64.3 million, or 17%, during the six months ended June 30, 2019 compared to the same period last year, primarily due to an increase of $47.1 million in personnel-related costs, including higher stock-based compensation expense of $7.2 million, as sales and marketing headcount increased in order to drive market share gains globally. In addition, marketing-related expense increased by $6.4 million.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General and administrative expense increased by $0.3 million, or 1%, during the six months ended June 30, 2019 compared to the same period last year, due to an increase of $2.4 million in legal expenses and an increase of $1.3 million in personnel-related costs. The increase in expense was partially offset by a decrease of $3.0 million in professional services and a decrease of other expenses of $0.5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20" w:type="dxa"/>
            <w:vAlign w:val="bottom"/>
            <w:gridSpan w:val="3"/>
          </w:tcPr>
          <w:p>
            <w:pPr>
              <w:jc w:val="right"/>
              <w:ind w:right="1115"/>
              <w:spacing w:after="0"/>
              <w:rPr>
                <w:sz w:val="20"/>
                <w:szCs w:val="20"/>
                <w:color w:val="auto"/>
              </w:rPr>
            </w:pPr>
            <w:r>
              <w:rPr>
                <w:rFonts w:ascii="Arial" w:cs="Arial" w:eastAsia="Arial" w:hAnsi="Arial"/>
                <w:sz w:val="16"/>
                <w:szCs w:val="16"/>
                <w:b w:val="1"/>
                <w:bCs w:val="1"/>
                <w:color w:val="auto"/>
                <w:w w:val="93"/>
              </w:rPr>
              <w:t>Six Months Ended</w:t>
            </w: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555"/>
              <w:spacing w:after="0"/>
              <w:rPr>
                <w:sz w:val="20"/>
                <w:szCs w:val="20"/>
                <w:color w:val="auto"/>
              </w:rPr>
            </w:pPr>
            <w:r>
              <w:rPr>
                <w:rFonts w:ascii="Arial" w:cs="Arial" w:eastAsia="Arial" w:hAnsi="Arial"/>
                <w:sz w:val="16"/>
                <w:szCs w:val="16"/>
                <w:b w:val="1"/>
                <w:bCs w:val="1"/>
                <w:color w:val="auto"/>
              </w:rPr>
              <w:t>June 30,</w:t>
            </w:r>
          </w:p>
        </w:tc>
        <w:tc>
          <w:tcPr>
            <w:tcW w:w="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220" w:type="dxa"/>
            <w:vAlign w:val="bottom"/>
          </w:tcPr>
          <w:p>
            <w:pPr>
              <w:jc w:val="right"/>
              <w:ind w:right="54"/>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72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76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gridSpan w:val="3"/>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8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(in millions, except percentages)</w:t>
            </w:r>
          </w:p>
        </w:tc>
        <w:tc>
          <w:tcPr>
            <w:tcW w:w="176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20" w:type="dxa"/>
            <w:vAlign w:val="bottom"/>
            <w:tcBorders>
              <w:bottom w:val="single" w:sz="8" w:color="CCEEFF"/>
            </w:tcBorders>
            <w:shd w:val="clear" w:color="auto" w:fill="CCEEFF"/>
          </w:tcPr>
          <w:p>
            <w:pPr>
              <w:jc w:val="right"/>
              <w:ind w:right="101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10.9</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220" w:type="dxa"/>
            <w:vAlign w:val="bottom"/>
          </w:tcPr>
          <w:p>
            <w:pPr>
              <w:jc w:val="right"/>
              <w:ind w:right="101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13"/>
              <w:spacing w:after="0"/>
              <w:rPr>
                <w:sz w:val="20"/>
                <w:szCs w:val="20"/>
                <w:color w:val="auto"/>
              </w:rPr>
            </w:pPr>
            <w:r>
              <w:rPr>
                <w:rFonts w:ascii="Arial" w:cs="Arial" w:eastAsia="Arial" w:hAnsi="Arial"/>
                <w:sz w:val="18"/>
                <w:szCs w:val="18"/>
                <w:color w:val="auto"/>
              </w:rPr>
              <w:t>4.3</w:t>
            </w:r>
          </w:p>
        </w:tc>
        <w:tc>
          <w:tcPr>
            <w:tcW w:w="176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Interest income increased during the six months ended June 30, 2019 compared to the same period last year, primarily due to higher interest rates and, to a lesser extent, higher invested balances of cash, cash equivalents and investments. Interest income varies depending on our average investment balances during the period, types and mix of investments, and market interest rates. The change in other expense—net during the six months ended June 30, 2019 compared to the same period last year was primarily due to lower foreign currency exchange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20" w:type="dxa"/>
            <w:vAlign w:val="bottom"/>
            <w:gridSpan w:val="2"/>
          </w:tcPr>
          <w:p>
            <w:pPr>
              <w:jc w:val="right"/>
              <w:ind w:right="597"/>
              <w:spacing w:after="0"/>
              <w:rPr>
                <w:sz w:val="20"/>
                <w:szCs w:val="20"/>
                <w:color w:val="auto"/>
              </w:rPr>
            </w:pPr>
            <w:r>
              <w:rPr>
                <w:rFonts w:ascii="Arial" w:cs="Arial" w:eastAsia="Arial" w:hAnsi="Arial"/>
                <w:sz w:val="16"/>
                <w:szCs w:val="16"/>
                <w:b w:val="1"/>
                <w:bCs w:val="1"/>
                <w:color w:val="auto"/>
                <w:w w:val="95"/>
              </w:rPr>
              <w:t>Six Months Ended</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1260" w:type="dxa"/>
            <w:vAlign w:val="bottom"/>
          </w:tcPr>
          <w:p>
            <w:pPr>
              <w:jc w:val="center"/>
              <w:ind w:left="476"/>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8"/>
                <w:szCs w:val="18"/>
                <w:color w:val="auto"/>
              </w:rPr>
            </w:pPr>
          </w:p>
        </w:tc>
        <w:tc>
          <w:tcPr>
            <w:tcW w:w="1380" w:type="dxa"/>
            <w:vAlign w:val="bottom"/>
          </w:tcPr>
          <w:p>
            <w:pPr>
              <w:jc w:val="center"/>
              <w:ind w:left="557"/>
              <w:spacing w:after="0"/>
              <w:rPr>
                <w:sz w:val="20"/>
                <w:szCs w:val="20"/>
                <w:color w:val="auto"/>
              </w:rPr>
            </w:pPr>
            <w:r>
              <w:rPr>
                <w:rFonts w:ascii="Arial" w:cs="Arial" w:eastAsia="Arial" w:hAnsi="Arial"/>
                <w:sz w:val="16"/>
                <w:szCs w:val="16"/>
                <w:b w:val="1"/>
                <w:bCs w:val="1"/>
                <w:color w:val="auto"/>
                <w:w w:val="90"/>
              </w:rPr>
              <w:t>June 30,</w:t>
            </w: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1260" w:type="dxa"/>
            <w:vAlign w:val="bottom"/>
          </w:tcPr>
          <w:p>
            <w:pPr>
              <w:jc w:val="right"/>
              <w:ind w:right="76"/>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380" w:type="dxa"/>
            <w:vAlign w:val="bottom"/>
          </w:tcPr>
          <w:p>
            <w:pPr>
              <w:jc w:val="right"/>
              <w:ind w:right="117"/>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360" w:type="dxa"/>
            <w:vAlign w:val="bottom"/>
          </w:tcPr>
          <w:p>
            <w:pPr>
              <w:jc w:val="right"/>
              <w:ind w:right="14"/>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8"/>
                <w:szCs w:val="18"/>
                <w:color w:val="auto"/>
              </w:rPr>
            </w:pPr>
          </w:p>
        </w:tc>
        <w:tc>
          <w:tcPr>
            <w:tcW w:w="1720" w:type="dxa"/>
            <w:vAlign w:val="bottom"/>
          </w:tcPr>
          <w:p>
            <w:pPr>
              <w:jc w:val="right"/>
              <w:ind w:right="51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40" w:type="dxa"/>
            <w:vAlign w:val="bottom"/>
            <w:gridSpan w:val="3"/>
          </w:tcPr>
          <w:p>
            <w:pPr>
              <w:jc w:val="right"/>
              <w:ind w:right="134"/>
              <w:spacing w:after="0"/>
              <w:rPr>
                <w:sz w:val="20"/>
                <w:szCs w:val="20"/>
                <w:color w:val="auto"/>
              </w:rPr>
            </w:pPr>
            <w:r>
              <w:rPr>
                <w:rFonts w:ascii="Arial" w:cs="Arial" w:eastAsia="Arial" w:hAnsi="Arial"/>
                <w:sz w:val="16"/>
                <w:szCs w:val="16"/>
                <w:b w:val="1"/>
                <w:bCs w:val="1"/>
                <w:color w:val="auto"/>
              </w:rPr>
              <w:t>(in millions, except percentages)</w:t>
            </w:r>
          </w:p>
        </w:tc>
        <w:tc>
          <w:tcPr>
            <w:tcW w:w="8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14.6</w:t>
            </w:r>
          </w:p>
        </w:tc>
        <w:tc>
          <w:tcPr>
            <w:tcW w:w="1380" w:type="dxa"/>
            <w:vAlign w:val="bottom"/>
            <w:tcBorders>
              <w:bottom w:val="single" w:sz="8" w:color="CCEEFF"/>
            </w:tcBorders>
            <w:shd w:val="clear" w:color="auto" w:fill="CCEEFF"/>
          </w:tcPr>
          <w:p>
            <w:pPr>
              <w:jc w:val="right"/>
              <w:ind w:right="1117"/>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360" w:type="dxa"/>
            <w:vAlign w:val="bottom"/>
            <w:tcBorders>
              <w:bottom w:val="single" w:sz="8" w:color="CCEEFF"/>
            </w:tcBorders>
            <w:shd w:val="clear" w:color="auto" w:fill="CCEEFF"/>
          </w:tcPr>
          <w:p>
            <w:pPr>
              <w:jc w:val="right"/>
              <w:ind w:right="105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17.3</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3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effective tax rate was 10% for the six months ended June 30, 2019 compared to an effective tax rate benefit of 3% for the same period last year. The effective tax rate for the six months ended June 30, 2019 was primarily comprised of U.S. federal and state taxes, withholding taxes and foreign taxes of $42.0 million, which were offset by excess tax benefits from stock-based compensation expense of $27.7 million. The tax rate for the six months ended June 30, 2019 was impacted by an increase in tax expense of $10.3 million for an unrecognized tax benefit related to the Ninth Circuit’s Altera decision regarding stock-based compensation expense in cost sharing arrangements. This expense was offset by release of reserves of $10.0 million on uncertain tax positions and the associated interests due to the expiration of the statute of limitations. The tax rate for the six months ended June 30, 2018 was comprised of U.S. federal and state taxes, withholding taxes and foreign taxes of $25.7 million, which were offset by excess tax benefits from stock-based compensation expense of $10.5 million. The tax rate for the six month ended June 30, 2018 was also impacted by release of reserve for uncertain tax positions including interest of $18.0 million.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center"/>
              <w:ind w:left="934"/>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center"/>
              <w:ind w:right="15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957.6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604.2</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1,979.7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1,716.6</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1,067.0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964.5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08"/>
        </w:trPr>
        <w:tc>
          <w:tcPr>
            <w:tcW w:w="8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4"/>
          </w:tcPr>
          <w:p>
            <w:pPr>
              <w:jc w:val="center"/>
              <w:ind w:right="173"/>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June 30,</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center"/>
              <w:ind w:right="19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4"/>
          </w:tcPr>
          <w:p>
            <w:pPr>
              <w:jc w:val="center"/>
              <w:ind w:right="15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161.1</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Liquidity and capital resources may be impacted by our operating activities, as well as by our stock repurchases, real estate and other capital expenditures, proceeds associated with stock option exercises and issuances of common stock under our equity incentive plans and payment of taxes in connection with the net settlement of equity awards. In recent years, we have received significant capital resources from billings, the exercise of stock options and ESPP purchases. Additional increases in billings may depend on a number of factors, including demand for our products and services, competition, market or industry changes, and our ability to execute. We expect proceeds from the exercise of stock options in future years to be impacted by the increased mix of restricted stock units versus stock options granted and also to vary based on our share price. We expect there to be no future proceeds from purchases under our ESPP, which was terminated in February 2019. As of June 30, 2019, $642.7 million remained available for future share repurchase under the Repurchase Program.</w:t>
      </w:r>
    </w:p>
    <w:p>
      <w:pPr>
        <w:spacing w:after="0" w:line="19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Construction of our new headquarters building started in the fourth quarter of 2018 and related spending will continue in 2019 and until project completion. We estimate 2019 spending on the project to be between $50.0 million to $70.0 million dollars.</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June 30, 2019, our cash, cash equivalents and investments of $1.98 billion were invested primarily in deposit accounts, money market funds, corporate debt securities, commercial paper, certificates of deposit and term deposits and U.S. government and agency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amount of cash, cash equivalents and investments held by our international subsidiaries was $138.5 million as of June 30, 2019 and $956.6 million as of December 31, 2018. The decrease in cash, cash equivalents and investments held by our international subsidiaries was due to our international tax restructure.</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planned share repurchases, the timing and extent of spending to support development efforts, the expansion of sales and marketing activities, the introduction of new and enhanced products and services offerings, the continuing market acceptance of our products and our investments in purchasing or leasing real estate.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amortization of deferred contract costs, depreciation of property and equipment, amortization of intangible assets and amortization of investment premiums, net of accretion of purchase discounts.</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operating activities during the six months ended June 30, 2019 provided $396.4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grew $395.7 million, or 27%, as of June 30, 2019 compared to the same period last year.</w:t>
      </w:r>
    </w:p>
    <w:p>
      <w:pPr>
        <w:spacing w:after="0" w:line="17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Our operating activities during the six months ended June 30, 2018 provided $282.0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grew $309.3 million, or 27%, as of June 30, 2018 compared to the same period in the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purchase decision related to our larger facilities, we have considered various factors including financial metrics and the impact on our employees. In certain cases, we have elected to purchase the facility if we believed that purchasing rather than leasing is more in line with our long-term strategy. We expect to make similar decisions in the future. We may also make cash payments in connection with a future business combination.</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During the six months ended June 30, 2019, cash used in investing activities was primarily due to $348.1 million spent for purchases of investments, net of maturities and sales of investments and $27.5 million spent on capital expenditures.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the six months ended June 30, 2018, cash used for investing activities was primarily due to the $23.2 million we spent on capital expenditures and $6.0 million used for the acquisition of Bradford, net of cash acquired. This was partially offset by an increase in cash of $10.7 million due to maturities and sales of our investments, net of purchases.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changes in cash flows from financing activities primarily relate to cash payments for the repurchase and retirement of common stock, proceeds from the issuance of common stock under our equity incentive plans and taxes paid related to net share settlement of equity awards.</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six months ended June 30, 2019, cash used in financing activities was $111.1 million, primarily due to $94.2 million used to repurchase our common stock and $16.9 million used to pay tax withholding, net of proceeds, from the issuance of common stock.</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six months ended June 30, 2018, cash used for financing activities was $102.4 million, primarily due to $117.1 million used to repurchase our common stock and $9.5 million of payments of the debt assumed in business combinations. This was partially offset by $24.2 million of proceeds, net of tax withholding, from the issuance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Except for presentation changes resulting from the adoption of Accounting Standards Update (“ASU”) 2016-02—Leases (Topic 842) (“Topic 842”) during the period, there were no material changes outside the ordinary course of business during the six months ended June 30, 2019 to the contractual obligations and commitments disclosed in Management’s Discussion and Analysis of Financial Condition and Results of Operations, set forth in Part II, Item 7, of the Form 10-K. See Note 11 of the notes to condensed consolidated financial statements included in Part I, Item 1 of this Quarterly Report on Form 10-Q for additional information regarding contractual obligations and commitments.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June 30,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six months ended June 30, 2019 compared to the disclosures in Part II, Item 7A of the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June 30, 2019.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2019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In January 2019, we implemented certain internal controls over financial reporting in connection with our adoption of Topic 842. There were no other changes in our internal control over financial reporting (as defined in Rules 13a-15(f) or 15d-15(f) under the Exchange Act) during the six months ended June 30, 2019 that have materially affected, or are reasonably likely to materially affect, our internal control over financial reporting.</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2" w:right="29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hire and retain effective sales personnel;</w:t>
      </w:r>
    </w:p>
    <w:p>
      <w:pPr>
        <w:spacing w:after="0" w:line="170"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 including, among other execution risks, risks associated with the complexity and distraction in selling to all segments and increased competition and unpredictability of timing to close sales deals with large enterprises;</w:t>
      </w:r>
    </w:p>
    <w:p>
      <w:pPr>
        <w:spacing w:after="0" w:line="186"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execution risk associated with our efforts to capture the opportunities related to our identified growth drivers, such as risk associated with our ability to capitalize on cloud, IoT, OT and edge security opportunities;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actual or perceived vulnerabilities in our products or services, and any actual or perceived breach of our network or our customers’ networks;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growth rates of the network security market in particular and other security and networking markets for which we sell products and services;</w:t>
      </w:r>
    </w:p>
    <w:p>
      <w:pPr>
        <w:spacing w:after="0" w:line="170"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hanging="644"/>
        <w:spacing w:after="0" w:line="312" w:lineRule="auto"/>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225"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price competition and increased competitiveness in our market, including the competitive pressure caused by product refresh cycles;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customer renewal rates or attached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contractual term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22" w:right="3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 such as the impact of the United Kingdom’s exit from the European Union (“Brexit”);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700" w:hanging="644"/>
        <w:spacing w:after="0" w:line="34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accounting for leases and stock-based compensation, as well as the significant costs that may be incurred to adopt and comply with these new pronouncements;</w:t>
      </w:r>
    </w:p>
    <w:p>
      <w:pPr>
        <w:spacing w:after="0" w:line="123" w:lineRule="exact"/>
        <w:rPr>
          <w:rFonts w:ascii="Arial" w:cs="Arial" w:eastAsia="Arial" w:hAnsi="Arial"/>
          <w:sz w:val="16"/>
          <w:szCs w:val="16"/>
          <w:color w:val="auto"/>
        </w:rPr>
      </w:pPr>
    </w:p>
    <w:p>
      <w:pPr>
        <w:ind w:left="1300" w:right="94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reason to continue to capitalize on sales and growth opportunities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17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or our Fortinet Security Fabric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income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14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200" w:hanging="644"/>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import and export control laws, trade laws and regulations, tariffs and retaliatory measures, trade barriers and economic sanctions;</w:t>
      </w:r>
    </w:p>
    <w:p>
      <w:pPr>
        <w:spacing w:after="0" w:line="186"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managed security service providers (“MSSPs”), and there can be no assurance that we will be successful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selling to these customers. Sales to these organizations involve risks that may not be present, or that are present to a lesser extent, with sales to smaller entities. These risks include:</w:t>
      </w:r>
    </w:p>
    <w:p>
      <w:pPr>
        <w:spacing w:after="0" w:line="170" w:lineRule="exact"/>
        <w:rPr>
          <w:sz w:val="20"/>
          <w:szCs w:val="20"/>
          <w:color w:val="auto"/>
        </w:rPr>
      </w:pPr>
    </w:p>
    <w:p>
      <w:pPr>
        <w:ind w:left="1300" w:right="44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1"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uncertainty as to timing to close large deals and any delays in closing those deals;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 If we do not hire properly qualified and effective sales employees and organize our sales team effectively to capture the opportunities in the various customer segments we are targeting, our growth and ability to effectively support growth would be harmed.</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6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If our internal enterprise IT networks, on which we conduct internal business and interface externally, or our operational networks, through which we connect to customer systems and provide services, are compromised, public perception of our products and services will be harmed, we may become subject to liability, and our business, operating results and stock price may be adversely impacted.</w:t>
      </w:r>
    </w:p>
    <w:p>
      <w:pPr>
        <w:spacing w:after="0" w:line="16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 system or data. For example, we previously announced that in the second quarter of 2019 we discovered that an unauthorized party illegally targeted us using sophisticated techniques, such as stealing technical data in order to both impersonate our firewall update servers and possibly attempt other attack methodologies, in an effort to try to gain access to certain of our customers’ systems. Our investigation of this matter is ongoing. While in general we take numerous measures and implement multiple layers of security to protect our network and our customers’ networks, and, in this particular case, we took immediate additional action to protect our customers, no security company can guaranty that its security products and services will prevent all threats, and we cannot be sure that third parties have not been, and will not in the future be, successful in improperly accessing our system and our customers’ systems and negatively impacting us or our customers. An actual or perceived breach, or any other actual or perceived data security incident, that involves our network, systems or website and/or our customers’ network, systems or websites, including the specific matter that is discussed above and that is the subject of our ongoing investigation,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end-customers may be harmed, lose confidence in us and decrease or cease using our products and services. Any breach of our internal network system or our website could have an adverse effect on our business, operating results and stock price.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If expected orders at the end of any quarter are delayed for any reason or our ability to fulfill orders at the end of the quarter is hindered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6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will be harmed.</w:t>
      </w:r>
    </w:p>
    <w:p>
      <w:pPr>
        <w:spacing w:after="0" w:line="14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will be harmed. The termination of our relationship with any significant channel partner may adversely impact our sales and operating results.</w:t>
      </w:r>
    </w:p>
    <w:p>
      <w:pPr>
        <w:spacing w:after="0" w:line="16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and we may not have sufficient information to assess their financial condition.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In addition, we may be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In July 2017, Exclusive Networks Group (“Exclusive”), which distributes our solutions to a large group of resellers and end-customers, acquired Fine Tec U.S. Since the acquisition of Fine Tec U.S., Exclusive’s business with us has increased and may continue to increase in the future. Exclusive accounted for 35% of our total net accounts receivable as of June 30, 2019. Ingram Micro, Inc. (“Ingram Micro”), which distributed our solutions to a large group of resellers and end-customers accounted for 11% of our total net accounts receivable as of June 30, 2019. During the three months ended June 30, 2019, Exclusive and Ingram Micro accounted for 31% and 11% of our total revenue, respectively. During the six months ended June 30, 2019, Exclusive and Ingram Micro accounted for 31% and 11% of our total revenue, respectively. During the three months ended June 30, 2018, Exclusive and Ingram Micro accounted for 29% and 10% of our total revenue, respectively. During the six months ended June 30, 2018, Exclusive accounted for 29% of our total revenue. In addition to other risks associated with the concentration of accounts receivable and revenue from these distributors, Exclusive is a private entity and we may not have sufficient information to assess its financial condition and accordingly, if Exclusive were to experience financial difficulties, we might not have advance notice.</w:t>
      </w:r>
    </w:p>
    <w:p>
      <w:pPr>
        <w:spacing w:after="0" w:line="1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70"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We are also susceptible to errors, defects, vulnerabilities or attacks that may arise at, or be inserted into our products in, different stages in our supply chain, or manufacturing processes, and which are out of our control. Attacks may target specific unidentified or unresolved vulnerabilities that exist or arrive only in the supply chain, making these attacks virtually impossible to anticipate and difficult to defend against.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or FortiCare updates or our FortiGate appliances and operating systems could result in a failure of our FortiGuard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7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products or if our products are provided by an unauthorized third party. Any actual, possible or perceived defects, errors or vulnerabilities in our products, or misuse of our products, could result in:</w:t>
      </w:r>
    </w:p>
    <w:p>
      <w:pPr>
        <w:spacing w:after="0" w:line="170" w:lineRule="exact"/>
        <w:rPr>
          <w:sz w:val="20"/>
          <w:szCs w:val="20"/>
          <w:color w:val="auto"/>
        </w:rPr>
      </w:pPr>
    </w:p>
    <w:p>
      <w:pPr>
        <w:ind w:left="1300" w:right="8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84" w:lineRule="exact"/>
        <w:rPr>
          <w:sz w:val="20"/>
          <w:szCs w:val="20"/>
          <w:color w:val="auto"/>
        </w:rPr>
      </w:pPr>
    </w:p>
    <w:p>
      <w:pPr>
        <w:ind w:right="80" w:firstLine="648"/>
        <w:spacing w:after="0" w:line="290" w:lineRule="auto"/>
        <w:rPr>
          <w:sz w:val="20"/>
          <w:szCs w:val="20"/>
          <w:color w:val="auto"/>
        </w:rPr>
      </w:pPr>
      <w:r>
        <w:rPr>
          <w:rFonts w:ascii="Arial" w:cs="Arial" w:eastAsia="Arial" w:hAnsi="Arial"/>
          <w:sz w:val="17"/>
          <w:szCs w:val="17"/>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6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security and administrative systems and controls, and our business continuity and disaster recovery plans and processes, and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7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173" w:lineRule="exact"/>
        <w:rPr>
          <w:sz w:val="20"/>
          <w:szCs w:val="20"/>
          <w:color w:val="auto"/>
        </w:rPr>
      </w:pPr>
    </w:p>
    <w:p>
      <w:pPr>
        <w:ind w:right="340" w:firstLine="648"/>
        <w:spacing w:after="0" w:line="273" w:lineRule="auto"/>
        <w:rPr>
          <w:sz w:val="20"/>
          <w:szCs w:val="20"/>
          <w:color w:val="auto"/>
        </w:rPr>
      </w:pPr>
      <w:r>
        <w:rPr>
          <w:rFonts w:ascii="Arial" w:cs="Arial" w:eastAsia="Arial" w:hAnsi="Arial"/>
          <w:sz w:val="17"/>
          <w:szCs w:val="17"/>
          <w:color w:val="auto"/>
        </w:rPr>
        <w:t>We have expanded our office real estate holdings to meet our projected growing need for office space. We have started construction on a second building adjacent to our headquarters as we expand our campus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maintenance of our internal business management systems, such as our ERP and CRM systems, has required, and will continue to require, the investment of significant financial and human resources. In addition, we may choose to upgrade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spacing w:after="0" w:line="17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Additionally, in connection with adopting and implementing the new revenue standard, management will continue to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 For example, a change in our sales compensation plan may materially impact our accounting for deferred contract costs, which would impact our commission expense and therefore our future operating results.</w:t>
      </w:r>
    </w:p>
    <w:p>
      <w:pPr>
        <w:spacing w:after="0" w:line="17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International Co., Wistron Corporation, Senao Networks, Inc., ADLINK Technology, Inc. and IBASE Technology, Inc. Our reliance on our third-party manufacturers in Asia and elsewhere reduces our control over the manufacturing process, exposing us to risks, including reduced control over quality assurance, costs, supply and timing and possible tariffs.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proprietary SPU, which is the key to the performance of our appliances, is built by contract manufacturers including Faraday and</w:t>
      </w:r>
    </w:p>
    <w:p>
      <w:pPr>
        <w:spacing w:after="0" w:line="2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Renesas. These contract manufacturers use foundries operated by UMC,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temporary inventory shortages of our SPU as well as increased costs. In addition to our proprietary SPU,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6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17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network chips from Broadcom, Marvell and Intel, and memory devices from Intel, ADATA, Toshiba,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1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example, with respect to data privacy and protection, the General Data Protection Regulation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2" w:right="27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imposed by, the GDPR may limit our ability to operate or expand our business in Europe and could adversely impact our operating results, as could delays or shortcomings in the implementation of our GDPR compliance program.</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will become effective in 2020. Fines for noncompliance may be up to $7,500 per violation. The costs of compliance with, and other burdens imposed by, the GDPR and CCPA may limit the use and adoption of our products and services and could have an adverse impact on our business.</w:t>
      </w:r>
    </w:p>
    <w:p>
      <w:pPr>
        <w:spacing w:after="0" w:line="18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and risks. Failure to comply with these requirements by either us or our channel partners could subject us to investigations, fines, suspension or debarment from doing business with the U.S. government or one of its divisions, and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“TAA”). The DOJ continues to actively pursue such claims, and we recently settled a TAA-related claim with the DOJ. Any violations of regulatory and contractual requirements could result in us being suspended or debarred from future government contracting. Any of these outcomes could have an adverse effect on our revenue, operating results, financial condition and prospects.</w:t>
      </w:r>
    </w:p>
    <w:p>
      <w:pPr>
        <w:spacing w:after="0" w:line="17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Economic uncertainty in various global markets caused by political instability and conflict has resulted, and may continue to result, in weakened demand for our products and services and difficulty for us in forecasting our financial results and managing inventory levels. Political developments impacting government spending and international trade, including government shutdowns in the United States, continued uncertainty surrounding the United Kingdom’s departure from the EU and trade disputes and tariffs, may negatively impact markets and cause weaker macroeconomic conditions. The effects of these events may continue due to potential additional U.S. government shutdowns, instability in the United Kingdom and the EU as negotiations for the terms of Brexit continue, with the ultimate outcome still uncertain, and the United States’ ongoing trade disputes with China and other countries. The continuing effect of any or all of these events could adversely impact demand for our products, harm our operations and weaken our financial results.</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2" w:right="27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97"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0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March 2018, the current administration imposed a 25% tariff on steel imports and a 10% tariff on aluminum imports and announced additional tariffs on goods imported from China specifically, as well as certain other countries. And more recently, in May 2019, import tariffs were increased from 10% to 25% by the United States on some goods imported from China, including certain electronics and IT products. Other countries have in turn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16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cadmium and certain plastic additives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exemptions for lead and other substances in network infrastructure equipment. It is possible this exemption will be revoked in the future. Additionally, although the EU RoHS exemptions have been extended, it is possible that some of these exemptions may expire in the future without being extended. If this exemption is revoked or expires without extension, if there are other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Brexit and government shutdowns;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122" w:right="31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6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high-quality technical support services would have a material adverse effect on our sales and results of operations.</w:t>
      </w:r>
    </w:p>
    <w:p>
      <w:pPr>
        <w:spacing w:after="0" w:line="170"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would have a material adverse effect on our business, financial condition and results of operations and may subject us to litigation, reputational damage, loss of customers and additional costs.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24"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70"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We have open tax years that could be subject to the examination by the IRS and other tax authorities. We currently have ongoing tax audits in the United Kingdom, Canada and several other foreign jurisdictions. The focus of all of these audits is the allocation of profit between our legal entities. We regularly assess the likelihood of adverse outcomes resulting from such examinations to determine the adequacy of our provision for income taxes.</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2" w:right="27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December 2017, the U.S. federal government enacted the 2017 Tax Act. The 2017 Tax Act reduced the federal corporate income tax rate from 35% to 21% and created a territorial tax system with a one-time mandatory tax on foreign earnings of U.S. subsidiaries not previously subject to U.S. income tax. In December 2017, the SEC staff issued Staff Accounting Bulletin No. 118, Income Tax Accounting Implications of the Tax Cuts and Jobs Act (“SAB 118”), which allowed us to record provisional amounts during a measurement period not to extend beyond one year of the enactment date. As a result, we previously provided a provisional estimate of the effect of the 2017 Tax Act in our financial statements. In the fourth quarter of 2018, we completed our analysis to determine the effect of the 2017 Tax Act within the measurement period under the SEC guidance. We expect further guidance may be forthcoming from the Financial Accounting Standards Board (the “FASB”) and the SEC, as well as regulations, interpretations and rulings from federal and state tax agencies, which could result in additional impacts. We will continue to monitor and assess the impact of the 2017 Tax Act and the ongoing guidance and accounting interpretations issued in response to the 2017 Tax Act.</w:t>
      </w:r>
    </w:p>
    <w:p>
      <w:pPr>
        <w:spacing w:after="0" w:line="18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June 2019, the Ninth Circuit Court of Appeals reversed a decision of the U.S. Tax Court that 26 C.F.R. § 1.482-7A(d)(2), under which related entities must share the cost of employee stock compensation in order for their cost-sharing arrangements to be classified as qualified cost-sharing arrangements, was invalid under the Administrative Procedure Act. A reserve on uncertain tax positions was provided for the effect on our tax obligations. We will continue to monitor developments and assess the impact.</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Organisation for Economic Co-operation and Development (the “OECD”), an international association comprised of 36 countries, including the United States, has issued and continues to issue guidelines and proposals that change various aspects of the existing framework under which our tax obligations are determined in many of the countries in which we do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business. Due to our extensive international business activities, any changes in the taxation of such activities could increase our tax obligations in many countries and may increase our worldwide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remain competitive, we may seek to acquire additional businesses, products, technologies or intellectual property, such as patents. For example, we closed our acquisitions of Bradford and ZoneFox in the second quarter of 2018 and the fourth quarter of 2018, respectively. For any past acquisition or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not enforceable, for example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Canada, from which we deliver to customers our FortiGuard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Moreover, business models based on software-as-a-service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success of our web filtering service depends on the breadth and accuracy of our URL database. Although our URL database currently catalogs millions of unique URLs, it contains only a portion of the URLs for all of the websites that are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6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We face many competitors across the different cybersecurity markets. Our competitors include companies such as Barracuda Networks, Inc., Check Point Software Technologies Ltd., Cisco Systems, Inc. (“Cisco”), CrowdStrike Holdings, Inc., F5 Networks, Inc. (“F5 Networks”), FireEye, Inc., Forcepoint LLC, Imperva, Inc., Juniper Networks, Inc. (“Juniper”), McAfee, LLC, Palo Alto Networks, Inc., Proofpoint, Inc., SonicWALL, Inc., Sophos Group Plc, Trend Micro Incorporated and Zscaler, Inc.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For example, certain of our competitors are focusing on security services that they deliver from the cloud. Our competitors and potential competitors may also be able to develop products or services, and leverage new business models, that are equal or superior to ours, achieve greater market acceptance of their products and services, and increase sales by utilizing different distribution channels than we do. Our current and potential competitors may also offer point solutions, fabric and/or cloud security services that compete with some of the features present in our platform. They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2" w:right="27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Third parties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have several ongoing patent lawsuits, certain companies have sent us demand letters proposing that we license certain of their patents, and organizations have sent letters demanding that we provide indemnification for patent claims. As two examples of the ongoing patent lawsuits against us, one such patent lawsuit by British Telecommunications plc was filed in federal court in Delaware in July 2018, and a second such lawsuit by Finjan, Inc. was filed in federal court in California in October 2018.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intellectual property or that we cannot utilize such software or intellectual property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2018, our internal controls over financial reporting were effective, we cannot predict the outcome of our testing in 2019 or future periods. We may incur additional expenses and commitment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management’s time in connection with further evaluations, both of which could materially increase our operating expenses and accordingly reduce our operating results.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2018, California enacted a law that requires publicly held companies headquartered in California to have at least one female director by the end of 2019 and at least three by the end of 2021, depending on the size of the board. The law would impose financial penalties for failure to comply. Though we are currently in compliance with the requirements of the law for 2019, we may incur costs associated with complying with the law in future years, including costs associated with expanding our board of directors or identifying qualified candidates for appointment to our board of directors, or financial penalties or harm to our brand and reputation if we are unable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revenue recognition and accounting for leases (which became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w:t>
      </w:r>
    </w:p>
    <w:p>
      <w:pPr>
        <w:spacing w:after="0" w:line="15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adopted the new lease accounting standard as of January 1, 2019. Refer to Note 1 to our condensed consolidated financial statements included in this Quarterly Report on Form 10-Q for additional information on the new standard and its impact on us.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new revenue and lease standards are principles based and interpretation of those principles may vary from company to company based on their unique circumstances. Management will continue to make judgments and assumptions based on our interpretation of the new standard. It is possible that interpretation, industry practice and guidance may evolve as we work toward implementing the new revenue recognition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equity investments are now required to be measured at fair value (with subsequent changes in fair value recognized in net income), which may increase the volatility of our earnings.</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six months ended June 30, 2019, the closing price of our common stock ranged from $66.91 to $95.22 per share.</w:t>
      </w:r>
    </w:p>
    <w:p>
      <w:pPr>
        <w:spacing w:after="0" w:line="187" w:lineRule="exact"/>
        <w:rPr>
          <w:sz w:val="20"/>
          <w:szCs w:val="20"/>
          <w:color w:val="auto"/>
        </w:rPr>
      </w:pPr>
    </w:p>
    <w:p>
      <w:pPr>
        <w:ind w:firstLine="693"/>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could result in substantial costs and divert our management’s attention from other business concerns, which could seriously harm our business.</w:t>
      </w:r>
    </w:p>
    <w:p>
      <w:pPr>
        <w:spacing w:after="0" w:line="23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4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2018, our board of directors approved the increase in the aggregate authorized repurchase amount under the Repurchase Program by $500.0 million, bringing the total authorization to $1.5 billion.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despite analyses we perform in connection with repurchases under the Repurchase Program to determine the appropriate prices for repurchases of our stock,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in the most effective uses of our cash and cash equivalents, and there may be alternative uses of our cash and cash equivalents that would be more effective, such as investing in growing our business organically or through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right="5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June 30, 2019 (in millions,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Announced Plan or Program</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6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 April 30, 2019</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May 1 - May 31, 2019</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21"/>
                <w:szCs w:val="21"/>
                <w:color w:val="auto"/>
              </w:rPr>
            </w:pPr>
          </w:p>
        </w:tc>
        <w:tc>
          <w:tcPr>
            <w:tcW w:w="2040" w:type="dxa"/>
            <w:vAlign w:val="bottom"/>
          </w:tcPr>
          <w:p>
            <w:pPr>
              <w:jc w:val="right"/>
              <w:ind w:right="18"/>
              <w:spacing w:after="0"/>
              <w:rPr>
                <w:sz w:val="20"/>
                <w:szCs w:val="20"/>
                <w:color w:val="auto"/>
              </w:rPr>
            </w:pPr>
            <w:r>
              <w:rPr>
                <w:rFonts w:ascii="Arial" w:cs="Arial" w:eastAsia="Arial" w:hAnsi="Arial"/>
                <w:sz w:val="18"/>
                <w:szCs w:val="18"/>
                <w:color w:val="auto"/>
              </w:rPr>
              <w:t>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672.0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 June 30, 2019</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73.12</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57"/>
        </w:trPr>
        <w:tc>
          <w:tcPr>
            <w:tcW w:w="390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0.5</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73.48</w:t>
            </w: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Change of Control Severance Agreements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July 31, 2019, we entered into an Amended and Restated Change of Control Severance Agreement (each, a “Change of Control Agreement”) with each of Ken Xie, our Chief Executive Officer, Michael Xie, our President and Chief Technology Officer, Keith Jensen, our Chief Financial Officer, and John Whittle, our Executive Vice President of Corporate Development, General Counsel and Corporate Secretary (each, an “Executive”). Each Change of Control Agreement is effective August 7, 2019 and will amend and restate our existing Change of Control Severance Agreement with the applicable Executive (the “Existing Agreements”), each of which would have otherwise expired on August 7, 2019. The term of each Change of Control Agreement will expire on August 7, 2024 if not otherwise extended. In addition to extending the term of the Existing Agreements, the Change of Control Agreements also amend the Existing Agreements in order to align the change of control terms for each of the Executives.</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Pursuant to each Change of Control Agreement, if an Executive is terminated without Cause (as defined in the Executive’s Change of Control Agreement) or if an Executive terminates the Executive’s employment with us for Good Reason (as defined in the Executive’s Change of Control Agreement) prior to, or absent, a Change of Control (as defined in the Executive’s Change of Control Agreement), or after 12 months following a Change of Control, the Executive will be entitled to: (i) a severance payment in an amount equal to 12 months of the Executive’s then-current base salary; (ii) acceleration of the unvested equity awards then held by the Executive that would have vested over the next 12 months; and (iii) 12 months of medical, dental and/or vision benefits for the Executive and/or the Executive’s eligible dependents.</w:t>
      </w:r>
    </w:p>
    <w:p>
      <w:pPr>
        <w:spacing w:after="0" w:line="193"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Also pursuant to each Change of Control Agreement, if an Executive is terminated without Cause or if an Executive terminates the Executive’s employment with us for Good Reason within 12 months following a Change of Control, the Executive will be entitled to: (i) a severance payment in an amount equal to 12 months of the Executive’s then-current base salary; (ii) acceleration of 100% of the unvested equity awards then held by the Executive; and (iii) 12 months of medical, dental and/or vision benefits for the Executive and/or the Executive’s eligible dependents.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the event of acceleration of an Executive’s unvested equity awards, the awards will remain exercisable, to the extent applicable, following the termination for the period prescribed in the respective stock plan and agreement for each award. In the event any payment to an Executive is subject to the excise tax imposed by Section 4999 of the Internal Code of 1986, as amended (the “Code”) (as a result of a payment being classified as a “parachute payment” under Section 280G of the Code), the Executive will be entitled to receive such payment as would entitle the Executive to receive the greatest after-tax benefit of either the full payment or a lesser payment which would result in no portion of such severance benefits being subject to excise tax.</w:t>
      </w:r>
    </w:p>
    <w:p>
      <w:pPr>
        <w:spacing w:after="0" w:line="15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foregoing descriptions are qualified in their entirety by reference to the full text of the Change of Control Agreements, which are filed as exhibits to this Quarterly Report on Form 10-Q and are incorporated herein by reference.</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0" w:type="dxa"/>
            <w:vAlign w:val="bottom"/>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820" w:type="dxa"/>
            <w:vAlign w:val="bottom"/>
            <w:gridSpan w:val="2"/>
          </w:tcPr>
          <w:p>
            <w:pPr>
              <w:spacing w:after="0"/>
              <w:rPr>
                <w:rFonts w:ascii="Arial" w:cs="Arial" w:eastAsia="Arial" w:hAnsi="Arial"/>
                <w:sz w:val="14"/>
                <w:szCs w:val="14"/>
                <w:color w:val="0000FF"/>
              </w:rPr>
            </w:pPr>
            <w:hyperlink w:anchor="page73">
              <w:r>
                <w:rPr>
                  <w:rFonts w:ascii="Arial" w:cs="Arial" w:eastAsia="Arial" w:hAnsi="Arial"/>
                  <w:sz w:val="14"/>
                  <w:szCs w:val="14"/>
                  <w:color w:val="0000FF"/>
                </w:rPr>
                <w:t>10.</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rPr>
              <w:t>Amended and Restated 2009 Equity Incentive Plan</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92">
              <w:r>
                <w:rPr>
                  <w:rFonts w:ascii="Arial" w:cs="Arial" w:eastAsia="Arial" w:hAnsi="Arial"/>
                  <w:sz w:val="14"/>
                  <w:szCs w:val="14"/>
                  <w:color w:val="0000FF"/>
                </w:rPr>
                <w:t>10.</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rPr>
              <w:t>Amended and Restated Change of Control Severance Agreement, effective as of August 7, 2019, between the Company and Ken Xie</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05">
              <w:r>
                <w:rPr>
                  <w:rFonts w:ascii="Arial" w:cs="Arial" w:eastAsia="Arial" w:hAnsi="Arial"/>
                  <w:sz w:val="14"/>
                  <w:szCs w:val="14"/>
                  <w:color w:val="0000FF"/>
                </w:rPr>
                <w:t>10.</w:t>
              </w:r>
              <w:r>
                <w:rPr>
                  <w:rFonts w:ascii="Arial" w:cs="Arial" w:eastAsia="Arial" w:hAnsi="Arial"/>
                  <w:sz w:val="14"/>
                  <w:szCs w:val="14"/>
                  <w:u w:val="single" w:color="auto"/>
                  <w:color w:val="0000FF"/>
                </w:rPr>
                <w:t>3</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rPr>
              <w:t>Amended and Restated Change of Control Severance Agreement, effective as of August 7, 2019, between the Company and Michael Xie</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18">
              <w:r>
                <w:rPr>
                  <w:rFonts w:ascii="Arial" w:cs="Arial" w:eastAsia="Arial" w:hAnsi="Arial"/>
                  <w:sz w:val="14"/>
                  <w:szCs w:val="14"/>
                  <w:color w:val="0000FF"/>
                </w:rPr>
                <w:t>10.</w:t>
              </w:r>
              <w:r>
                <w:rPr>
                  <w:rFonts w:ascii="Arial" w:cs="Arial" w:eastAsia="Arial" w:hAnsi="Arial"/>
                  <w:sz w:val="14"/>
                  <w:szCs w:val="14"/>
                  <w:u w:val="single" w:color="auto"/>
                  <w:color w:val="0000FF"/>
                </w:rPr>
                <w:t>4</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rPr>
              <w:t>Amended and Restated Change of Control Severance Agreement, effective as of August 7, 2019, between the Company and John Whittle</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31">
              <w:r>
                <w:rPr>
                  <w:rFonts w:ascii="Arial" w:cs="Arial" w:eastAsia="Arial" w:hAnsi="Arial"/>
                  <w:sz w:val="14"/>
                  <w:szCs w:val="14"/>
                  <w:color w:val="0000FF"/>
                </w:rPr>
                <w:t>10.</w:t>
              </w:r>
              <w:r>
                <w:rPr>
                  <w:rFonts w:ascii="Arial" w:cs="Arial" w:eastAsia="Arial" w:hAnsi="Arial"/>
                  <w:sz w:val="14"/>
                  <w:szCs w:val="14"/>
                  <w:u w:val="single" w:color="auto"/>
                  <w:color w:val="0000FF"/>
                </w:rPr>
                <w:t>5</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rPr>
              <w:t>Amended and Restated Change of Control Severance Agreement, effective as of August 7, 2019, between the Company and Keith Jensen</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44">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45">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400"/>
        </w:trPr>
        <w:tc>
          <w:tcPr>
            <w:tcW w:w="820" w:type="dxa"/>
            <w:vAlign w:val="bottom"/>
            <w:gridSpan w:val="2"/>
          </w:tcPr>
          <w:p>
            <w:pPr>
              <w:spacing w:after="0"/>
              <w:rPr>
                <w:sz w:val="20"/>
                <w:szCs w:val="20"/>
                <w:color w:val="auto"/>
              </w:rPr>
            </w:pPr>
            <w:r>
              <w:rPr>
                <w:rFonts w:ascii="Arial" w:cs="Arial" w:eastAsia="Arial" w:hAnsi="Arial"/>
                <w:sz w:val="14"/>
                <w:szCs w:val="14"/>
                <w:color w:val="auto"/>
              </w:rPr>
              <w:t>101.INS*</w:t>
            </w:r>
          </w:p>
        </w:tc>
        <w:tc>
          <w:tcPr>
            <w:tcW w:w="10400" w:type="dxa"/>
            <w:vAlign w:val="bottom"/>
          </w:tcPr>
          <w:p>
            <w:pPr>
              <w:ind w:left="220"/>
              <w:spacing w:after="0"/>
              <w:rPr>
                <w:sz w:val="20"/>
                <w:szCs w:val="20"/>
                <w:color w:val="auto"/>
              </w:rPr>
            </w:pPr>
            <w:r>
              <w:rPr>
                <w:rFonts w:ascii="Arial" w:cs="Arial" w:eastAsia="Arial" w:hAnsi="Arial"/>
                <w:sz w:val="14"/>
                <w:szCs w:val="14"/>
                <w:color w:val="auto"/>
                <w:w w:val="98"/>
              </w:rPr>
              <w:t>XBRL Instance Document - the instance document does not appear in the interactive data file because its XBRL tags are embedded within the inline XBRL document.</w:t>
            </w:r>
          </w:p>
        </w:tc>
      </w:tr>
      <w:tr>
        <w:trPr>
          <w:trHeight w:val="473"/>
        </w:trPr>
        <w:tc>
          <w:tcPr>
            <w:tcW w:w="82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101.DEF*</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101.LAB*</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101.PRE*</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104*</w:t>
            </w:r>
          </w:p>
        </w:tc>
        <w:tc>
          <w:tcPr>
            <w:tcW w:w="10400" w:type="dxa"/>
            <w:vAlign w:val="bottom"/>
          </w:tcPr>
          <w:p>
            <w:pPr>
              <w:ind w:left="220"/>
              <w:spacing w:after="0"/>
              <w:rPr>
                <w:sz w:val="20"/>
                <w:szCs w:val="20"/>
                <w:color w:val="auto"/>
              </w:rPr>
            </w:pPr>
            <w:r>
              <w:rPr>
                <w:rFonts w:ascii="Arial" w:cs="Arial" w:eastAsia="Arial" w:hAnsi="Arial"/>
                <w:sz w:val="14"/>
                <w:szCs w:val="14"/>
                <w:color w:val="auto"/>
              </w:rPr>
              <w:t>Cover Page Interactive Data File - the cover page from the Company’s Quarterly Report on Form 10-Q for the quarter ended June 30, 2019 is formatted in iXBRL.</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7" w:lineRule="auto"/>
        <w:tabs>
          <w:tab w:leader="none" w:pos="100" w:val="left"/>
        </w:tabs>
        <w:numPr>
          <w:ilvl w:val="0"/>
          <w:numId w:val="44"/>
        </w:numPr>
        <w:rPr>
          <w:rFonts w:ascii="Arial" w:cs="Arial" w:eastAsia="Arial" w:hAnsi="Arial"/>
          <w:sz w:val="24"/>
          <w:szCs w:val="24"/>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2" w:right="25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940" w:val="left"/>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122" w:right="47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FORTINET,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2009 EQUITY INCENTIVE PLAN</w:t>
      </w:r>
    </w:p>
    <w:p>
      <w:pPr>
        <w:spacing w:after="0" w:line="200" w:lineRule="exact"/>
        <w:rPr>
          <w:sz w:val="20"/>
          <w:szCs w:val="20"/>
          <w:color w:val="auto"/>
        </w:rPr>
      </w:pPr>
    </w:p>
    <w:p>
      <w:pPr>
        <w:spacing w:after="0" w:line="242" w:lineRule="exact"/>
        <w:rPr>
          <w:sz w:val="20"/>
          <w:szCs w:val="20"/>
          <w:color w:val="auto"/>
        </w:rPr>
      </w:pPr>
    </w:p>
    <w:p>
      <w:pPr>
        <w:ind w:left="1200" w:hanging="463"/>
        <w:spacing w:after="0"/>
        <w:tabs>
          <w:tab w:leader="none" w:pos="1200" w:val="left"/>
        </w:tabs>
        <w:numPr>
          <w:ilvl w:val="0"/>
          <w:numId w:val="45"/>
        </w:numPr>
        <w:rPr>
          <w:rFonts w:ascii="Arial" w:cs="Arial" w:eastAsia="Arial" w:hAnsi="Arial"/>
          <w:sz w:val="22"/>
          <w:szCs w:val="22"/>
          <w:b w:val="1"/>
          <w:bCs w:val="1"/>
          <w:color w:val="auto"/>
        </w:rPr>
      </w:pPr>
      <w:r>
        <w:rPr>
          <w:rFonts w:ascii="Arial" w:cs="Arial" w:eastAsia="Arial" w:hAnsi="Arial"/>
          <w:sz w:val="22"/>
          <w:szCs w:val="22"/>
          <w:u w:val="single" w:color="auto"/>
          <w:color w:val="auto"/>
        </w:rPr>
        <w:t>Purposes of the Plan</w:t>
      </w:r>
      <w:r>
        <w:rPr>
          <w:rFonts w:ascii="Arial" w:cs="Arial" w:eastAsia="Arial" w:hAnsi="Arial"/>
          <w:sz w:val="22"/>
          <w:szCs w:val="22"/>
          <w:color w:val="auto"/>
        </w:rPr>
        <w:t>. The purposes of this Plan are:</w:t>
      </w:r>
    </w:p>
    <w:p>
      <w:pPr>
        <w:spacing w:after="0" w:line="219" w:lineRule="exact"/>
        <w:rPr>
          <w:rFonts w:ascii="Arial" w:cs="Arial" w:eastAsia="Arial" w:hAnsi="Arial"/>
          <w:sz w:val="22"/>
          <w:szCs w:val="22"/>
          <w:b w:val="1"/>
          <w:bCs w:val="1"/>
          <w:color w:val="auto"/>
        </w:rPr>
      </w:pPr>
    </w:p>
    <w:p>
      <w:pPr>
        <w:ind w:left="1960" w:hanging="655"/>
        <w:spacing w:after="0"/>
        <w:tabs>
          <w:tab w:leader="none" w:pos="19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attract and retain the best available personnel for positions of substantial responsibility,</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provide additional incentive to Employees, Directors and Consultants, and</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promote the success of the Company’s business.</w:t>
      </w:r>
    </w:p>
    <w:p>
      <w:pPr>
        <w:spacing w:after="0" w:line="220" w:lineRule="exact"/>
        <w:rPr>
          <w:sz w:val="20"/>
          <w:szCs w:val="20"/>
          <w:color w:val="auto"/>
        </w:rPr>
      </w:pPr>
    </w:p>
    <w:p>
      <w:pPr>
        <w:ind w:firstLine="1297"/>
        <w:spacing w:after="0" w:line="343" w:lineRule="auto"/>
        <w:rPr>
          <w:sz w:val="20"/>
          <w:szCs w:val="20"/>
          <w:color w:val="auto"/>
        </w:rPr>
      </w:pPr>
      <w:r>
        <w:rPr>
          <w:rFonts w:ascii="Arial" w:cs="Arial" w:eastAsia="Arial" w:hAnsi="Arial"/>
          <w:sz w:val="19"/>
          <w:szCs w:val="19"/>
          <w:color w:val="auto"/>
        </w:rPr>
        <w:t>The Plan permits the grant of Incentive Stock Options, Nonstatutory Stock Options, Restricted Stock, Restricted Stock Units, Stock Appreciation Rights, Performance Units, Performance Shares and Dividend Equivalent Rights.</w:t>
      </w:r>
    </w:p>
    <w:p>
      <w:pPr>
        <w:spacing w:after="0" w:line="105" w:lineRule="exact"/>
        <w:rPr>
          <w:sz w:val="20"/>
          <w:szCs w:val="20"/>
          <w:color w:val="auto"/>
        </w:rPr>
      </w:pPr>
    </w:p>
    <w:p>
      <w:pPr>
        <w:ind w:left="1080" w:hanging="343"/>
        <w:spacing w:after="0"/>
        <w:tabs>
          <w:tab w:leader="none" w:pos="1080" w:val="left"/>
        </w:tabs>
        <w:numPr>
          <w:ilvl w:val="0"/>
          <w:numId w:val="46"/>
        </w:numPr>
        <w:rPr>
          <w:rFonts w:ascii="Arial" w:cs="Arial" w:eastAsia="Arial" w:hAnsi="Arial"/>
          <w:sz w:val="22"/>
          <w:szCs w:val="22"/>
          <w:b w:val="1"/>
          <w:bCs w:val="1"/>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herein, the following definitions will apply:</w:t>
      </w:r>
    </w:p>
    <w:p>
      <w:pPr>
        <w:spacing w:after="0" w:line="233" w:lineRule="exact"/>
        <w:rPr>
          <w:rFonts w:ascii="Arial" w:cs="Arial" w:eastAsia="Arial" w:hAnsi="Arial"/>
          <w:sz w:val="22"/>
          <w:szCs w:val="22"/>
          <w:b w:val="1"/>
          <w:bCs w:val="1"/>
          <w:color w:val="auto"/>
        </w:rPr>
      </w:pPr>
    </w:p>
    <w:p>
      <w:pPr>
        <w:ind w:firstLine="1305"/>
        <w:spacing w:after="0" w:line="276" w:lineRule="auto"/>
        <w:tabs>
          <w:tab w:leader="none" w:pos="1797"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Administrator</w:t>
      </w:r>
      <w:r>
        <w:rPr>
          <w:rFonts w:ascii="Arial" w:cs="Arial" w:eastAsia="Arial" w:hAnsi="Arial"/>
          <w:sz w:val="22"/>
          <w:szCs w:val="22"/>
          <w:color w:val="auto"/>
        </w:rPr>
        <w:t>” means the Board or any of its Committees as will be administering the Plan, in accordance with Section 4 of the Plan.</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56"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at the time of determination, any “parent” or “subsidiary” as such terms are defined in Rule 405 of the U.S. Securities Act of 1933, as amended. The Board shall have the authority to determine the time or times at which “parent” or “subsidiary” status is determined within the foregoing definition.</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784"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Laws</w:t>
      </w:r>
      <w:r>
        <w:rPr>
          <w:rFonts w:ascii="Arial" w:cs="Arial" w:eastAsia="Arial" w:hAnsi="Arial"/>
          <w:sz w:val="22"/>
          <w:szCs w:val="22"/>
          <w:color w:val="auto"/>
        </w:rPr>
        <w:t>” means the requirements relating to the administration of equity-based awards under U.S. state corporate laws, U.S. federal, state and foreign securities laws, the Code, any stock exchange or quotation system on which the Common Stock is listed or quoted and the applicable laws of any foreign country or jurisdiction where Awards are, or will be, granted under the Plan.</w:t>
      </w:r>
    </w:p>
    <w:p>
      <w:pPr>
        <w:spacing w:after="0" w:line="185" w:lineRule="exact"/>
        <w:rPr>
          <w:rFonts w:ascii="Arial" w:cs="Arial" w:eastAsia="Arial" w:hAnsi="Arial"/>
          <w:sz w:val="22"/>
          <w:szCs w:val="22"/>
          <w:color w:val="auto"/>
        </w:rPr>
      </w:pPr>
    </w:p>
    <w:p>
      <w:pPr>
        <w:ind w:firstLine="1305"/>
        <w:spacing w:after="0" w:line="301" w:lineRule="auto"/>
        <w:tabs>
          <w:tab w:leader="none" w:pos="1823" w:val="left"/>
        </w:tabs>
        <w:numPr>
          <w:ilvl w:val="1"/>
          <w:numId w:val="4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w:t>
      </w:r>
      <w:r>
        <w:rPr>
          <w:rFonts w:ascii="Arial" w:cs="Arial" w:eastAsia="Arial" w:hAnsi="Arial"/>
          <w:sz w:val="21"/>
          <w:szCs w:val="21"/>
          <w:color w:val="auto"/>
        </w:rPr>
        <w:t>” means, individually or collectively, a grant under the Plan of Options, Stock Appreciation Rights, Restricted Stock, Restricted Stock Units, Performance Units, Performance Shares or Dividend Equivalent Rights.</w:t>
      </w:r>
    </w:p>
    <w:p>
      <w:pPr>
        <w:spacing w:after="0" w:line="137" w:lineRule="exact"/>
        <w:rPr>
          <w:rFonts w:ascii="Arial" w:cs="Arial" w:eastAsia="Arial" w:hAnsi="Arial"/>
          <w:sz w:val="21"/>
          <w:szCs w:val="21"/>
          <w:color w:val="auto"/>
        </w:rPr>
      </w:pPr>
    </w:p>
    <w:p>
      <w:pPr>
        <w:ind w:firstLine="1305"/>
        <w:spacing w:after="0" w:line="301" w:lineRule="auto"/>
        <w:tabs>
          <w:tab w:leader="none" w:pos="1716" w:val="left"/>
        </w:tabs>
        <w:numPr>
          <w:ilvl w:val="1"/>
          <w:numId w:val="4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Award Agreement</w:t>
      </w:r>
      <w:r>
        <w:rPr>
          <w:rFonts w:ascii="Arial" w:cs="Arial" w:eastAsia="Arial" w:hAnsi="Arial"/>
          <w:sz w:val="21"/>
          <w:szCs w:val="21"/>
          <w:color w:val="auto"/>
        </w:rPr>
        <w:t>” means the written or electronic agreement setting forth the terms and provisions applicable to each Award granted under the Plan. The Award Agreement is subject to the terms and conditions of the Plan.</w:t>
      </w:r>
    </w:p>
    <w:p>
      <w:pPr>
        <w:spacing w:after="0" w:line="137" w:lineRule="exact"/>
        <w:rPr>
          <w:rFonts w:ascii="Arial" w:cs="Arial" w:eastAsia="Arial" w:hAnsi="Arial"/>
          <w:sz w:val="21"/>
          <w:szCs w:val="21"/>
          <w:color w:val="auto"/>
        </w:rPr>
      </w:pPr>
    </w:p>
    <w:p>
      <w:pPr>
        <w:ind w:left="1700" w:hanging="395"/>
        <w:spacing w:after="0"/>
        <w:tabs>
          <w:tab w:leader="none" w:pos="1700" w:val="left"/>
        </w:tabs>
        <w:numPr>
          <w:ilvl w:val="1"/>
          <w:numId w:val="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ectPr>
          <w:pgSz w:w="11900" w:h="16838" w:orient="portrait"/>
          <w:cols w:equalWidth="0" w:num="1">
            <w:col w:w="11420"/>
          </w:cols>
          <w:pgMar w:left="240" w:top="801" w:right="239" w:bottom="1440" w:gutter="0" w:footer="0" w:header="0"/>
        </w:sectPr>
      </w:pPr>
    </w:p>
    <w:bookmarkStart w:id="73" w:name="page74"/>
    <w:bookmarkEnd w:id="73"/>
    <w:p>
      <w:pPr>
        <w:ind w:left="1740" w:hanging="435"/>
        <w:spacing w:after="0"/>
        <w:tabs>
          <w:tab w:leader="none" w:pos="1740" w:val="left"/>
        </w:tabs>
        <w:numPr>
          <w:ilvl w:val="0"/>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of the following events:</w:t>
      </w:r>
    </w:p>
    <w:p>
      <w:pPr>
        <w:spacing w:after="0" w:line="233" w:lineRule="exact"/>
        <w:rPr>
          <w:rFonts w:ascii="Arial" w:cs="Arial" w:eastAsia="Arial" w:hAnsi="Arial"/>
          <w:sz w:val="22"/>
          <w:szCs w:val="22"/>
          <w:color w:val="auto"/>
        </w:rPr>
      </w:pPr>
    </w:p>
    <w:p>
      <w:pPr>
        <w:jc w:val="both"/>
        <w:ind w:firstLine="1953"/>
        <w:spacing w:after="0" w:line="266" w:lineRule="auto"/>
        <w:tabs>
          <w:tab w:leader="none" w:pos="2356" w:val="left"/>
        </w:tabs>
        <w:numPr>
          <w:ilvl w:val="1"/>
          <w:numId w:val="47"/>
        </w:numPr>
        <w:rPr>
          <w:rFonts w:ascii="Arial" w:cs="Arial" w:eastAsia="Arial" w:hAnsi="Arial"/>
          <w:sz w:val="21"/>
          <w:szCs w:val="21"/>
          <w:color w:val="auto"/>
        </w:rPr>
      </w:pPr>
      <w:r>
        <w:rPr>
          <w:rFonts w:ascii="Arial" w:cs="Arial" w:eastAsia="Arial" w:hAnsi="Arial"/>
          <w:sz w:val="21"/>
          <w:szCs w:val="21"/>
          <w:color w:val="auto"/>
        </w:rPr>
        <w:t>A change in the ownership of the Company which occurs on the date that any one person, or more than one person acting as a group (“</w:t>
      </w:r>
      <w:r>
        <w:rPr>
          <w:rFonts w:ascii="Arial" w:cs="Arial" w:eastAsia="Arial" w:hAnsi="Arial"/>
          <w:sz w:val="21"/>
          <w:szCs w:val="21"/>
          <w:u w:val="single" w:color="auto"/>
          <w:color w:val="auto"/>
        </w:rPr>
        <w:t>Person</w:t>
      </w:r>
      <w:r>
        <w:rPr>
          <w:rFonts w:ascii="Arial" w:cs="Arial" w:eastAsia="Arial" w:hAnsi="Arial"/>
          <w:sz w:val="21"/>
          <w:szCs w:val="21"/>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174" w:lineRule="exact"/>
        <w:rPr>
          <w:rFonts w:ascii="Arial" w:cs="Arial" w:eastAsia="Arial" w:hAnsi="Arial"/>
          <w:sz w:val="21"/>
          <w:szCs w:val="21"/>
          <w:color w:val="auto"/>
        </w:rPr>
      </w:pPr>
    </w:p>
    <w:p>
      <w:pPr>
        <w:jc w:val="both"/>
        <w:ind w:firstLine="1953"/>
        <w:spacing w:after="0" w:line="251" w:lineRule="auto"/>
        <w:tabs>
          <w:tab w:leader="none" w:pos="2402" w:val="left"/>
        </w:tabs>
        <w:numPr>
          <w:ilvl w:val="1"/>
          <w:numId w:val="47"/>
        </w:numPr>
        <w:rPr>
          <w:rFonts w:ascii="Arial" w:cs="Arial" w:eastAsia="Arial" w:hAnsi="Arial"/>
          <w:sz w:val="22"/>
          <w:szCs w:val="22"/>
          <w:color w:val="auto"/>
        </w:rPr>
      </w:pPr>
      <w:r>
        <w:rPr>
          <w:rFonts w:ascii="Arial" w:cs="Arial" w:eastAsia="Arial" w:hAnsi="Arial"/>
          <w:sz w:val="22"/>
          <w:szCs w:val="22"/>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9" w:lineRule="exact"/>
        <w:rPr>
          <w:rFonts w:ascii="Arial" w:cs="Arial" w:eastAsia="Arial" w:hAnsi="Arial"/>
          <w:sz w:val="22"/>
          <w:szCs w:val="22"/>
          <w:color w:val="auto"/>
        </w:rPr>
      </w:pPr>
    </w:p>
    <w:p>
      <w:pPr>
        <w:jc w:val="both"/>
        <w:ind w:firstLine="1953"/>
        <w:spacing w:after="0" w:line="288" w:lineRule="auto"/>
        <w:tabs>
          <w:tab w:leader="none" w:pos="2489" w:val="left"/>
        </w:tabs>
        <w:numPr>
          <w:ilvl w:val="1"/>
          <w:numId w:val="47"/>
        </w:numPr>
        <w:rPr>
          <w:rFonts w:ascii="Arial" w:cs="Arial" w:eastAsia="Arial" w:hAnsi="Arial"/>
          <w:sz w:val="19"/>
          <w:szCs w:val="19"/>
          <w:color w:val="auto"/>
        </w:rPr>
      </w:pPr>
      <w:r>
        <w:rPr>
          <w:rFonts w:ascii="Arial" w:cs="Arial" w:eastAsia="Arial" w:hAnsi="Arial"/>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19"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2"/>
          <w:szCs w:val="22"/>
          <w:color w:val="auto"/>
        </w:rPr>
        <w:t>For purposes of this Section 2(g), persons will be considered to be acting as a group if they are owners of a corporation that enters into a merger, consolidation, purchase or acquisition of stock, or similar business transaction with the Company.</w:t>
      </w:r>
    </w:p>
    <w:p>
      <w:pPr>
        <w:spacing w:after="0" w:line="186" w:lineRule="exact"/>
        <w:rPr>
          <w:sz w:val="20"/>
          <w:szCs w:val="20"/>
          <w:color w:val="auto"/>
        </w:rPr>
      </w:pPr>
    </w:p>
    <w:p>
      <w:pPr>
        <w:jc w:val="both"/>
        <w:ind w:firstLine="1945"/>
        <w:spacing w:after="0" w:line="246" w:lineRule="auto"/>
        <w:rPr>
          <w:sz w:val="20"/>
          <w:szCs w:val="20"/>
          <w:color w:val="auto"/>
        </w:rPr>
      </w:pPr>
      <w:r>
        <w:rPr>
          <w:rFonts w:ascii="Arial" w:cs="Arial" w:eastAsia="Arial" w:hAnsi="Arial"/>
          <w:sz w:val="22"/>
          <w:szCs w:val="22"/>
          <w:color w:val="auto"/>
        </w:rPr>
        <w:t>Notwithstanding anything to the contrary in the foregoing, a transaction shall not constitute a Change in Control if it is effected for the purpose of changing the place of incorporation or form of organization of the ultimate parent entity (including where the Company is succeeded by an issuer incorporated under the laws of another state, country or foreign government for such purpose and whether or not the Company remains in existence following such transaction) where all or substantially all of the persons or group that beneficially own all or substantially all of the combined voting power of the Company’s voting securities immediately prior to the transaction beneficially own all or substantially all of the combined voting power of the Company in substantially the same proportions of their ownership after the transaction. Further, to the extent that any amount constituting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74" w:name="page75"/>
    <w:bookmarkEnd w:id="74"/>
    <w:p>
      <w:pPr>
        <w:jc w:val="both"/>
        <w:spacing w:after="0" w:line="248" w:lineRule="auto"/>
        <w:rPr>
          <w:sz w:val="20"/>
          <w:szCs w:val="20"/>
          <w:color w:val="auto"/>
        </w:rPr>
      </w:pPr>
      <w:r>
        <w:rPr>
          <w:rFonts w:ascii="Arial" w:cs="Arial" w:eastAsia="Arial" w:hAnsi="Arial"/>
          <w:sz w:val="22"/>
          <w:szCs w:val="22"/>
          <w:color w:val="auto"/>
        </w:rPr>
        <w:t>“non-qualified deferred compensation” under Section 409A of the Code would become payable under this Plan by reason of a Change in Control, which does not also constitute a change in ownership or effective control of the Company or a change in the ownership of a substantial portion of the assets of the Company within the meaning of Section 409A of the Codeamount, the amount shall instead become payable on the next permissible distribution event that would not result in adverse tax consequences under Section 409A of the Code.</w:t>
      </w:r>
    </w:p>
    <w:p>
      <w:pPr>
        <w:spacing w:after="0" w:line="192" w:lineRule="exact"/>
        <w:rPr>
          <w:sz w:val="20"/>
          <w:szCs w:val="20"/>
          <w:color w:val="auto"/>
        </w:rPr>
      </w:pPr>
    </w:p>
    <w:p>
      <w:pPr>
        <w:ind w:firstLine="1305"/>
        <w:spacing w:after="0" w:line="276" w:lineRule="auto"/>
        <w:tabs>
          <w:tab w:leader="none" w:pos="1783"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U.S. Internal Revenue Code of 1986, as amended. Any reference to a section of the Code herein will be a reference to any successor or amended section of the Code.</w:t>
      </w:r>
    </w:p>
    <w:p>
      <w:pPr>
        <w:spacing w:after="0" w:line="160" w:lineRule="exact"/>
        <w:rPr>
          <w:rFonts w:ascii="Arial" w:cs="Arial" w:eastAsia="Arial" w:hAnsi="Arial"/>
          <w:sz w:val="22"/>
          <w:szCs w:val="22"/>
          <w:color w:val="auto"/>
        </w:rPr>
      </w:pPr>
    </w:p>
    <w:p>
      <w:pPr>
        <w:ind w:firstLine="1305"/>
        <w:spacing w:after="0" w:line="276" w:lineRule="auto"/>
        <w:tabs>
          <w:tab w:leader="none" w:pos="1721"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a committee of Directors or of other individuals satisfying Applicable Laws appointed by the Board in accordance with Section 4 hereof.</w:t>
      </w:r>
    </w:p>
    <w:p>
      <w:pPr>
        <w:spacing w:after="0" w:line="160" w:lineRule="exact"/>
        <w:rPr>
          <w:rFonts w:ascii="Arial" w:cs="Arial" w:eastAsia="Arial" w:hAnsi="Arial"/>
          <w:sz w:val="22"/>
          <w:szCs w:val="22"/>
          <w:color w:val="auto"/>
        </w:rPr>
      </w:pPr>
    </w:p>
    <w:p>
      <w:pPr>
        <w:ind w:left="1680" w:hanging="375"/>
        <w:spacing w:after="0"/>
        <w:tabs>
          <w:tab w:leader="none" w:pos="16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of the Company, $0.001 par value per share.</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means Fortinet, Inc., a Delaware corporation, or any successor thereto.</w:t>
      </w:r>
    </w:p>
    <w:p>
      <w:pPr>
        <w:spacing w:after="0" w:line="233" w:lineRule="exact"/>
        <w:rPr>
          <w:rFonts w:ascii="Arial" w:cs="Arial" w:eastAsia="Arial" w:hAnsi="Arial"/>
          <w:sz w:val="22"/>
          <w:szCs w:val="22"/>
          <w:color w:val="auto"/>
        </w:rPr>
      </w:pPr>
    </w:p>
    <w:p>
      <w:pPr>
        <w:ind w:firstLine="1305"/>
        <w:spacing w:after="0" w:line="276" w:lineRule="auto"/>
        <w:tabs>
          <w:tab w:leader="none" w:pos="1775"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Consultant</w:t>
      </w:r>
      <w:r>
        <w:rPr>
          <w:rFonts w:ascii="Arial" w:cs="Arial" w:eastAsia="Arial" w:hAnsi="Arial"/>
          <w:sz w:val="22"/>
          <w:szCs w:val="22"/>
          <w:color w:val="auto"/>
        </w:rPr>
        <w:t>” means any person, including an advisor, that provides bona fide services to the Company or a Parent or Subsidiary or an Affiliate to render services to such entity.</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means a member of the Board.</w:t>
      </w:r>
    </w:p>
    <w:p>
      <w:pPr>
        <w:spacing w:after="0" w:line="233" w:lineRule="exact"/>
        <w:rPr>
          <w:rFonts w:ascii="Arial" w:cs="Arial" w:eastAsia="Arial" w:hAnsi="Arial"/>
          <w:sz w:val="22"/>
          <w:szCs w:val="22"/>
          <w:color w:val="auto"/>
        </w:rPr>
      </w:pPr>
    </w:p>
    <w:p>
      <w:pPr>
        <w:jc w:val="both"/>
        <w:ind w:firstLine="1305"/>
        <w:spacing w:after="0" w:line="264" w:lineRule="auto"/>
        <w:tabs>
          <w:tab w:leader="none" w:pos="1769" w:val="left"/>
        </w:tabs>
        <w:numPr>
          <w:ilvl w:val="0"/>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Disability</w:t>
      </w:r>
      <w:r>
        <w:rPr>
          <w:rFonts w:ascii="Arial" w:cs="Arial" w:eastAsia="Arial" w:hAnsi="Arial"/>
          <w:sz w:val="21"/>
          <w:szCs w:val="21"/>
          <w:color w:val="auto"/>
        </w:rPr>
        <w:t>” means, (a) with respect to an Incentive Stock Option, total and permanent disability as defined in Section 22(e)(3) of the Code and (b) with respect to an Award that is subject to Section 409A of the Code where the Participant’s Disability is a distribution event, solely for purposes of determining the timing of settlement, no such event shall constitute a Disability unless it also constitutes a “disability” as defined under Section 409A of the Code, provided that in all other circumstances, the Administrator in its discretion may determine whether a permanent and total disability exists in accordance with uniform and non-discriminatory standards adopted by the Administrator from time to time.</w:t>
      </w:r>
    </w:p>
    <w:p>
      <w:pPr>
        <w:spacing w:after="0" w:line="175" w:lineRule="exact"/>
        <w:rPr>
          <w:rFonts w:ascii="Arial" w:cs="Arial" w:eastAsia="Arial" w:hAnsi="Arial"/>
          <w:sz w:val="21"/>
          <w:szCs w:val="21"/>
          <w:color w:val="auto"/>
        </w:rPr>
      </w:pPr>
    </w:p>
    <w:p>
      <w:pPr>
        <w:jc w:val="both"/>
        <w:ind w:firstLine="1305"/>
        <w:spacing w:after="0" w:line="297" w:lineRule="auto"/>
        <w:tabs>
          <w:tab w:leader="none" w:pos="1728" w:val="left"/>
        </w:tabs>
        <w:numPr>
          <w:ilvl w:val="0"/>
          <w:numId w:val="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Dividend Equivalent Right</w:t>
      </w:r>
      <w:r>
        <w:rPr>
          <w:rFonts w:ascii="Arial" w:cs="Arial" w:eastAsia="Arial" w:hAnsi="Arial"/>
          <w:sz w:val="19"/>
          <w:szCs w:val="19"/>
          <w:color w:val="auto"/>
        </w:rPr>
        <w:t>” means a right to receive the equivalent value of dividends paid on the Shares with respect to Shares underlying Restricted Stock Units or Performance Units prior to vesting of the Award. Such Dividend Equivalent Rights shall be converted to cash or additional Shares, or a combination of cash and Shares, by such formula and at such time and subject to such limitations as may be determined by the Committee. Dividend Equivalent Rights shall be subject to the same vesting and forfeitability restrictions to which the Shares underlying the Awards are subject. For the avoidance of any doubt, Dividend Equivalent Rights shall be not be granted with respect to Options or Stock Appreciation Rights.</w:t>
      </w:r>
    </w:p>
    <w:p>
      <w:pPr>
        <w:spacing w:after="0" w:line="146" w:lineRule="exact"/>
        <w:rPr>
          <w:rFonts w:ascii="Arial" w:cs="Arial" w:eastAsia="Arial" w:hAnsi="Arial"/>
          <w:sz w:val="19"/>
          <w:szCs w:val="19"/>
          <w:color w:val="auto"/>
        </w:rPr>
      </w:pPr>
    </w:p>
    <w:p>
      <w:pPr>
        <w:ind w:firstLine="1305"/>
        <w:spacing w:after="0" w:line="276" w:lineRule="auto"/>
        <w:tabs>
          <w:tab w:leader="none" w:pos="1769" w:val="left"/>
        </w:tabs>
        <w:numPr>
          <w:ilvl w:val="0"/>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w:t>
      </w:r>
      <w:r>
        <w:rPr>
          <w:rFonts w:ascii="Arial" w:cs="Arial" w:eastAsia="Arial" w:hAnsi="Arial"/>
          <w:sz w:val="22"/>
          <w:szCs w:val="22"/>
          <w:color w:val="auto"/>
        </w:rPr>
        <w:t>” means any person, including Officers and Directors, employed by the Company or any Parent or Subsidiary or Affiliate of the Company. Neither service as a Director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75" w:name="page76"/>
    <w:bookmarkEnd w:id="75"/>
    <w:p>
      <w:pPr>
        <w:spacing w:after="0"/>
        <w:rPr>
          <w:sz w:val="20"/>
          <w:szCs w:val="20"/>
          <w:color w:val="auto"/>
        </w:rPr>
      </w:pPr>
      <w:r>
        <w:rPr>
          <w:rFonts w:ascii="Arial" w:cs="Arial" w:eastAsia="Arial" w:hAnsi="Arial"/>
          <w:sz w:val="22"/>
          <w:szCs w:val="22"/>
          <w:color w:val="auto"/>
        </w:rPr>
        <w:t>nor payment of a director’s fee by the Company will be sufficient to constitute “employment” by the Company.</w:t>
      </w:r>
    </w:p>
    <w:p>
      <w:pPr>
        <w:spacing w:after="0" w:line="220" w:lineRule="exact"/>
        <w:rPr>
          <w:sz w:val="20"/>
          <w:szCs w:val="20"/>
          <w:color w:val="auto"/>
        </w:rPr>
      </w:pPr>
    </w:p>
    <w:p>
      <w:pPr>
        <w:ind w:left="1740" w:hanging="435"/>
        <w:spacing w:after="0"/>
        <w:tabs>
          <w:tab w:leader="none" w:pos="17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w:t>
      </w:r>
    </w:p>
    <w:p>
      <w:pPr>
        <w:spacing w:after="0" w:line="233" w:lineRule="exact"/>
        <w:rPr>
          <w:rFonts w:ascii="Arial" w:cs="Arial" w:eastAsia="Arial" w:hAnsi="Arial"/>
          <w:sz w:val="22"/>
          <w:szCs w:val="22"/>
          <w:color w:val="auto"/>
        </w:rPr>
      </w:pPr>
    </w:p>
    <w:p>
      <w:pPr>
        <w:ind w:left="1760" w:hanging="455"/>
        <w:spacing w:after="0"/>
        <w:tabs>
          <w:tab w:leader="none" w:pos="17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as of any date, the value of Common Stock determined as follows:</w:t>
      </w:r>
    </w:p>
    <w:p>
      <w:pPr>
        <w:spacing w:after="0" w:line="233" w:lineRule="exact"/>
        <w:rPr>
          <w:rFonts w:ascii="Arial" w:cs="Arial" w:eastAsia="Arial" w:hAnsi="Arial"/>
          <w:sz w:val="22"/>
          <w:szCs w:val="22"/>
          <w:color w:val="auto"/>
        </w:rPr>
      </w:pPr>
    </w:p>
    <w:p>
      <w:pPr>
        <w:jc w:val="both"/>
        <w:ind w:firstLine="1953"/>
        <w:spacing w:after="0" w:line="251" w:lineRule="auto"/>
        <w:tabs>
          <w:tab w:leader="none" w:pos="2342" w:val="left"/>
        </w:tabs>
        <w:numPr>
          <w:ilvl w:val="1"/>
          <w:numId w:val="49"/>
        </w:numPr>
        <w:rPr>
          <w:rFonts w:ascii="Arial" w:cs="Arial" w:eastAsia="Arial" w:hAnsi="Arial"/>
          <w:sz w:val="22"/>
          <w:szCs w:val="22"/>
          <w:color w:val="auto"/>
        </w:rPr>
      </w:pPr>
      <w:r>
        <w:rPr>
          <w:rFonts w:ascii="Arial" w:cs="Arial" w:eastAsia="Arial" w:hAnsi="Arial"/>
          <w:sz w:val="22"/>
          <w:szCs w:val="22"/>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89" w:lineRule="exact"/>
        <w:rPr>
          <w:rFonts w:ascii="Arial" w:cs="Arial" w:eastAsia="Arial" w:hAnsi="Arial"/>
          <w:sz w:val="22"/>
          <w:szCs w:val="22"/>
          <w:color w:val="auto"/>
        </w:rPr>
      </w:pPr>
    </w:p>
    <w:p>
      <w:pPr>
        <w:jc w:val="both"/>
        <w:ind w:firstLine="1953"/>
        <w:spacing w:after="0" w:line="320" w:lineRule="auto"/>
        <w:tabs>
          <w:tab w:leader="none" w:pos="2470" w:val="left"/>
        </w:tabs>
        <w:numPr>
          <w:ilvl w:val="1"/>
          <w:numId w:val="49"/>
        </w:numPr>
        <w:rPr>
          <w:rFonts w:ascii="Arial" w:cs="Arial" w:eastAsia="Arial" w:hAnsi="Arial"/>
          <w:sz w:val="19"/>
          <w:szCs w:val="19"/>
          <w:color w:val="auto"/>
        </w:rPr>
      </w:pPr>
      <w:r>
        <w:rPr>
          <w:rFonts w:ascii="Arial" w:cs="Arial" w:eastAsia="Arial" w:hAnsi="Arial"/>
          <w:sz w:val="19"/>
          <w:szCs w:val="19"/>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such other source as the Administrator deems reliable; or</w:t>
      </w:r>
    </w:p>
    <w:p>
      <w:pPr>
        <w:spacing w:after="0" w:line="125" w:lineRule="exact"/>
        <w:rPr>
          <w:rFonts w:ascii="Arial" w:cs="Arial" w:eastAsia="Arial" w:hAnsi="Arial"/>
          <w:sz w:val="19"/>
          <w:szCs w:val="19"/>
          <w:color w:val="auto"/>
        </w:rPr>
      </w:pPr>
    </w:p>
    <w:p>
      <w:pPr>
        <w:jc w:val="both"/>
        <w:ind w:firstLine="1953"/>
        <w:spacing w:after="0" w:line="254" w:lineRule="auto"/>
        <w:tabs>
          <w:tab w:leader="none" w:pos="2624"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the absence of an established market for the Common Stock, the Fair Market Value will be determined in good faith by the Administrator, under a reasonable methodology and reasonable application in compliance with Section 409A of the Code to the extent such determination is necessary for Awards under the Plan to be exempt from Section 409A of the Code.</w:t>
      </w:r>
    </w:p>
    <w:p>
      <w:pPr>
        <w:spacing w:after="0" w:line="185" w:lineRule="exact"/>
        <w:rPr>
          <w:sz w:val="20"/>
          <w:szCs w:val="20"/>
          <w:color w:val="auto"/>
        </w:rPr>
      </w:pPr>
    </w:p>
    <w:p>
      <w:pPr>
        <w:ind w:right="20" w:firstLine="1945"/>
        <w:spacing w:after="0" w:line="248" w:lineRule="auto"/>
        <w:rPr>
          <w:sz w:val="20"/>
          <w:szCs w:val="20"/>
          <w:color w:val="auto"/>
        </w:rPr>
      </w:pPr>
      <w:r>
        <w:rPr>
          <w:rFonts w:ascii="Arial" w:cs="Arial" w:eastAsia="Arial" w:hAnsi="Arial"/>
          <w:sz w:val="22"/>
          <w:szCs w:val="22"/>
          <w:color w:val="auto"/>
        </w:rPr>
        <w:t>Notwithstanding the foregoing, for income tax reporting and withholding purposes under U.S. federal, state, local or non-U.S. law and for such other purposes as the Administrator deems appropriate, including, without limitation, where Fair Market Value is used in reference to exercise, vesting, settlement or payout of an Award, the Fair Market Value shall be determined by the Administrator in accordance with applicable law and uniform and nondiscriminatory standards adopted by it from time to time.</w:t>
      </w:r>
    </w:p>
    <w:p>
      <w:pPr>
        <w:spacing w:after="0" w:line="192" w:lineRule="exact"/>
        <w:rPr>
          <w:sz w:val="20"/>
          <w:szCs w:val="20"/>
          <w:color w:val="auto"/>
        </w:rPr>
      </w:pPr>
    </w:p>
    <w:p>
      <w:pPr>
        <w:ind w:firstLine="1305"/>
        <w:spacing w:after="0" w:line="276" w:lineRule="auto"/>
        <w:tabs>
          <w:tab w:leader="none" w:pos="1718"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Incentive Stock Option</w:t>
      </w:r>
      <w:r>
        <w:rPr>
          <w:rFonts w:ascii="Arial" w:cs="Arial" w:eastAsia="Arial" w:hAnsi="Arial"/>
          <w:sz w:val="22"/>
          <w:szCs w:val="22"/>
          <w:color w:val="auto"/>
        </w:rPr>
        <w:t>” means an Option intended to qualify as an incentive stock option within the meaning of Section 422 of the Code and the regulations promulgated thereunder.</w:t>
      </w:r>
    </w:p>
    <w:p>
      <w:pPr>
        <w:spacing w:after="0" w:line="160" w:lineRule="exact"/>
        <w:rPr>
          <w:rFonts w:ascii="Arial" w:cs="Arial" w:eastAsia="Arial" w:hAnsi="Arial"/>
          <w:sz w:val="22"/>
          <w:szCs w:val="22"/>
          <w:color w:val="auto"/>
        </w:rPr>
      </w:pPr>
    </w:p>
    <w:p>
      <w:pPr>
        <w:ind w:left="1680" w:hanging="375"/>
        <w:spacing w:after="0"/>
        <w:tabs>
          <w:tab w:leader="none" w:pos="16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Non-Employee Director</w:t>
      </w:r>
      <w:r>
        <w:rPr>
          <w:rFonts w:ascii="Arial" w:cs="Arial" w:eastAsia="Arial" w:hAnsi="Arial"/>
          <w:sz w:val="22"/>
          <w:szCs w:val="22"/>
          <w:color w:val="auto"/>
        </w:rPr>
        <w:t>” means a Director of the Company who is not an Employee.</w:t>
      </w:r>
    </w:p>
    <w:p>
      <w:pPr>
        <w:spacing w:after="0" w:line="233" w:lineRule="exact"/>
        <w:rPr>
          <w:rFonts w:ascii="Arial" w:cs="Arial" w:eastAsia="Arial" w:hAnsi="Arial"/>
          <w:sz w:val="22"/>
          <w:szCs w:val="22"/>
          <w:color w:val="auto"/>
        </w:rPr>
      </w:pPr>
    </w:p>
    <w:p>
      <w:pPr>
        <w:ind w:firstLine="1305"/>
        <w:spacing w:after="0" w:line="276" w:lineRule="auto"/>
        <w:tabs>
          <w:tab w:leader="none" w:pos="1728"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Nonstatutory Stock Option</w:t>
      </w:r>
      <w:r>
        <w:rPr>
          <w:rFonts w:ascii="Arial" w:cs="Arial" w:eastAsia="Arial" w:hAnsi="Arial"/>
          <w:sz w:val="22"/>
          <w:szCs w:val="22"/>
          <w:color w:val="auto"/>
        </w:rPr>
        <w:t>” means an Option that by its terms does not qualify or is not intended to qualify as an Incentive Stock Option.</w:t>
      </w:r>
    </w:p>
    <w:p>
      <w:pPr>
        <w:spacing w:after="0" w:line="160" w:lineRule="exact"/>
        <w:rPr>
          <w:rFonts w:ascii="Arial" w:cs="Arial" w:eastAsia="Arial" w:hAnsi="Arial"/>
          <w:sz w:val="22"/>
          <w:szCs w:val="22"/>
          <w:color w:val="auto"/>
        </w:rPr>
      </w:pPr>
    </w:p>
    <w:p>
      <w:pPr>
        <w:ind w:firstLine="1305"/>
        <w:spacing w:after="0" w:line="276" w:lineRule="auto"/>
        <w:tabs>
          <w:tab w:leader="none" w:pos="1742"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w:t>
      </w:r>
      <w:r>
        <w:rPr>
          <w:rFonts w:ascii="Arial" w:cs="Arial" w:eastAsia="Arial" w:hAnsi="Arial"/>
          <w:sz w:val="22"/>
          <w:szCs w:val="22"/>
          <w:color w:val="auto"/>
        </w:rPr>
        <w:t>” means a person who is an officer of the Company within the meaning of Section 16 of the Exchange Act and the rules and regulations promulgated thereunder.</w:t>
      </w:r>
    </w:p>
    <w:p>
      <w:pPr>
        <w:spacing w:after="0" w:line="160" w:lineRule="exact"/>
        <w:rPr>
          <w:rFonts w:ascii="Arial" w:cs="Arial" w:eastAsia="Arial" w:hAnsi="Arial"/>
          <w:sz w:val="22"/>
          <w:szCs w:val="22"/>
          <w:color w:val="auto"/>
        </w:rPr>
      </w:pPr>
    </w:p>
    <w:p>
      <w:pPr>
        <w:ind w:left="1780" w:hanging="475"/>
        <w:spacing w:after="0"/>
        <w:tabs>
          <w:tab w:leader="none" w:pos="178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Option</w:t>
      </w:r>
      <w:r>
        <w:rPr>
          <w:rFonts w:ascii="Arial" w:cs="Arial" w:eastAsia="Arial" w:hAnsi="Arial"/>
          <w:sz w:val="22"/>
          <w:szCs w:val="22"/>
          <w:color w:val="auto"/>
        </w:rPr>
        <w:t>” means a stock option granted pursuant to Section 6 of the Plan.</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Director</w:t>
      </w:r>
      <w:r>
        <w:rPr>
          <w:rFonts w:ascii="Arial" w:cs="Arial" w:eastAsia="Arial" w:hAnsi="Arial"/>
          <w:sz w:val="22"/>
          <w:szCs w:val="22"/>
          <w:color w:val="auto"/>
        </w:rPr>
        <w:t>” means a Director who is not an Employee.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76" w:name="page77"/>
    <w:bookmarkEnd w:id="76"/>
    <w:p>
      <w:pPr>
        <w:ind w:left="1780" w:hanging="475"/>
        <w:spacing w:after="0"/>
        <w:tabs>
          <w:tab w:leader="none" w:pos="17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w:t>
      </w:r>
      <w:r>
        <w:rPr>
          <w:rFonts w:ascii="Arial" w:cs="Arial" w:eastAsia="Arial" w:hAnsi="Arial"/>
          <w:sz w:val="19"/>
          <w:szCs w:val="19"/>
          <w:color w:val="auto"/>
        </w:rPr>
        <w:t>” means a “parent corporation,” whether now or hereafter existing, as defined in Section 424(e)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215"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(z)</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means the holder of an outstanding Award.</w:t>
      </w:r>
    </w:p>
    <w:p>
      <w:pPr>
        <w:spacing w:after="0" w:line="233" w:lineRule="exact"/>
        <w:rPr>
          <w:sz w:val="20"/>
          <w:szCs w:val="20"/>
          <w:color w:val="auto"/>
        </w:rPr>
      </w:pPr>
    </w:p>
    <w:p>
      <w:pPr>
        <w:jc w:val="both"/>
        <w:ind w:firstLine="1305"/>
        <w:spacing w:after="0" w:line="262" w:lineRule="auto"/>
        <w:tabs>
          <w:tab w:leader="none" w:pos="1961"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Performance Criteria</w:t>
      </w:r>
      <w:r>
        <w:rPr>
          <w:rFonts w:ascii="Arial" w:cs="Arial" w:eastAsia="Arial" w:hAnsi="Arial"/>
          <w:sz w:val="21"/>
          <w:szCs w:val="21"/>
          <w:color w:val="auto"/>
        </w:rPr>
        <w:t>” means the criteria that the Administrator selects for purposes of establishing the Performance Goal or Performance Goals for a Participant for an Award Performance Units or Performance Shares. The Performance Criteria that will be used to establish Performance Goals include, but are not limited to, the following: cash flow (including, without limitation, operating cash flow and free cash flow), earnings per share, gross or net profit margin, net income (either before or after interest, taxes, amortization, and/or depreciation), operating income (either before or after restructuring and amortization charges), return on capital or return on invested capital, return on equity, return on operating assets or net assets, return on sales, sales or revenue, stock price goals, total shareholder return.</w:t>
      </w:r>
    </w:p>
    <w:p>
      <w:pPr>
        <w:spacing w:after="0" w:line="180" w:lineRule="exact"/>
        <w:rPr>
          <w:rFonts w:ascii="Arial" w:cs="Arial" w:eastAsia="Arial" w:hAnsi="Arial"/>
          <w:sz w:val="21"/>
          <w:szCs w:val="21"/>
          <w:color w:val="auto"/>
        </w:rPr>
      </w:pPr>
    </w:p>
    <w:p>
      <w:pPr>
        <w:ind w:firstLine="1305"/>
        <w:spacing w:after="0" w:line="358" w:lineRule="auto"/>
        <w:tabs>
          <w:tab w:leader="none" w:pos="1985"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Goal</w:t>
      </w:r>
      <w:r>
        <w:rPr>
          <w:rFonts w:ascii="Arial" w:cs="Arial" w:eastAsia="Arial" w:hAnsi="Arial"/>
          <w:sz w:val="19"/>
          <w:szCs w:val="19"/>
          <w:color w:val="auto"/>
        </w:rPr>
        <w:t>” means the goal or goals established in writing by the Committee for an Award of Performance Units or Performance Shares based upon the Performance Criteria that the Committee, in its sole discretion, selects.</w:t>
      </w:r>
    </w:p>
    <w:p>
      <w:pPr>
        <w:spacing w:after="0" w:line="90" w:lineRule="exact"/>
        <w:rPr>
          <w:rFonts w:ascii="Arial" w:cs="Arial" w:eastAsia="Arial" w:hAnsi="Arial"/>
          <w:sz w:val="19"/>
          <w:szCs w:val="19"/>
          <w:color w:val="auto"/>
        </w:rPr>
      </w:pPr>
    </w:p>
    <w:p>
      <w:pPr>
        <w:ind w:firstLine="1305"/>
        <w:spacing w:after="0" w:line="358" w:lineRule="auto"/>
        <w:tabs>
          <w:tab w:leader="none" w:pos="1853"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Performance Share</w:t>
      </w:r>
      <w:r>
        <w:rPr>
          <w:rFonts w:ascii="Arial" w:cs="Arial" w:eastAsia="Arial" w:hAnsi="Arial"/>
          <w:sz w:val="19"/>
          <w:szCs w:val="19"/>
          <w:color w:val="auto"/>
        </w:rPr>
        <w:t>” means an Award denominated in Shares which may be earned in whole or in part upon attainment of Performance Goals or other vesting criteria as the Administrator may determine pursuant to Section 10.</w:t>
      </w:r>
    </w:p>
    <w:p>
      <w:pPr>
        <w:spacing w:after="0" w:line="90" w:lineRule="exact"/>
        <w:rPr>
          <w:rFonts w:ascii="Arial" w:cs="Arial" w:eastAsia="Arial" w:hAnsi="Arial"/>
          <w:sz w:val="19"/>
          <w:szCs w:val="19"/>
          <w:color w:val="auto"/>
        </w:rPr>
      </w:pPr>
    </w:p>
    <w:p>
      <w:pPr>
        <w:jc w:val="both"/>
        <w:ind w:firstLine="1305"/>
        <w:spacing w:after="0" w:line="260" w:lineRule="auto"/>
        <w:tabs>
          <w:tab w:leader="none" w:pos="2053"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Unit</w:t>
      </w:r>
      <w:r>
        <w:rPr>
          <w:rFonts w:ascii="Arial" w:cs="Arial" w:eastAsia="Arial" w:hAnsi="Arial"/>
          <w:sz w:val="22"/>
          <w:szCs w:val="22"/>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812" w:val="left"/>
        </w:tabs>
        <w:numPr>
          <w:ilvl w:val="0"/>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Period of Restriction</w:t>
      </w:r>
      <w:r>
        <w:rPr>
          <w:rFonts w:ascii="Arial" w:cs="Arial" w:eastAsia="Arial" w:hAnsi="Arial"/>
          <w:sz w:val="19"/>
          <w:szCs w:val="19"/>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25" w:lineRule="exact"/>
        <w:rPr>
          <w:rFonts w:ascii="Arial" w:cs="Arial" w:eastAsia="Arial" w:hAnsi="Arial"/>
          <w:sz w:val="19"/>
          <w:szCs w:val="19"/>
          <w:color w:val="auto"/>
        </w:rPr>
      </w:pPr>
    </w:p>
    <w:p>
      <w:pPr>
        <w:ind w:left="1760" w:hanging="455"/>
        <w:spacing w:after="0"/>
        <w:tabs>
          <w:tab w:leader="none" w:pos="17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this Amended and Restated 2009 Equity Incentive Plan, as amended from time to time.</w:t>
      </w:r>
    </w:p>
    <w:p>
      <w:pPr>
        <w:spacing w:after="0" w:line="244" w:lineRule="exact"/>
        <w:rPr>
          <w:rFonts w:ascii="Arial" w:cs="Arial" w:eastAsia="Arial" w:hAnsi="Arial"/>
          <w:sz w:val="21"/>
          <w:szCs w:val="21"/>
          <w:color w:val="auto"/>
        </w:rPr>
      </w:pPr>
    </w:p>
    <w:p>
      <w:pPr>
        <w:ind w:right="20" w:firstLine="1305"/>
        <w:spacing w:after="0" w:line="276" w:lineRule="auto"/>
        <w:tabs>
          <w:tab w:leader="none" w:pos="1918"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Stock</w:t>
      </w:r>
      <w:r>
        <w:rPr>
          <w:rFonts w:ascii="Arial" w:cs="Arial" w:eastAsia="Arial" w:hAnsi="Arial"/>
          <w:sz w:val="22"/>
          <w:szCs w:val="22"/>
          <w:color w:val="auto"/>
        </w:rPr>
        <w:t>” means Shares issued pursuant to a Restricted Stock award under Section 7 of the Plan, or issued pursuant to the early exercise of an Option.</w:t>
      </w:r>
    </w:p>
    <w:p>
      <w:pPr>
        <w:spacing w:after="0" w:line="160" w:lineRule="exact"/>
        <w:rPr>
          <w:rFonts w:ascii="Arial" w:cs="Arial" w:eastAsia="Arial" w:hAnsi="Arial"/>
          <w:sz w:val="22"/>
          <w:szCs w:val="22"/>
          <w:color w:val="auto"/>
        </w:rPr>
      </w:pPr>
    </w:p>
    <w:p>
      <w:pPr>
        <w:ind w:firstLine="1305"/>
        <w:spacing w:after="0" w:line="301" w:lineRule="auto"/>
        <w:tabs>
          <w:tab w:leader="none" w:pos="1837"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Stock Unit</w:t>
      </w:r>
      <w:r>
        <w:rPr>
          <w:rFonts w:ascii="Arial" w:cs="Arial" w:eastAsia="Arial" w:hAnsi="Arial"/>
          <w:sz w:val="21"/>
          <w:szCs w:val="21"/>
          <w:color w:val="auto"/>
        </w:rPr>
        <w:t>” means a bookkeeping entry representing the equivalent of one Share, granted pursuant to Section 8. Each Restricted Stock Unit represents an unfunded and unsecured obligation of the Company.</w:t>
      </w:r>
    </w:p>
    <w:p>
      <w:pPr>
        <w:spacing w:after="0" w:line="137" w:lineRule="exact"/>
        <w:rPr>
          <w:rFonts w:ascii="Arial" w:cs="Arial" w:eastAsia="Arial" w:hAnsi="Arial"/>
          <w:sz w:val="21"/>
          <w:szCs w:val="21"/>
          <w:color w:val="auto"/>
        </w:rPr>
      </w:pPr>
    </w:p>
    <w:p>
      <w:pPr>
        <w:ind w:firstLine="1305"/>
        <w:spacing w:after="0" w:line="276" w:lineRule="auto"/>
        <w:tabs>
          <w:tab w:leader="none" w:pos="1876"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16b-3</w:t>
      </w:r>
      <w:r>
        <w:rPr>
          <w:rFonts w:ascii="Arial" w:cs="Arial" w:eastAsia="Arial" w:hAnsi="Arial"/>
          <w:sz w:val="22"/>
          <w:szCs w:val="22"/>
          <w:color w:val="auto"/>
        </w:rPr>
        <w:t>” means Rule 16b-3 of the Exchange Act or any successor to Rule 16b-3, as in effect when discretion is being exercised with respect to the Plan.</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16(b)</w:t>
      </w:r>
      <w:r>
        <w:rPr>
          <w:rFonts w:ascii="Arial" w:cs="Arial" w:eastAsia="Arial" w:hAnsi="Arial"/>
          <w:sz w:val="22"/>
          <w:szCs w:val="22"/>
          <w:color w:val="auto"/>
        </w:rPr>
        <w:t>” means Section 16(b) of the Exchange Act.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77" w:name="page78"/>
    <w:bookmarkEnd w:id="77"/>
    <w:p>
      <w:pPr>
        <w:ind w:left="1840" w:hanging="535"/>
        <w:spacing w:after="0"/>
        <w:tabs>
          <w:tab w:leader="none" w:pos="1840"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Service Provider</w:t>
      </w:r>
      <w:r>
        <w:rPr>
          <w:rFonts w:ascii="Arial" w:cs="Arial" w:eastAsia="Arial" w:hAnsi="Arial"/>
          <w:sz w:val="22"/>
          <w:szCs w:val="22"/>
          <w:color w:val="auto"/>
        </w:rPr>
        <w:t>” means an Employee, Director or Consultant.</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1"/>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Share</w:t>
      </w:r>
      <w:r>
        <w:rPr>
          <w:rFonts w:ascii="Arial" w:cs="Arial" w:eastAsia="Arial" w:hAnsi="Arial"/>
          <w:sz w:val="21"/>
          <w:szCs w:val="21"/>
          <w:color w:val="auto"/>
        </w:rPr>
        <w:t>” means a share of the Common Stock, as adjusted in accordance with Section 13 of the Plan.</w:t>
      </w:r>
    </w:p>
    <w:p>
      <w:pPr>
        <w:spacing w:after="0" w:line="244" w:lineRule="exact"/>
        <w:rPr>
          <w:rFonts w:ascii="Arial" w:cs="Arial" w:eastAsia="Arial" w:hAnsi="Arial"/>
          <w:sz w:val="21"/>
          <w:szCs w:val="21"/>
          <w:color w:val="auto"/>
        </w:rPr>
      </w:pPr>
    </w:p>
    <w:p>
      <w:pPr>
        <w:ind w:firstLine="1305"/>
        <w:spacing w:after="0" w:line="276" w:lineRule="auto"/>
        <w:tabs>
          <w:tab w:leader="none" w:pos="1957"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 Appreciation Right</w:t>
      </w:r>
      <w:r>
        <w:rPr>
          <w:rFonts w:ascii="Arial" w:cs="Arial" w:eastAsia="Arial" w:hAnsi="Arial"/>
          <w:sz w:val="22"/>
          <w:szCs w:val="22"/>
          <w:color w:val="auto"/>
        </w:rPr>
        <w:t>” means an Award, granted alone or in connection with an Option, that pursuant to Section 9 is designated as a Stock Appreciation Right.</w:t>
      </w:r>
    </w:p>
    <w:p>
      <w:pPr>
        <w:spacing w:after="0" w:line="160" w:lineRule="exact"/>
        <w:rPr>
          <w:rFonts w:ascii="Arial" w:cs="Arial" w:eastAsia="Arial" w:hAnsi="Arial"/>
          <w:sz w:val="22"/>
          <w:szCs w:val="22"/>
          <w:color w:val="auto"/>
        </w:rPr>
      </w:pPr>
    </w:p>
    <w:p>
      <w:pPr>
        <w:ind w:firstLine="1305"/>
        <w:spacing w:after="0" w:line="276" w:lineRule="auto"/>
        <w:tabs>
          <w:tab w:leader="none" w:pos="2147"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 “subsidiary corporation,” whether now or hereafter existing, as defined in Section 424(f) of the Code.</w:t>
      </w:r>
    </w:p>
    <w:p>
      <w:pPr>
        <w:spacing w:after="0" w:line="160" w:lineRule="exact"/>
        <w:rPr>
          <w:rFonts w:ascii="Arial" w:cs="Arial" w:eastAsia="Arial" w:hAnsi="Arial"/>
          <w:sz w:val="22"/>
          <w:szCs w:val="22"/>
          <w:color w:val="auto"/>
        </w:rPr>
      </w:pPr>
    </w:p>
    <w:p>
      <w:pPr>
        <w:jc w:val="both"/>
        <w:ind w:firstLine="1305"/>
        <w:spacing w:after="0" w:line="251" w:lineRule="auto"/>
        <w:tabs>
          <w:tab w:leader="none" w:pos="1945" w:val="left"/>
        </w:tabs>
        <w:numPr>
          <w:ilvl w:val="1"/>
          <w:numId w:val="5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Tax-Related Items</w:t>
      </w:r>
      <w:r>
        <w:rPr>
          <w:rFonts w:ascii="Arial" w:cs="Arial" w:eastAsia="Arial" w:hAnsi="Arial"/>
          <w:sz w:val="22"/>
          <w:szCs w:val="22"/>
          <w:color w:val="auto"/>
        </w:rPr>
        <w:t>” means means any U.S. federal, state, and/or local taxes and any taxes imposed by a jurisdiction outside of the U.S. (including, without limitation, income tax, social insurance and similar contributions, payroll tax, fringe benefits tax, payment on account, employment tax, stamp tax and any other taxes related to participation in the Plan and legally applicable to a Participant, including any employer liability for which the Participant is liable pursuant to Applicable Laws or the applicable Award Agreement.</w:t>
      </w:r>
    </w:p>
    <w:p>
      <w:pPr>
        <w:spacing w:after="0" w:line="189" w:lineRule="exact"/>
        <w:rPr>
          <w:rFonts w:ascii="Arial" w:cs="Arial" w:eastAsia="Arial" w:hAnsi="Arial"/>
          <w:sz w:val="22"/>
          <w:szCs w:val="22"/>
          <w:color w:val="auto"/>
        </w:rPr>
      </w:pPr>
    </w:p>
    <w:p>
      <w:pPr>
        <w:ind w:left="1080" w:hanging="343"/>
        <w:spacing w:after="0"/>
        <w:tabs>
          <w:tab w:leader="none" w:pos="1080" w:val="left"/>
        </w:tabs>
        <w:numPr>
          <w:ilvl w:val="0"/>
          <w:numId w:val="54"/>
        </w:numPr>
        <w:rPr>
          <w:rFonts w:ascii="Arial" w:cs="Arial" w:eastAsia="Arial" w:hAnsi="Arial"/>
          <w:sz w:val="22"/>
          <w:szCs w:val="22"/>
          <w:b w:val="1"/>
          <w:bCs w:val="1"/>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5"/>
        <w:spacing w:after="0" w:line="270" w:lineRule="auto"/>
        <w:tabs>
          <w:tab w:leader="none" w:pos="1743"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Stock Subject to the Plan</w:t>
      </w:r>
      <w:r>
        <w:rPr>
          <w:rFonts w:ascii="Arial" w:cs="Arial" w:eastAsia="Arial" w:hAnsi="Arial"/>
          <w:sz w:val="21"/>
          <w:szCs w:val="21"/>
          <w:color w:val="auto"/>
        </w:rPr>
        <w:t>. Subject to the provisions of Section 13 of the Plan, the maximum aggregate number of Shares that may be issued under the Plan is 47,873,531 Shares; provided, however, that only 13,500,000 Shares may be issued or transferred pursuant to new Awards granted on or following the date the Plan becomes effective, subject to the provisions of this Section 3. The Shares may be authorized, but unissued, or reacquired Common Stock.</w:t>
      </w:r>
    </w:p>
    <w:p>
      <w:pPr>
        <w:spacing w:after="0" w:line="169" w:lineRule="exact"/>
        <w:rPr>
          <w:rFonts w:ascii="Arial" w:cs="Arial" w:eastAsia="Arial" w:hAnsi="Arial"/>
          <w:sz w:val="21"/>
          <w:szCs w:val="21"/>
          <w:color w:val="auto"/>
        </w:rPr>
      </w:pPr>
    </w:p>
    <w:p>
      <w:pPr>
        <w:jc w:val="both"/>
        <w:ind w:firstLine="1305"/>
        <w:spacing w:after="0" w:line="297" w:lineRule="auto"/>
        <w:tabs>
          <w:tab w:leader="none" w:pos="1728"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Shares Reissuable Under Plan</w:t>
      </w:r>
      <w:r>
        <w:rPr>
          <w:rFonts w:ascii="Arial" w:cs="Arial" w:eastAsia="Arial" w:hAnsi="Arial"/>
          <w:sz w:val="19"/>
          <w:szCs w:val="19"/>
          <w:color w:val="auto"/>
        </w:rPr>
        <w:t>. The following Shares that are subject to Awards will again become available for future grant or sale under the Plan (unless the Plan has terminated): (i) Shares subject to an Award that expires or becomes unexercisable without having been exercised in full, or, with respect to Restricted Stock, Restricted Stock Units, Performance Units or Performance Shares, Awards that are forfeited to or Shares that are repurchased by the Company due to the failure of the Award to vest; (ii) Shares that are not issued because the Award is settled in cash; and (iii) Shares subject to an Award other than an Option or Stock Appreciation Right which are surrendered in satisfaction of obligations for Tax-Related Items arising under the Award.</w:t>
      </w:r>
    </w:p>
    <w:p>
      <w:pPr>
        <w:spacing w:after="0" w:line="146" w:lineRule="exact"/>
        <w:rPr>
          <w:rFonts w:ascii="Arial" w:cs="Arial" w:eastAsia="Arial" w:hAnsi="Arial"/>
          <w:sz w:val="19"/>
          <w:szCs w:val="19"/>
          <w:color w:val="auto"/>
        </w:rPr>
      </w:pPr>
    </w:p>
    <w:p>
      <w:pPr>
        <w:jc w:val="both"/>
        <w:ind w:firstLine="1305"/>
        <w:spacing w:after="0" w:line="250" w:lineRule="auto"/>
        <w:tabs>
          <w:tab w:leader="none" w:pos="173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Shares Not Reissuable Under Plan</w:t>
      </w:r>
      <w:r>
        <w:rPr>
          <w:rFonts w:ascii="Arial" w:cs="Arial" w:eastAsia="Arial" w:hAnsi="Arial"/>
          <w:sz w:val="22"/>
          <w:szCs w:val="22"/>
          <w:color w:val="auto"/>
        </w:rPr>
        <w:t>. Except as provided in Section 3(b), the following Shares that are subject to Awards will not be returned to the Plan and will not become available for future distribution under the Plan: (i) Shares that have actually been issued under the Plan; (ii) Shares covered by an Option or Stock Appreciation Right which are surrendered in payment of the Award exercise or purchase price or in satisfaction of obligations for Tax-Related Items incident to the exercise of an Option or Stock Appreciation Right; and (iii) Shares that are subject to Stock Appreciation Rights that are not actually issued upon exercise of the Award.</w:t>
      </w:r>
    </w:p>
    <w:p>
      <w:pPr>
        <w:spacing w:after="0" w:line="188" w:lineRule="exact"/>
        <w:rPr>
          <w:rFonts w:ascii="Arial" w:cs="Arial" w:eastAsia="Arial" w:hAnsi="Arial"/>
          <w:sz w:val="22"/>
          <w:szCs w:val="22"/>
          <w:color w:val="auto"/>
        </w:rPr>
      </w:pPr>
    </w:p>
    <w:p>
      <w:pPr>
        <w:jc w:val="both"/>
        <w:ind w:firstLine="1305"/>
        <w:spacing w:after="0" w:line="260" w:lineRule="auto"/>
        <w:tabs>
          <w:tab w:leader="none" w:pos="1728"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Shares Not Counted Against Share Pool Reserve</w:t>
      </w:r>
      <w:r>
        <w:rPr>
          <w:rFonts w:ascii="Arial" w:cs="Arial" w:eastAsia="Arial" w:hAnsi="Arial"/>
          <w:sz w:val="22"/>
          <w:szCs w:val="22"/>
          <w:color w:val="auto"/>
        </w:rPr>
        <w:t>. To the extent permitted by Applicable Laws, Shares issued in assumption of, or in substitution for, any outstanding awards of any entity acquired in any form of combination by the Company or an Affiliate shall not be counted against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78" w:name="page79"/>
    <w:bookmarkEnd w:id="78"/>
    <w:p>
      <w:pPr>
        <w:jc w:val="both"/>
        <w:spacing w:after="0" w:line="287" w:lineRule="auto"/>
        <w:rPr>
          <w:sz w:val="20"/>
          <w:szCs w:val="20"/>
          <w:color w:val="auto"/>
        </w:rPr>
      </w:pPr>
      <w:r>
        <w:rPr>
          <w:rFonts w:ascii="Arial" w:cs="Arial" w:eastAsia="Arial" w:hAnsi="Arial"/>
          <w:sz w:val="19"/>
          <w:szCs w:val="19"/>
          <w:color w:val="auto"/>
        </w:rPr>
        <w:t>Shares available for grant pursuant to this Plan. Additionally, to the extent permitted by Applicable Laws, in the event that a company acquired by (or combined with) the Company or an Affiliate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shareholders of the entities party to such acquisition or combination) may, at the discretion of the Committee, be used for Awards under the Plan in lieu of awards under the applicable pre-existing plan of the other company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Affiliate in existence prior to such acquisition or combination. The payment of Dividend Equivalent Right in cash in conjunction with any outstanding Awards shall not be counted against the Shares available for issuance under the Plan.</w:t>
      </w:r>
    </w:p>
    <w:p>
      <w:pPr>
        <w:spacing w:after="0" w:line="200" w:lineRule="exact"/>
        <w:rPr>
          <w:sz w:val="20"/>
          <w:szCs w:val="20"/>
          <w:color w:val="auto"/>
        </w:rPr>
      </w:pPr>
    </w:p>
    <w:p>
      <w:pPr>
        <w:spacing w:after="0" w:line="221" w:lineRule="exact"/>
        <w:rPr>
          <w:sz w:val="20"/>
          <w:szCs w:val="20"/>
          <w:color w:val="auto"/>
        </w:rPr>
      </w:pPr>
    </w:p>
    <w:p>
      <w:pPr>
        <w:ind w:firstLine="1305"/>
        <w:spacing w:after="0" w:line="276" w:lineRule="auto"/>
        <w:tabs>
          <w:tab w:leader="none" w:pos="1784" w:val="left"/>
        </w:tabs>
        <w:numPr>
          <w:ilvl w:val="2"/>
          <w:numId w:val="55"/>
        </w:numPr>
        <w:rPr>
          <w:rFonts w:ascii="Arial" w:cs="Arial" w:eastAsia="Arial" w:hAnsi="Arial"/>
          <w:sz w:val="22"/>
          <w:szCs w:val="22"/>
          <w:color w:val="auto"/>
        </w:rPr>
      </w:pPr>
      <w:r>
        <w:rPr>
          <w:rFonts w:ascii="Arial" w:cs="Arial" w:eastAsia="Arial" w:hAnsi="Arial"/>
          <w:sz w:val="22"/>
          <w:szCs w:val="22"/>
          <w:u w:val="single" w:color="auto"/>
          <w:color w:val="auto"/>
        </w:rPr>
        <w:t>Share Reserve</w:t>
      </w:r>
      <w:r>
        <w:rPr>
          <w:rFonts w:ascii="Arial" w:cs="Arial" w:eastAsia="Arial" w:hAnsi="Arial"/>
          <w:sz w:val="22"/>
          <w:szCs w:val="22"/>
          <w:color w:val="auto"/>
        </w:rPr>
        <w:t>. The Company, during the term of this Plan, will at all times reserve and keep available such number of Shares as will be sufficient to satisfy the requirements of the Plan.</w:t>
      </w:r>
    </w:p>
    <w:p>
      <w:pPr>
        <w:spacing w:after="0" w:line="160" w:lineRule="exact"/>
        <w:rPr>
          <w:rFonts w:ascii="Arial" w:cs="Arial" w:eastAsia="Arial" w:hAnsi="Arial"/>
          <w:sz w:val="22"/>
          <w:szCs w:val="22"/>
          <w:color w:val="auto"/>
        </w:rPr>
      </w:pPr>
    </w:p>
    <w:p>
      <w:pPr>
        <w:ind w:right="20" w:firstLine="1305"/>
        <w:spacing w:after="0" w:line="276" w:lineRule="auto"/>
        <w:tabs>
          <w:tab w:leader="none" w:pos="1773" w:val="left"/>
        </w:tabs>
        <w:numPr>
          <w:ilvl w:val="2"/>
          <w:numId w:val="55"/>
        </w:numPr>
        <w:rPr>
          <w:rFonts w:ascii="Arial" w:cs="Arial" w:eastAsia="Arial" w:hAnsi="Arial"/>
          <w:sz w:val="22"/>
          <w:szCs w:val="22"/>
          <w:color w:val="auto"/>
        </w:rPr>
      </w:pPr>
      <w:r>
        <w:rPr>
          <w:rFonts w:ascii="Arial" w:cs="Arial" w:eastAsia="Arial" w:hAnsi="Arial"/>
          <w:sz w:val="22"/>
          <w:szCs w:val="22"/>
          <w:u w:val="single" w:color="auto"/>
          <w:color w:val="auto"/>
        </w:rPr>
        <w:t>Incentive Stock Option Limit</w:t>
      </w:r>
      <w:r>
        <w:rPr>
          <w:rFonts w:ascii="Arial" w:cs="Arial" w:eastAsia="Arial" w:hAnsi="Arial"/>
          <w:sz w:val="22"/>
          <w:szCs w:val="22"/>
          <w:color w:val="auto"/>
        </w:rPr>
        <w:t>. Subject to the provisions of Section 13 of the Plan, the maximum number of Shares that may be issued pursuant to the exercise of ISOs is 47,873,531 Shares.</w:t>
      </w:r>
    </w:p>
    <w:p>
      <w:pPr>
        <w:spacing w:after="0" w:line="160" w:lineRule="exact"/>
        <w:rPr>
          <w:rFonts w:ascii="Arial" w:cs="Arial" w:eastAsia="Arial" w:hAnsi="Arial"/>
          <w:sz w:val="22"/>
          <w:szCs w:val="22"/>
          <w:color w:val="auto"/>
        </w:rPr>
      </w:pPr>
    </w:p>
    <w:p>
      <w:pPr>
        <w:jc w:val="both"/>
        <w:ind w:firstLine="1305"/>
        <w:spacing w:after="0" w:line="300" w:lineRule="auto"/>
        <w:tabs>
          <w:tab w:leader="none" w:pos="1837" w:val="left"/>
        </w:tabs>
        <w:numPr>
          <w:ilvl w:val="2"/>
          <w:numId w:val="55"/>
        </w:numPr>
        <w:rPr>
          <w:rFonts w:ascii="Arial" w:cs="Arial" w:eastAsia="Arial" w:hAnsi="Arial"/>
          <w:sz w:val="19"/>
          <w:szCs w:val="19"/>
          <w:color w:val="auto"/>
        </w:rPr>
      </w:pPr>
      <w:r>
        <w:rPr>
          <w:rFonts w:ascii="Arial" w:cs="Arial" w:eastAsia="Arial" w:hAnsi="Arial"/>
          <w:sz w:val="19"/>
          <w:szCs w:val="19"/>
          <w:u w:val="single" w:color="auto"/>
          <w:color w:val="auto"/>
        </w:rPr>
        <w:t>Non-Employee Director Award Limit</w:t>
      </w:r>
      <w:r>
        <w:rPr>
          <w:rFonts w:ascii="Arial" w:cs="Arial" w:eastAsia="Arial" w:hAnsi="Arial"/>
          <w:sz w:val="19"/>
          <w:szCs w:val="19"/>
          <w:color w:val="auto"/>
        </w:rPr>
        <w:t>. 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Common Stock and the maximum amount that may become payable pursuant to cash compensation paid to the Non-Employee Director during any calendar year shall not exceed $500,000.</w:t>
      </w:r>
    </w:p>
    <w:p>
      <w:pPr>
        <w:spacing w:after="0" w:line="147" w:lineRule="exact"/>
        <w:rPr>
          <w:rFonts w:ascii="Arial" w:cs="Arial" w:eastAsia="Arial" w:hAnsi="Arial"/>
          <w:sz w:val="19"/>
          <w:szCs w:val="19"/>
          <w:color w:val="auto"/>
        </w:rPr>
      </w:pPr>
    </w:p>
    <w:p>
      <w:pPr>
        <w:ind w:left="1080" w:hanging="343"/>
        <w:spacing w:after="0"/>
        <w:tabs>
          <w:tab w:leader="none" w:pos="1080" w:val="left"/>
        </w:tabs>
        <w:numPr>
          <w:ilvl w:val="1"/>
          <w:numId w:val="56"/>
        </w:numPr>
        <w:rPr>
          <w:rFonts w:ascii="Arial" w:cs="Arial" w:eastAsia="Arial" w:hAnsi="Arial"/>
          <w:sz w:val="22"/>
          <w:szCs w:val="22"/>
          <w:b w:val="1"/>
          <w:bCs w:val="1"/>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1720" w:hanging="415"/>
        <w:spacing w:after="0"/>
        <w:tabs>
          <w:tab w:leader="none" w:pos="1720" w:val="left"/>
        </w:tabs>
        <w:numPr>
          <w:ilvl w:val="2"/>
          <w:numId w:val="56"/>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953"/>
        <w:spacing w:after="0" w:line="276" w:lineRule="auto"/>
        <w:tabs>
          <w:tab w:leader="none" w:pos="2491" w:val="left"/>
        </w:tabs>
        <w:numPr>
          <w:ilvl w:val="3"/>
          <w:numId w:val="56"/>
        </w:numPr>
        <w:rPr>
          <w:rFonts w:ascii="Arial" w:cs="Arial" w:eastAsia="Arial" w:hAnsi="Arial"/>
          <w:sz w:val="22"/>
          <w:szCs w:val="22"/>
          <w:color w:val="auto"/>
        </w:rPr>
      </w:pPr>
      <w:r>
        <w:rPr>
          <w:rFonts w:ascii="Arial" w:cs="Arial" w:eastAsia="Arial" w:hAnsi="Arial"/>
          <w:sz w:val="22"/>
          <w:szCs w:val="22"/>
          <w:u w:val="single" w:color="auto"/>
          <w:color w:val="auto"/>
        </w:rPr>
        <w:t>Multiple Administrative Bodies</w:t>
      </w:r>
      <w:r>
        <w:rPr>
          <w:rFonts w:ascii="Arial" w:cs="Arial" w:eastAsia="Arial" w:hAnsi="Arial"/>
          <w:sz w:val="22"/>
          <w:szCs w:val="22"/>
          <w:color w:val="auto"/>
        </w:rPr>
        <w:t>. Different Committees with respect to different groups of Service Providers may administer the Plan.</w:t>
      </w:r>
    </w:p>
    <w:p>
      <w:pPr>
        <w:spacing w:after="0" w:line="160" w:lineRule="exact"/>
        <w:rPr>
          <w:rFonts w:ascii="Arial" w:cs="Arial" w:eastAsia="Arial" w:hAnsi="Arial"/>
          <w:sz w:val="22"/>
          <w:szCs w:val="22"/>
          <w:color w:val="auto"/>
        </w:rPr>
      </w:pPr>
    </w:p>
    <w:p>
      <w:pPr>
        <w:ind w:firstLine="1953"/>
        <w:spacing w:after="0" w:line="301" w:lineRule="auto"/>
        <w:tabs>
          <w:tab w:leader="none" w:pos="2429" w:val="left"/>
        </w:tabs>
        <w:numPr>
          <w:ilvl w:val="3"/>
          <w:numId w:val="56"/>
        </w:numPr>
        <w:rPr>
          <w:rFonts w:ascii="Arial" w:cs="Arial" w:eastAsia="Arial" w:hAnsi="Arial"/>
          <w:sz w:val="21"/>
          <w:szCs w:val="21"/>
          <w:color w:val="auto"/>
        </w:rPr>
      </w:pPr>
      <w:r>
        <w:rPr>
          <w:rFonts w:ascii="Arial" w:cs="Arial" w:eastAsia="Arial" w:hAnsi="Arial"/>
          <w:sz w:val="21"/>
          <w:szCs w:val="21"/>
          <w:u w:val="single" w:color="auto"/>
          <w:color w:val="auto"/>
        </w:rPr>
        <w:t>Rule 16b-3</w:t>
      </w:r>
      <w:r>
        <w:rPr>
          <w:rFonts w:ascii="Arial" w:cs="Arial" w:eastAsia="Arial" w:hAnsi="Arial"/>
          <w:sz w:val="21"/>
          <w:szCs w:val="21"/>
          <w:color w:val="auto"/>
        </w:rPr>
        <w:t>. To the extent desirable to qualify transactions hereunder as exempt under Rule 16b-3, the transactions contemplated hereunder will be structured to satisfy the requirements for exemption under Rule 16b-3.</w:t>
      </w:r>
    </w:p>
    <w:p>
      <w:pPr>
        <w:spacing w:after="0" w:line="137" w:lineRule="exact"/>
        <w:rPr>
          <w:rFonts w:ascii="Arial" w:cs="Arial" w:eastAsia="Arial" w:hAnsi="Arial"/>
          <w:sz w:val="21"/>
          <w:szCs w:val="21"/>
          <w:color w:val="auto"/>
        </w:rPr>
      </w:pPr>
    </w:p>
    <w:p>
      <w:pPr>
        <w:ind w:left="2480" w:hanging="527"/>
        <w:spacing w:after="0"/>
        <w:tabs>
          <w:tab w:leader="none" w:pos="2480" w:val="left"/>
        </w:tabs>
        <w:numPr>
          <w:ilvl w:val="3"/>
          <w:numId w:val="56"/>
        </w:numPr>
        <w:rPr>
          <w:rFonts w:ascii="Arial" w:cs="Arial" w:eastAsia="Arial" w:hAnsi="Arial"/>
          <w:sz w:val="19"/>
          <w:szCs w:val="19"/>
          <w:color w:val="auto"/>
        </w:rPr>
      </w:pPr>
      <w:r>
        <w:rPr>
          <w:rFonts w:ascii="Arial" w:cs="Arial" w:eastAsia="Arial" w:hAnsi="Arial"/>
          <w:sz w:val="19"/>
          <w:szCs w:val="19"/>
          <w:u w:val="single" w:color="auto"/>
          <w:color w:val="auto"/>
        </w:rPr>
        <w:t>Other Administration</w:t>
      </w:r>
      <w:r>
        <w:rPr>
          <w:rFonts w:ascii="Arial" w:cs="Arial" w:eastAsia="Arial" w:hAnsi="Arial"/>
          <w:sz w:val="19"/>
          <w:szCs w:val="19"/>
          <w:color w:val="auto"/>
        </w:rPr>
        <w:t>. Other than as provided above, the Plan will be administered by (A) the Board or</w:t>
      </w:r>
    </w:p>
    <w:p>
      <w:pPr>
        <w:spacing w:after="0" w:line="56" w:lineRule="exact"/>
        <w:rPr>
          <w:rFonts w:ascii="Arial" w:cs="Arial" w:eastAsia="Arial" w:hAnsi="Arial"/>
          <w:sz w:val="19"/>
          <w:szCs w:val="19"/>
          <w:color w:val="auto"/>
        </w:rPr>
      </w:pPr>
    </w:p>
    <w:p>
      <w:pPr>
        <w:ind w:left="360" w:hanging="352"/>
        <w:spacing w:after="0"/>
        <w:tabs>
          <w:tab w:leader="none" w:pos="36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Committee, which committee will be constituted to satisfy Applicable Laws.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79" w:name="page80"/>
    <w:bookmarkEnd w:id="79"/>
    <w:p>
      <w:pPr>
        <w:ind w:firstLine="1305"/>
        <w:spacing w:after="0" w:line="358" w:lineRule="auto"/>
        <w:tabs>
          <w:tab w:leader="none" w:pos="1769"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Powers of the Administrator</w:t>
      </w:r>
      <w:r>
        <w:rPr>
          <w:rFonts w:ascii="Arial" w:cs="Arial" w:eastAsia="Arial" w:hAnsi="Arial"/>
          <w:sz w:val="19"/>
          <w:szCs w:val="19"/>
          <w:color w:val="auto"/>
        </w:rPr>
        <w:t>. Subject to the provisions of the Plan, and in the case of a Committee, subject to the specific duties delegated by the Board to such Committee, the Administrator will have the authority, in its discretion:</w:t>
      </w:r>
    </w:p>
    <w:p>
      <w:pPr>
        <w:spacing w:after="0" w:line="90" w:lineRule="exact"/>
        <w:rPr>
          <w:rFonts w:ascii="Arial" w:cs="Arial" w:eastAsia="Arial" w:hAnsi="Arial"/>
          <w:sz w:val="19"/>
          <w:szCs w:val="19"/>
          <w:color w:val="auto"/>
        </w:rPr>
      </w:pPr>
    </w:p>
    <w:p>
      <w:pPr>
        <w:ind w:left="2340" w:hanging="387"/>
        <w:spacing w:after="0"/>
        <w:tabs>
          <w:tab w:leader="none" w:pos="23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to determine the Fair Market Value;</w:t>
      </w:r>
    </w:p>
    <w:p>
      <w:pPr>
        <w:spacing w:after="0" w:line="233" w:lineRule="exact"/>
        <w:rPr>
          <w:rFonts w:ascii="Arial" w:cs="Arial" w:eastAsia="Arial" w:hAnsi="Arial"/>
          <w:sz w:val="22"/>
          <w:szCs w:val="22"/>
          <w:color w:val="auto"/>
        </w:rPr>
      </w:pPr>
    </w:p>
    <w:p>
      <w:pPr>
        <w:ind w:left="2400" w:hanging="447"/>
        <w:spacing w:after="0"/>
        <w:tabs>
          <w:tab w:leader="none" w:pos="2400" w:val="left"/>
        </w:tabs>
        <w:numPr>
          <w:ilvl w:val="1"/>
          <w:numId w:val="58"/>
        </w:numPr>
        <w:rPr>
          <w:rFonts w:ascii="Arial" w:cs="Arial" w:eastAsia="Arial" w:hAnsi="Arial"/>
          <w:sz w:val="22"/>
          <w:szCs w:val="22"/>
          <w:color w:val="auto"/>
        </w:rPr>
      </w:pPr>
      <w:r>
        <w:rPr>
          <w:rFonts w:ascii="Arial" w:cs="Arial" w:eastAsia="Arial" w:hAnsi="Arial"/>
          <w:sz w:val="22"/>
          <w:szCs w:val="22"/>
          <w:color w:val="auto"/>
        </w:rPr>
        <w:t>to select the Service Providers to whom Awards may be granted hereunder;</w:t>
      </w:r>
    </w:p>
    <w:p>
      <w:pPr>
        <w:spacing w:after="0" w:line="233" w:lineRule="exact"/>
        <w:rPr>
          <w:rFonts w:ascii="Arial" w:cs="Arial" w:eastAsia="Arial" w:hAnsi="Arial"/>
          <w:sz w:val="22"/>
          <w:szCs w:val="22"/>
          <w:color w:val="auto"/>
        </w:rPr>
      </w:pPr>
    </w:p>
    <w:p>
      <w:pPr>
        <w:ind w:left="2460" w:hanging="507"/>
        <w:spacing w:after="0"/>
        <w:tabs>
          <w:tab w:leader="none" w:pos="2460" w:val="left"/>
        </w:tabs>
        <w:numPr>
          <w:ilvl w:val="1"/>
          <w:numId w:val="58"/>
        </w:numPr>
        <w:rPr>
          <w:rFonts w:ascii="Arial" w:cs="Arial" w:eastAsia="Arial" w:hAnsi="Arial"/>
          <w:sz w:val="22"/>
          <w:szCs w:val="22"/>
          <w:color w:val="auto"/>
        </w:rPr>
      </w:pPr>
      <w:r>
        <w:rPr>
          <w:rFonts w:ascii="Arial" w:cs="Arial" w:eastAsia="Arial" w:hAnsi="Arial"/>
          <w:sz w:val="22"/>
          <w:szCs w:val="22"/>
          <w:color w:val="auto"/>
        </w:rPr>
        <w:t>to determine the number of Shares to be covered by each Award granted hereunder;</w:t>
      </w:r>
    </w:p>
    <w:p>
      <w:pPr>
        <w:spacing w:after="0" w:line="233" w:lineRule="exact"/>
        <w:rPr>
          <w:rFonts w:ascii="Arial" w:cs="Arial" w:eastAsia="Arial" w:hAnsi="Arial"/>
          <w:sz w:val="22"/>
          <w:szCs w:val="22"/>
          <w:color w:val="auto"/>
        </w:rPr>
      </w:pPr>
    </w:p>
    <w:p>
      <w:pPr>
        <w:ind w:left="2440" w:hanging="487"/>
        <w:spacing w:after="0"/>
        <w:tabs>
          <w:tab w:leader="none" w:pos="24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to approve forms of Award Agreements for use under the Plan;</w:t>
      </w:r>
    </w:p>
    <w:p>
      <w:pPr>
        <w:spacing w:after="0" w:line="233" w:lineRule="exact"/>
        <w:rPr>
          <w:rFonts w:ascii="Arial" w:cs="Arial" w:eastAsia="Arial" w:hAnsi="Arial"/>
          <w:sz w:val="22"/>
          <w:szCs w:val="22"/>
          <w:color w:val="auto"/>
        </w:rPr>
      </w:pPr>
    </w:p>
    <w:p>
      <w:pPr>
        <w:jc w:val="both"/>
        <w:ind w:firstLine="1953"/>
        <w:spacing w:after="0" w:line="251" w:lineRule="auto"/>
        <w:tabs>
          <w:tab w:leader="none" w:pos="2377" w:val="left"/>
        </w:tabs>
        <w:numPr>
          <w:ilvl w:val="1"/>
          <w:numId w:val="58"/>
        </w:numPr>
        <w:rPr>
          <w:rFonts w:ascii="Arial" w:cs="Arial" w:eastAsia="Arial" w:hAnsi="Arial"/>
          <w:sz w:val="22"/>
          <w:szCs w:val="22"/>
          <w:color w:val="auto"/>
        </w:rPr>
      </w:pPr>
      <w:r>
        <w:rPr>
          <w:rFonts w:ascii="Arial" w:cs="Arial" w:eastAsia="Arial" w:hAnsi="Arial"/>
          <w:sz w:val="22"/>
          <w:szCs w:val="22"/>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89" w:lineRule="exact"/>
        <w:rPr>
          <w:rFonts w:ascii="Arial" w:cs="Arial" w:eastAsia="Arial" w:hAnsi="Arial"/>
          <w:sz w:val="22"/>
          <w:szCs w:val="22"/>
          <w:color w:val="auto"/>
        </w:rPr>
      </w:pPr>
    </w:p>
    <w:p>
      <w:pPr>
        <w:ind w:left="2440" w:hanging="487"/>
        <w:spacing w:after="0"/>
        <w:tabs>
          <w:tab w:leader="none" w:pos="2440" w:val="left"/>
        </w:tabs>
        <w:numPr>
          <w:ilvl w:val="1"/>
          <w:numId w:val="58"/>
        </w:numPr>
        <w:rPr>
          <w:rFonts w:ascii="Arial" w:cs="Arial" w:eastAsia="Arial" w:hAnsi="Arial"/>
          <w:sz w:val="22"/>
          <w:szCs w:val="22"/>
          <w:color w:val="auto"/>
        </w:rPr>
      </w:pPr>
      <w:r>
        <w:rPr>
          <w:rFonts w:ascii="Arial" w:cs="Arial" w:eastAsia="Arial" w:hAnsi="Arial"/>
          <w:sz w:val="22"/>
          <w:szCs w:val="22"/>
          <w:color w:val="auto"/>
        </w:rPr>
        <w:t>to construe and interpret the terms of the Plan and Awards granted pursuant to the Plan;</w:t>
      </w:r>
    </w:p>
    <w:p>
      <w:pPr>
        <w:spacing w:after="0" w:line="233" w:lineRule="exact"/>
        <w:rPr>
          <w:rFonts w:ascii="Arial" w:cs="Arial" w:eastAsia="Arial" w:hAnsi="Arial"/>
          <w:sz w:val="22"/>
          <w:szCs w:val="22"/>
          <w:color w:val="auto"/>
        </w:rPr>
      </w:pPr>
    </w:p>
    <w:p>
      <w:pPr>
        <w:jc w:val="both"/>
        <w:ind w:firstLine="1953"/>
        <w:spacing w:after="0" w:line="278" w:lineRule="auto"/>
        <w:tabs>
          <w:tab w:leader="none" w:pos="2686" w:val="left"/>
        </w:tabs>
        <w:numPr>
          <w:ilvl w:val="1"/>
          <w:numId w:val="58"/>
        </w:numPr>
        <w:rPr>
          <w:rFonts w:ascii="Arial" w:cs="Arial" w:eastAsia="Arial" w:hAnsi="Arial"/>
          <w:sz w:val="21"/>
          <w:szCs w:val="21"/>
          <w:color w:val="auto"/>
        </w:rPr>
      </w:pPr>
      <w:r>
        <w:rPr>
          <w:rFonts w:ascii="Arial" w:cs="Arial" w:eastAsia="Arial" w:hAnsi="Arial"/>
          <w:sz w:val="21"/>
          <w:szCs w:val="21"/>
          <w:color w:val="auto"/>
        </w:rPr>
        <w:t>to prescribe, amend and rescind rules and regulations relating to the Plan, including rules and regulations relating to sub-plans established for the purpose of satisfying applicable foreign laws, obtaining favorable tax treatment or for any other purpose the Administrator determines is desirable and consistent with the terms of the Plan;</w:t>
      </w:r>
    </w:p>
    <w:p>
      <w:pPr>
        <w:spacing w:after="0" w:line="160" w:lineRule="exact"/>
        <w:rPr>
          <w:rFonts w:ascii="Arial" w:cs="Arial" w:eastAsia="Arial" w:hAnsi="Arial"/>
          <w:sz w:val="21"/>
          <w:szCs w:val="21"/>
          <w:color w:val="auto"/>
        </w:rPr>
      </w:pPr>
    </w:p>
    <w:p>
      <w:pPr>
        <w:ind w:right="40" w:firstLine="1953"/>
        <w:spacing w:after="0" w:line="260" w:lineRule="auto"/>
        <w:tabs>
          <w:tab w:leader="none" w:pos="2557" w:val="left"/>
        </w:tabs>
        <w:numPr>
          <w:ilvl w:val="1"/>
          <w:numId w:val="58"/>
        </w:numPr>
        <w:rPr>
          <w:rFonts w:ascii="Arial" w:cs="Arial" w:eastAsia="Arial" w:hAnsi="Arial"/>
          <w:sz w:val="21"/>
          <w:szCs w:val="21"/>
          <w:color w:val="auto"/>
        </w:rPr>
      </w:pPr>
      <w:r>
        <w:rPr>
          <w:rFonts w:ascii="Arial" w:cs="Arial" w:eastAsia="Arial" w:hAnsi="Arial"/>
          <w:sz w:val="21"/>
          <w:szCs w:val="21"/>
          <w:color w:val="auto"/>
        </w:rPr>
        <w:t>to modify or amend each Award (subject to Section 18 of the Plan), including but not limited to the discretionary authority to accelerate the vesting an Award, extend the post-termination exercisability period of Awards and to extend the maximum term of an Option (subject to Section 6(b) of the Plan regarding Incentive Stock Options) in a manner that would not result in adverse tax consequesnces under Section 409A of the Code); provided that except with respect to amendments made or other actions taken pursuant to Section 14(c) hereof or any amendment or action with respect to an outstanding Award that may be required or desirable to facilitate compliance with Applicable Laws, as determined in the sole discretion of the Committee, no amendment or modification of an outstanding Award shall affect adversely, in any material way, any Award previously granted without the prior writtent consent of the Participant; provided, further, however, than an amendment or modification that may cause an Incentive Stock Option to become a Non-Qualified Stock Option shall not be treated as adversely affecting the rights of the Participant;</w:t>
      </w:r>
    </w:p>
    <w:p>
      <w:pPr>
        <w:spacing w:after="0" w:line="179" w:lineRule="exact"/>
        <w:rPr>
          <w:rFonts w:ascii="Arial" w:cs="Arial" w:eastAsia="Arial" w:hAnsi="Arial"/>
          <w:sz w:val="21"/>
          <w:szCs w:val="21"/>
          <w:color w:val="auto"/>
        </w:rPr>
      </w:pPr>
    </w:p>
    <w:p>
      <w:pPr>
        <w:ind w:left="2440" w:hanging="487"/>
        <w:spacing w:after="0"/>
        <w:tabs>
          <w:tab w:leader="none" w:pos="2440" w:val="left"/>
        </w:tabs>
        <w:numPr>
          <w:ilvl w:val="1"/>
          <w:numId w:val="58"/>
        </w:numPr>
        <w:rPr>
          <w:rFonts w:ascii="Arial" w:cs="Arial" w:eastAsia="Arial" w:hAnsi="Arial"/>
          <w:sz w:val="19"/>
          <w:szCs w:val="19"/>
          <w:color w:val="auto"/>
        </w:rPr>
      </w:pPr>
      <w:r>
        <w:rPr>
          <w:rFonts w:ascii="Arial" w:cs="Arial" w:eastAsia="Arial" w:hAnsi="Arial"/>
          <w:sz w:val="19"/>
          <w:szCs w:val="19"/>
          <w:color w:val="auto"/>
        </w:rPr>
        <w:t>to determine how Participants will satisfy withholding tax obligations, consistent with Section 14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80" w:name="page81"/>
    <w:bookmarkEnd w:id="80"/>
    <w:p>
      <w:pPr>
        <w:ind w:firstLine="1953"/>
        <w:spacing w:after="0" w:line="276" w:lineRule="auto"/>
        <w:tabs>
          <w:tab w:leader="none" w:pos="2377" w:val="left"/>
        </w:tabs>
        <w:numPr>
          <w:ilvl w:val="2"/>
          <w:numId w:val="59"/>
        </w:numPr>
        <w:rPr>
          <w:rFonts w:ascii="Arial" w:cs="Arial" w:eastAsia="Arial" w:hAnsi="Arial"/>
          <w:sz w:val="22"/>
          <w:szCs w:val="22"/>
          <w:color w:val="auto"/>
        </w:rPr>
      </w:pPr>
      <w:r>
        <w:rPr>
          <w:rFonts w:ascii="Arial" w:cs="Arial" w:eastAsia="Arial" w:hAnsi="Arial"/>
          <w:sz w:val="22"/>
          <w:szCs w:val="22"/>
          <w:color w:val="auto"/>
        </w:rPr>
        <w:t>to authorize any person to execute on behalf of the Company any instrument required to effect the grant of an Award previously granted by the Administrator;</w:t>
      </w:r>
    </w:p>
    <w:p>
      <w:pPr>
        <w:spacing w:after="0" w:line="160" w:lineRule="exact"/>
        <w:rPr>
          <w:rFonts w:ascii="Arial" w:cs="Arial" w:eastAsia="Arial" w:hAnsi="Arial"/>
          <w:sz w:val="22"/>
          <w:szCs w:val="22"/>
          <w:color w:val="auto"/>
        </w:rPr>
      </w:pPr>
    </w:p>
    <w:p>
      <w:pPr>
        <w:ind w:right="20" w:firstLine="1953"/>
        <w:spacing w:after="0" w:line="276" w:lineRule="auto"/>
        <w:tabs>
          <w:tab w:leader="none" w:pos="2477" w:val="left"/>
        </w:tabs>
        <w:numPr>
          <w:ilvl w:val="2"/>
          <w:numId w:val="59"/>
        </w:numPr>
        <w:rPr>
          <w:rFonts w:ascii="Arial" w:cs="Arial" w:eastAsia="Arial" w:hAnsi="Arial"/>
          <w:sz w:val="22"/>
          <w:szCs w:val="22"/>
          <w:color w:val="auto"/>
        </w:rPr>
      </w:pPr>
      <w:r>
        <w:rPr>
          <w:rFonts w:ascii="Arial" w:cs="Arial" w:eastAsia="Arial" w:hAnsi="Arial"/>
          <w:sz w:val="22"/>
          <w:szCs w:val="22"/>
          <w:color w:val="auto"/>
        </w:rPr>
        <w:t>to allow a Participant to defer the receipt of the payment of cash or the delivery of Shares that would otherwise be due to such Participant under an Award; and</w:t>
      </w:r>
    </w:p>
    <w:p>
      <w:pPr>
        <w:spacing w:after="0" w:line="160" w:lineRule="exact"/>
        <w:rPr>
          <w:rFonts w:ascii="Arial" w:cs="Arial" w:eastAsia="Arial" w:hAnsi="Arial"/>
          <w:sz w:val="22"/>
          <w:szCs w:val="22"/>
          <w:color w:val="auto"/>
        </w:rPr>
      </w:pPr>
    </w:p>
    <w:p>
      <w:pPr>
        <w:ind w:left="2500" w:hanging="547"/>
        <w:spacing w:after="0"/>
        <w:tabs>
          <w:tab w:leader="none" w:pos="2500" w:val="left"/>
        </w:tabs>
        <w:numPr>
          <w:ilvl w:val="2"/>
          <w:numId w:val="59"/>
        </w:numPr>
        <w:rPr>
          <w:rFonts w:ascii="Arial" w:cs="Arial" w:eastAsia="Arial" w:hAnsi="Arial"/>
          <w:sz w:val="22"/>
          <w:szCs w:val="22"/>
          <w:color w:val="auto"/>
        </w:rPr>
      </w:pPr>
      <w:r>
        <w:rPr>
          <w:rFonts w:ascii="Arial" w:cs="Arial" w:eastAsia="Arial" w:hAnsi="Arial"/>
          <w:sz w:val="22"/>
          <w:szCs w:val="22"/>
          <w:color w:val="auto"/>
        </w:rPr>
        <w:t>to make all other determinations deemed necessary or advisable for administering the Plan.</w:t>
      </w:r>
    </w:p>
    <w:p>
      <w:pPr>
        <w:spacing w:after="0" w:line="233" w:lineRule="exact"/>
        <w:rPr>
          <w:rFonts w:ascii="Arial" w:cs="Arial" w:eastAsia="Arial" w:hAnsi="Arial"/>
          <w:sz w:val="22"/>
          <w:szCs w:val="22"/>
          <w:color w:val="auto"/>
        </w:rPr>
      </w:pPr>
    </w:p>
    <w:p>
      <w:pPr>
        <w:jc w:val="both"/>
        <w:ind w:firstLine="1305"/>
        <w:spacing w:after="0" w:line="248" w:lineRule="auto"/>
        <w:tabs>
          <w:tab w:leader="none" w:pos="1797"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Delegation of Authority</w:t>
      </w:r>
      <w:r>
        <w:rPr>
          <w:rFonts w:ascii="Arial" w:cs="Arial" w:eastAsia="Arial" w:hAnsi="Arial"/>
          <w:sz w:val="22"/>
          <w:szCs w:val="22"/>
          <w:color w:val="auto"/>
        </w:rPr>
        <w:t>. To the extent permitted by Applicable Laws, the Administrator, from time to time, may delegate to one or more officers of the Company the authority to grant Awards to Participants other than (a) Employees who are subject to Section 16 of the Exchange Act, (b) officers of the Company to whom authority to grant or amend Awards has been delegated hereunder, or (c) members of the Board. Furthermore, any delegation hereunder shall be subject to the restrictions and limitations that the Board (or, as applicable, the Committee) specifies at the time of such delegation, and the Board (or, as applicable, the Committee) may rescind at any time the authority so delegated and/or appoint a new delegatee. At all times, the delegatee appointed under this Section 4(c) shall serve in such capacity at the pleasure of the Board (or, as applicable, the Committee).</w:t>
      </w:r>
    </w:p>
    <w:p>
      <w:pPr>
        <w:spacing w:after="0" w:line="191" w:lineRule="exact"/>
        <w:rPr>
          <w:rFonts w:ascii="Arial" w:cs="Arial" w:eastAsia="Arial" w:hAnsi="Arial"/>
          <w:sz w:val="22"/>
          <w:szCs w:val="22"/>
          <w:color w:val="auto"/>
        </w:rPr>
      </w:pPr>
    </w:p>
    <w:p>
      <w:pPr>
        <w:ind w:right="20" w:firstLine="1305"/>
        <w:spacing w:after="0" w:line="276" w:lineRule="auto"/>
        <w:tabs>
          <w:tab w:leader="none" w:pos="1796"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Effect of Administrator’s Decision</w:t>
      </w:r>
      <w:r>
        <w:rPr>
          <w:rFonts w:ascii="Arial" w:cs="Arial" w:eastAsia="Arial" w:hAnsi="Arial"/>
          <w:sz w:val="22"/>
          <w:szCs w:val="22"/>
          <w:color w:val="auto"/>
        </w:rPr>
        <w:t>. The Administrator’s decisions, determinations and interpretations will be final and binding on all Participants and any other holders of Awards.</w:t>
      </w:r>
    </w:p>
    <w:p>
      <w:pPr>
        <w:spacing w:after="0" w:line="160" w:lineRule="exact"/>
        <w:rPr>
          <w:rFonts w:ascii="Arial" w:cs="Arial" w:eastAsia="Arial" w:hAnsi="Arial"/>
          <w:sz w:val="22"/>
          <w:szCs w:val="22"/>
          <w:color w:val="auto"/>
        </w:rPr>
      </w:pPr>
    </w:p>
    <w:p>
      <w:pPr>
        <w:jc w:val="both"/>
        <w:ind w:left="80" w:firstLine="657"/>
        <w:spacing w:after="0" w:line="260" w:lineRule="auto"/>
        <w:tabs>
          <w:tab w:leader="none" w:pos="1300" w:val="left"/>
        </w:tabs>
        <w:numPr>
          <w:ilvl w:val="0"/>
          <w:numId w:val="61"/>
        </w:numPr>
        <w:rPr>
          <w:rFonts w:ascii="Arial" w:cs="Arial" w:eastAsia="Arial" w:hAnsi="Arial"/>
          <w:sz w:val="22"/>
          <w:szCs w:val="22"/>
          <w:b w:val="1"/>
          <w:bCs w:val="1"/>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Nonstatutory Stock Options, Stock Appreciation Rights, Restricted Stock, Restricted Stock Units, Performance Shares and Performance Units may be granted to Service Providers. Incentive Stock Options may be granted only to Employees of the Company or any Parent or Subsidiary of the Company.</w:t>
      </w:r>
    </w:p>
    <w:p>
      <w:pPr>
        <w:spacing w:after="0" w:line="177" w:lineRule="exact"/>
        <w:rPr>
          <w:rFonts w:ascii="Arial" w:cs="Arial" w:eastAsia="Arial" w:hAnsi="Arial"/>
          <w:sz w:val="22"/>
          <w:szCs w:val="22"/>
          <w:b w:val="1"/>
          <w:bCs w:val="1"/>
          <w:color w:val="auto"/>
        </w:rPr>
      </w:pPr>
    </w:p>
    <w:p>
      <w:pPr>
        <w:ind w:left="1080" w:hanging="343"/>
        <w:spacing w:after="0"/>
        <w:tabs>
          <w:tab w:leader="none" w:pos="1080" w:val="left"/>
        </w:tabs>
        <w:numPr>
          <w:ilvl w:val="0"/>
          <w:numId w:val="61"/>
        </w:numPr>
        <w:rPr>
          <w:rFonts w:ascii="Arial" w:cs="Arial" w:eastAsia="Arial" w:hAnsi="Arial"/>
          <w:sz w:val="22"/>
          <w:szCs w:val="22"/>
          <w:b w:val="1"/>
          <w:bCs w:val="1"/>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5"/>
        <w:spacing w:after="0" w:line="248" w:lineRule="auto"/>
        <w:tabs>
          <w:tab w:leader="none" w:pos="1757"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Limitations</w:t>
      </w:r>
      <w:r>
        <w:rPr>
          <w:rFonts w:ascii="Arial" w:cs="Arial" w:eastAsia="Arial" w:hAnsi="Arial"/>
          <w:sz w:val="22"/>
          <w:szCs w:val="22"/>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95" w:lineRule="exact"/>
        <w:rPr>
          <w:rFonts w:ascii="Arial" w:cs="Arial" w:eastAsia="Arial" w:hAnsi="Arial"/>
          <w:sz w:val="22"/>
          <w:szCs w:val="22"/>
          <w:color w:val="auto"/>
        </w:rPr>
      </w:pPr>
    </w:p>
    <w:p>
      <w:pPr>
        <w:jc w:val="both"/>
        <w:ind w:firstLine="1305"/>
        <w:spacing w:after="0" w:line="266" w:lineRule="auto"/>
        <w:tabs>
          <w:tab w:leader="none" w:pos="1769"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Term of Option</w:t>
      </w:r>
      <w:r>
        <w:rPr>
          <w:rFonts w:ascii="Arial" w:cs="Arial" w:eastAsia="Arial" w:hAnsi="Arial"/>
          <w:sz w:val="21"/>
          <w:szCs w:val="21"/>
          <w:color w:val="auto"/>
        </w:rPr>
        <w:t>. The term of each Option will be stated in the Award Agreement, provided that it may not be greater than ten (10) years from the date of grant.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81" w:name="page82"/>
    <w:bookmarkEnd w:id="81"/>
    <w:p>
      <w:pPr>
        <w:spacing w:after="0" w:line="263" w:lineRule="auto"/>
        <w:rPr>
          <w:sz w:val="20"/>
          <w:szCs w:val="20"/>
          <w:color w:val="auto"/>
        </w:rPr>
      </w:pPr>
      <w:r>
        <w:rPr>
          <w:rFonts w:ascii="Arial" w:cs="Arial" w:eastAsia="Arial" w:hAnsi="Arial"/>
          <w:sz w:val="22"/>
          <w:szCs w:val="22"/>
          <w:color w:val="auto"/>
        </w:rPr>
        <w:t>Parent or Subsidiary, the term of the Incentive Stock Option will be five (5) years from the date of grant or such shorter term as may be provided in the Award Agreement.</w:t>
      </w:r>
    </w:p>
    <w:p>
      <w:pPr>
        <w:spacing w:after="0" w:line="175" w:lineRule="exact"/>
        <w:rPr>
          <w:sz w:val="20"/>
          <w:szCs w:val="20"/>
          <w:color w:val="auto"/>
        </w:rPr>
      </w:pPr>
    </w:p>
    <w:p>
      <w:pPr>
        <w:ind w:left="1720" w:hanging="415"/>
        <w:spacing w:after="0"/>
        <w:tabs>
          <w:tab w:leader="none" w:pos="172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Option Exercise Price and Consideration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953"/>
        <w:spacing w:after="0" w:line="276" w:lineRule="auto"/>
        <w:tabs>
          <w:tab w:leader="none" w:pos="2329"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per share exercise price for the Shares to be issued pursuant to exercise of an Option will be determined by the Administrator, subject to the following:</w:t>
      </w:r>
    </w:p>
    <w:p>
      <w:pPr>
        <w:spacing w:after="0" w:line="160" w:lineRule="exact"/>
        <w:rPr>
          <w:rFonts w:ascii="Arial" w:cs="Arial" w:eastAsia="Arial" w:hAnsi="Arial"/>
          <w:sz w:val="22"/>
          <w:szCs w:val="22"/>
          <w:color w:val="auto"/>
        </w:rPr>
      </w:pPr>
    </w:p>
    <w:p>
      <w:pPr>
        <w:ind w:left="3040" w:hanging="439"/>
        <w:spacing w:after="0"/>
        <w:tabs>
          <w:tab w:leader="none" w:pos="3040" w:val="left"/>
        </w:tabs>
        <w:numPr>
          <w:ilvl w:val="2"/>
          <w:numId w:val="62"/>
        </w:numPr>
        <w:rPr>
          <w:rFonts w:ascii="Arial" w:cs="Arial" w:eastAsia="Arial" w:hAnsi="Arial"/>
          <w:sz w:val="22"/>
          <w:szCs w:val="22"/>
          <w:color w:val="auto"/>
        </w:rPr>
      </w:pPr>
      <w:r>
        <w:rPr>
          <w:rFonts w:ascii="Arial" w:cs="Arial" w:eastAsia="Arial" w:hAnsi="Arial"/>
          <w:sz w:val="22"/>
          <w:szCs w:val="22"/>
          <w:color w:val="auto"/>
        </w:rPr>
        <w:t>In the case of an Incentive Stock Option</w:t>
      </w:r>
    </w:p>
    <w:p>
      <w:pPr>
        <w:spacing w:after="0" w:line="233" w:lineRule="exact"/>
        <w:rPr>
          <w:rFonts w:ascii="Arial" w:cs="Arial" w:eastAsia="Arial" w:hAnsi="Arial"/>
          <w:sz w:val="22"/>
          <w:szCs w:val="22"/>
          <w:color w:val="auto"/>
        </w:rPr>
      </w:pPr>
    </w:p>
    <w:p>
      <w:pPr>
        <w:jc w:val="both"/>
        <w:ind w:firstLine="3249"/>
        <w:spacing w:after="0" w:line="254" w:lineRule="auto"/>
        <w:tabs>
          <w:tab w:leader="none" w:pos="3684" w:val="left"/>
        </w:tabs>
        <w:numPr>
          <w:ilvl w:val="3"/>
          <w:numId w:val="62"/>
        </w:numPr>
        <w:rPr>
          <w:rFonts w:ascii="Arial" w:cs="Arial" w:eastAsia="Arial" w:hAnsi="Arial"/>
          <w:sz w:val="22"/>
          <w:szCs w:val="22"/>
          <w:color w:val="auto"/>
        </w:rPr>
      </w:pPr>
      <w:r>
        <w:rPr>
          <w:rFonts w:ascii="Arial" w:cs="Arial" w:eastAsia="Arial" w:hAnsi="Arial"/>
          <w:sz w:val="22"/>
          <w:szCs w:val="22"/>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85" w:lineRule="exact"/>
        <w:rPr>
          <w:rFonts w:ascii="Arial" w:cs="Arial" w:eastAsia="Arial" w:hAnsi="Arial"/>
          <w:sz w:val="22"/>
          <w:szCs w:val="22"/>
          <w:color w:val="auto"/>
        </w:rPr>
      </w:pPr>
    </w:p>
    <w:p>
      <w:pPr>
        <w:jc w:val="both"/>
        <w:ind w:firstLine="3249"/>
        <w:spacing w:after="0" w:line="260" w:lineRule="auto"/>
        <w:tabs>
          <w:tab w:leader="none" w:pos="3615" w:val="left"/>
        </w:tabs>
        <w:numPr>
          <w:ilvl w:val="3"/>
          <w:numId w:val="62"/>
        </w:numPr>
        <w:rPr>
          <w:rFonts w:ascii="Arial" w:cs="Arial" w:eastAsia="Arial" w:hAnsi="Arial"/>
          <w:sz w:val="22"/>
          <w:szCs w:val="22"/>
          <w:color w:val="auto"/>
        </w:rPr>
      </w:pPr>
      <w:r>
        <w:rPr>
          <w:rFonts w:ascii="Arial" w:cs="Arial" w:eastAsia="Arial" w:hAnsi="Arial"/>
          <w:sz w:val="22"/>
          <w:szCs w:val="22"/>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77" w:lineRule="exact"/>
        <w:rPr>
          <w:rFonts w:ascii="Arial" w:cs="Arial" w:eastAsia="Arial" w:hAnsi="Arial"/>
          <w:sz w:val="22"/>
          <w:szCs w:val="22"/>
          <w:color w:val="auto"/>
        </w:rPr>
      </w:pPr>
    </w:p>
    <w:p>
      <w:pPr>
        <w:ind w:firstLine="2601"/>
        <w:spacing w:after="0" w:line="276" w:lineRule="auto"/>
        <w:tabs>
          <w:tab w:leader="none" w:pos="3039" w:val="left"/>
        </w:tabs>
        <w:numPr>
          <w:ilvl w:val="2"/>
          <w:numId w:val="62"/>
        </w:numPr>
        <w:rPr>
          <w:rFonts w:ascii="Arial" w:cs="Arial" w:eastAsia="Arial" w:hAnsi="Arial"/>
          <w:sz w:val="22"/>
          <w:szCs w:val="22"/>
          <w:color w:val="auto"/>
        </w:rPr>
      </w:pPr>
      <w:r>
        <w:rPr>
          <w:rFonts w:ascii="Arial" w:cs="Arial" w:eastAsia="Arial" w:hAnsi="Arial"/>
          <w:sz w:val="22"/>
          <w:szCs w:val="22"/>
          <w:color w:val="auto"/>
        </w:rPr>
        <w:t>In the case of a Nonstatutory Stock Option, the per Share exercise price will be no less than one hundred percent (100%) of the Fair Market Value per Share on the date of grant.</w:t>
      </w:r>
    </w:p>
    <w:p>
      <w:pPr>
        <w:spacing w:after="0" w:line="160" w:lineRule="exact"/>
        <w:rPr>
          <w:rFonts w:ascii="Arial" w:cs="Arial" w:eastAsia="Arial" w:hAnsi="Arial"/>
          <w:sz w:val="22"/>
          <w:szCs w:val="22"/>
          <w:color w:val="auto"/>
        </w:rPr>
      </w:pPr>
    </w:p>
    <w:p>
      <w:pPr>
        <w:jc w:val="both"/>
        <w:ind w:firstLine="2601"/>
        <w:spacing w:after="0" w:line="260" w:lineRule="auto"/>
        <w:tabs>
          <w:tab w:leader="none" w:pos="3066" w:val="left"/>
        </w:tabs>
        <w:numPr>
          <w:ilvl w:val="2"/>
          <w:numId w:val="62"/>
        </w:numPr>
        <w:rPr>
          <w:rFonts w:ascii="Arial" w:cs="Arial" w:eastAsia="Arial" w:hAnsi="Arial"/>
          <w:sz w:val="22"/>
          <w:szCs w:val="22"/>
          <w:color w:val="auto"/>
        </w:rPr>
      </w:pPr>
      <w:r>
        <w:rPr>
          <w:rFonts w:ascii="Arial" w:cs="Arial" w:eastAsia="Arial" w:hAnsi="Arial"/>
          <w:sz w:val="22"/>
          <w:szCs w:val="22"/>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483"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Waiting Period and Exercise Dates</w:t>
      </w:r>
      <w:r>
        <w:rPr>
          <w:rFonts w:ascii="Arial" w:cs="Arial" w:eastAsia="Arial" w:hAnsi="Arial"/>
          <w:sz w:val="22"/>
          <w:szCs w:val="22"/>
          <w:color w:val="auto"/>
        </w:rPr>
        <w:t>. At the time an Option is granted, the Administrator will fix the period within which the Option may be exercised and will determine any conditions that must be satisfied before the Option may be exercised.</w:t>
      </w:r>
    </w:p>
    <w:p>
      <w:pPr>
        <w:spacing w:after="0" w:line="177" w:lineRule="exact"/>
        <w:rPr>
          <w:rFonts w:ascii="Arial" w:cs="Arial" w:eastAsia="Arial" w:hAnsi="Arial"/>
          <w:sz w:val="22"/>
          <w:szCs w:val="22"/>
          <w:color w:val="auto"/>
        </w:rPr>
      </w:pPr>
    </w:p>
    <w:p>
      <w:pPr>
        <w:jc w:val="both"/>
        <w:ind w:firstLine="1953"/>
        <w:spacing w:after="0" w:line="290" w:lineRule="auto"/>
        <w:tabs>
          <w:tab w:leader="none" w:pos="2557" w:val="left"/>
        </w:tabs>
        <w:numPr>
          <w:ilvl w:val="1"/>
          <w:numId w:val="62"/>
        </w:numPr>
        <w:rPr>
          <w:rFonts w:ascii="Arial" w:cs="Arial" w:eastAsia="Arial" w:hAnsi="Arial"/>
          <w:sz w:val="19"/>
          <w:szCs w:val="19"/>
          <w:color w:val="auto"/>
        </w:rPr>
      </w:pPr>
      <w:r>
        <w:rPr>
          <w:rFonts w:ascii="Arial" w:cs="Arial" w:eastAsia="Arial" w:hAnsi="Arial"/>
          <w:sz w:val="19"/>
          <w:szCs w:val="19"/>
          <w:u w:val="single" w:color="auto"/>
          <w:color w:val="auto"/>
        </w:rPr>
        <w:t>Form of Consideration</w:t>
      </w:r>
      <w:r>
        <w:rPr>
          <w:rFonts w:ascii="Arial" w:cs="Arial" w:eastAsia="Arial" w:hAnsi="Arial"/>
          <w:sz w:val="19"/>
          <w:szCs w:val="19"/>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and set forth in the Award Agreement.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82" w:name="page83"/>
    <w:bookmarkEnd w:id="82"/>
    <w:p>
      <w:pPr>
        <w:ind w:left="1740" w:hanging="435"/>
        <w:spacing w:after="0"/>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3"/>
        <w:spacing w:after="0" w:line="260" w:lineRule="auto"/>
        <w:tabs>
          <w:tab w:leader="none" w:pos="2437"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Procedure for Exercise; Rights as a Stockholder</w:t>
      </w:r>
      <w:r>
        <w:rPr>
          <w:rFonts w:ascii="Arial" w:cs="Arial" w:eastAsia="Arial" w:hAnsi="Arial"/>
          <w:sz w:val="22"/>
          <w:szCs w:val="22"/>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7" w:lineRule="exact"/>
        <w:rPr>
          <w:sz w:val="20"/>
          <w:szCs w:val="20"/>
          <w:color w:val="auto"/>
        </w:rPr>
      </w:pPr>
    </w:p>
    <w:p>
      <w:pPr>
        <w:jc w:val="both"/>
        <w:ind w:firstLine="1945"/>
        <w:spacing w:after="0" w:line="258" w:lineRule="auto"/>
        <w:rPr>
          <w:sz w:val="20"/>
          <w:szCs w:val="20"/>
          <w:color w:val="auto"/>
        </w:rPr>
      </w:pPr>
      <w:r>
        <w:rPr>
          <w:rFonts w:ascii="Arial" w:cs="Arial" w:eastAsia="Arial" w:hAnsi="Arial"/>
          <w:sz w:val="21"/>
          <w:szCs w:val="21"/>
          <w:color w:val="auto"/>
        </w:rPr>
        <w:t>An Option will be deemed exercised when the Company receives: (i) a completed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allowed by the Administrator and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3" w:lineRule="exact"/>
        <w:rPr>
          <w:sz w:val="20"/>
          <w:szCs w:val="20"/>
          <w:color w:val="auto"/>
        </w:rPr>
      </w:pPr>
    </w:p>
    <w:p>
      <w:pPr>
        <w:jc w:val="both"/>
        <w:ind w:firstLine="1945"/>
        <w:spacing w:after="0" w:line="287" w:lineRule="auto"/>
        <w:rPr>
          <w:sz w:val="20"/>
          <w:szCs w:val="20"/>
          <w:color w:val="auto"/>
        </w:rPr>
      </w:pPr>
      <w:r>
        <w:rPr>
          <w:rFonts w:ascii="Arial" w:cs="Arial" w:eastAsia="Arial" w:hAnsi="Arial"/>
          <w:sz w:val="21"/>
          <w:szCs w:val="21"/>
          <w:color w:val="auto"/>
        </w:rPr>
        <w:t>Exercising an Option in any manner will decrease the number of Shares thereafter available, both for purposes of the Plan and for sale under the Option, by the number of Shares as to which the Option is exercised.</w:t>
      </w:r>
    </w:p>
    <w:p>
      <w:pPr>
        <w:spacing w:after="0" w:line="152" w:lineRule="exact"/>
        <w:rPr>
          <w:sz w:val="20"/>
          <w:szCs w:val="20"/>
          <w:color w:val="auto"/>
        </w:rPr>
      </w:pPr>
    </w:p>
    <w:p>
      <w:pPr>
        <w:jc w:val="both"/>
        <w:ind w:firstLine="1953"/>
        <w:spacing w:after="0" w:line="260" w:lineRule="auto"/>
        <w:tabs>
          <w:tab w:leader="none" w:pos="2389"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Termination of Relationship as a Service Provider</w:t>
      </w:r>
      <w:r>
        <w:rPr>
          <w:rFonts w:ascii="Arial" w:cs="Arial" w:eastAsia="Arial" w:hAnsi="Arial"/>
          <w:sz w:val="21"/>
          <w:szCs w:val="21"/>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4" w:lineRule="exact"/>
        <w:rPr>
          <w:rFonts w:ascii="Arial" w:cs="Arial" w:eastAsia="Arial" w:hAnsi="Arial"/>
          <w:sz w:val="21"/>
          <w:szCs w:val="21"/>
          <w:color w:val="auto"/>
        </w:rPr>
      </w:pPr>
    </w:p>
    <w:p>
      <w:pPr>
        <w:jc w:val="both"/>
        <w:ind w:firstLine="1953"/>
        <w:spacing w:after="0" w:line="248" w:lineRule="auto"/>
        <w:tabs>
          <w:tab w:leader="none" w:pos="247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Disability of Participant</w:t>
      </w:r>
      <w:r>
        <w:rPr>
          <w:rFonts w:ascii="Arial" w:cs="Arial" w:eastAsia="Arial" w:hAnsi="Arial"/>
          <w:sz w:val="22"/>
          <w:szCs w:val="22"/>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83" w:name="page84"/>
    <w:bookmarkEnd w:id="83"/>
    <w:p>
      <w:pPr>
        <w:ind w:right="20"/>
        <w:spacing w:after="0" w:line="263" w:lineRule="auto"/>
        <w:rPr>
          <w:sz w:val="20"/>
          <w:szCs w:val="20"/>
          <w:color w:val="auto"/>
        </w:rPr>
      </w:pPr>
      <w:r>
        <w:rPr>
          <w:rFonts w:ascii="Arial" w:cs="Arial" w:eastAsia="Arial" w:hAnsi="Arial"/>
          <w:sz w:val="22"/>
          <w:szCs w:val="22"/>
          <w:color w:val="auto"/>
        </w:rPr>
        <w:t>termination the Participant does not exercise his or her Option within the time specified herein, the Option will terminate, and the Shares covered by such Option will revert to the Plan.</w:t>
      </w:r>
    </w:p>
    <w:p>
      <w:pPr>
        <w:spacing w:after="0" w:line="175" w:lineRule="exact"/>
        <w:rPr>
          <w:sz w:val="20"/>
          <w:szCs w:val="20"/>
          <w:color w:val="auto"/>
        </w:rPr>
      </w:pPr>
    </w:p>
    <w:p>
      <w:pPr>
        <w:jc w:val="both"/>
        <w:ind w:firstLine="1953"/>
        <w:spacing w:after="0" w:line="289" w:lineRule="auto"/>
        <w:tabs>
          <w:tab w:leader="none" w:pos="2572" w:val="left"/>
        </w:tabs>
        <w:numPr>
          <w:ilvl w:val="2"/>
          <w:numId w:val="65"/>
        </w:numPr>
        <w:rPr>
          <w:rFonts w:ascii="Arial" w:cs="Arial" w:eastAsia="Arial" w:hAnsi="Arial"/>
          <w:sz w:val="19"/>
          <w:szCs w:val="19"/>
          <w:color w:val="auto"/>
        </w:rPr>
      </w:pPr>
      <w:r>
        <w:rPr>
          <w:rFonts w:ascii="Arial" w:cs="Arial" w:eastAsia="Arial" w:hAnsi="Arial"/>
          <w:sz w:val="19"/>
          <w:szCs w:val="19"/>
          <w:u w:val="single" w:color="auto"/>
          <w:color w:val="auto"/>
        </w:rPr>
        <w:t>Death of Participant</w:t>
      </w:r>
      <w:r>
        <w:rPr>
          <w:rFonts w:ascii="Arial" w:cs="Arial" w:eastAsia="Arial" w:hAnsi="Arial"/>
          <w:sz w:val="19"/>
          <w:szCs w:val="19"/>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58" w:lineRule="exact"/>
        <w:rPr>
          <w:rFonts w:ascii="Arial" w:cs="Arial" w:eastAsia="Arial" w:hAnsi="Arial"/>
          <w:sz w:val="19"/>
          <w:szCs w:val="19"/>
          <w:color w:val="auto"/>
        </w:rPr>
      </w:pPr>
    </w:p>
    <w:p>
      <w:pPr>
        <w:ind w:left="1080" w:hanging="343"/>
        <w:spacing w:after="0"/>
        <w:tabs>
          <w:tab w:leader="none" w:pos="1080" w:val="left"/>
        </w:tabs>
        <w:numPr>
          <w:ilvl w:val="0"/>
          <w:numId w:val="66"/>
        </w:numPr>
        <w:rPr>
          <w:rFonts w:ascii="Arial" w:cs="Arial" w:eastAsia="Arial" w:hAnsi="Arial"/>
          <w:sz w:val="22"/>
          <w:szCs w:val="22"/>
          <w:b w:val="1"/>
          <w:bCs w:val="1"/>
          <w:color w:val="auto"/>
        </w:rPr>
      </w:pPr>
      <w:r>
        <w:rPr>
          <w:rFonts w:ascii="Arial" w:cs="Arial" w:eastAsia="Arial" w:hAnsi="Arial"/>
          <w:sz w:val="22"/>
          <w:szCs w:val="22"/>
          <w:u w:val="single" w:color="auto"/>
          <w:color w:val="auto"/>
        </w:rPr>
        <w:t>Restricted Stock</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5"/>
        <w:spacing w:after="0" w:line="260" w:lineRule="auto"/>
        <w:tabs>
          <w:tab w:leader="none" w:pos="1757"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w:t>
      </w:r>
      <w:r>
        <w:rPr>
          <w:rFonts w:ascii="Arial" w:cs="Arial" w:eastAsia="Arial" w:hAnsi="Arial"/>
          <w:sz w:val="22"/>
          <w:szCs w:val="22"/>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769"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Restricted Stock Agreement</w:t>
      </w:r>
      <w:r>
        <w:rPr>
          <w:rFonts w:ascii="Arial" w:cs="Arial" w:eastAsia="Arial" w:hAnsi="Arial"/>
          <w:sz w:val="22"/>
          <w:szCs w:val="22"/>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85" w:lineRule="exact"/>
        <w:rPr>
          <w:rFonts w:ascii="Arial" w:cs="Arial" w:eastAsia="Arial" w:hAnsi="Arial"/>
          <w:sz w:val="22"/>
          <w:szCs w:val="22"/>
          <w:color w:val="auto"/>
        </w:rPr>
      </w:pPr>
    </w:p>
    <w:p>
      <w:pPr>
        <w:ind w:right="20" w:firstLine="1305"/>
        <w:spacing w:after="0" w:line="301" w:lineRule="auto"/>
        <w:tabs>
          <w:tab w:leader="none" w:pos="1770"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Except as provided in this Section 7, Shares of Restricted Stock may not be sold, transferred, pledged, assigned, or otherwise alienated or hypothecated until the end of the applicable Period of Restriction.</w:t>
      </w:r>
    </w:p>
    <w:p>
      <w:pPr>
        <w:spacing w:after="0" w:line="137" w:lineRule="exact"/>
        <w:rPr>
          <w:rFonts w:ascii="Arial" w:cs="Arial" w:eastAsia="Arial" w:hAnsi="Arial"/>
          <w:sz w:val="21"/>
          <w:szCs w:val="21"/>
          <w:color w:val="auto"/>
        </w:rPr>
      </w:pPr>
    </w:p>
    <w:p>
      <w:pPr>
        <w:ind w:firstLine="1305"/>
        <w:spacing w:after="0" w:line="276" w:lineRule="auto"/>
        <w:tabs>
          <w:tab w:leader="none" w:pos="1783"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Other Restrictions</w:t>
      </w:r>
      <w:r>
        <w:rPr>
          <w:rFonts w:ascii="Arial" w:cs="Arial" w:eastAsia="Arial" w:hAnsi="Arial"/>
          <w:sz w:val="22"/>
          <w:szCs w:val="22"/>
          <w:color w:val="auto"/>
        </w:rPr>
        <w:t>. The Administrator, in its sole discretion, may impose such other restrictions on Shares of Restricted Stock as it may deem advisable or appropriate.</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730"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Removal of Restrictions</w:t>
      </w:r>
      <w:r>
        <w:rPr>
          <w:rFonts w:ascii="Arial" w:cs="Arial" w:eastAsia="Arial" w:hAnsi="Arial"/>
          <w:sz w:val="22"/>
          <w:szCs w:val="22"/>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85" w:lineRule="exact"/>
        <w:rPr>
          <w:rFonts w:ascii="Arial" w:cs="Arial" w:eastAsia="Arial" w:hAnsi="Arial"/>
          <w:sz w:val="22"/>
          <w:szCs w:val="22"/>
          <w:color w:val="auto"/>
        </w:rPr>
      </w:pPr>
    </w:p>
    <w:p>
      <w:pPr>
        <w:ind w:right="20" w:firstLine="1305"/>
        <w:spacing w:after="0" w:line="358" w:lineRule="auto"/>
        <w:tabs>
          <w:tab w:leader="none" w:pos="1733"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Voting Rights</w:t>
      </w:r>
      <w:r>
        <w:rPr>
          <w:rFonts w:ascii="Arial" w:cs="Arial" w:eastAsia="Arial" w:hAnsi="Arial"/>
          <w:sz w:val="19"/>
          <w:szCs w:val="19"/>
          <w:color w:val="auto"/>
        </w:rPr>
        <w:t>. During the Period of Restriction, Service Providers holding Shares of Restricted Stock granted hereunder may exercise full voting rights with respect to those Shares, unless the Administrator determines otherwise.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84" w:name="page85"/>
    <w:bookmarkEnd w:id="84"/>
    <w:p>
      <w:pPr>
        <w:jc w:val="both"/>
        <w:ind w:firstLine="1305"/>
        <w:spacing w:after="0" w:line="251" w:lineRule="auto"/>
        <w:tabs>
          <w:tab w:leader="none" w:pos="1864"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Dividends and Other Distributions</w:t>
      </w:r>
      <w:r>
        <w:rPr>
          <w:rFonts w:ascii="Arial" w:cs="Arial" w:eastAsia="Arial" w:hAnsi="Arial"/>
          <w:sz w:val="22"/>
          <w:szCs w:val="22"/>
          <w:color w:val="auto"/>
        </w:rPr>
        <w:t>. During the Period of Restriction, Service Providers holding Shares of Restricted Stock will be entitled to receive all dividends and other distributions paid with respect to such Shares, unless the Administrator provides otherwise. Nothwithstanding the foregoing, any such dividends or distributions that are paid shall be subject to the same restrictions on transferability and forfeitability as the Shares of Restricted Stock with respect to which they were paid.</w:t>
      </w:r>
    </w:p>
    <w:p>
      <w:pPr>
        <w:spacing w:after="0" w:line="189" w:lineRule="exact"/>
        <w:rPr>
          <w:rFonts w:ascii="Arial" w:cs="Arial" w:eastAsia="Arial" w:hAnsi="Arial"/>
          <w:sz w:val="22"/>
          <w:szCs w:val="22"/>
          <w:color w:val="auto"/>
        </w:rPr>
      </w:pPr>
    </w:p>
    <w:p>
      <w:pPr>
        <w:ind w:right="20" w:firstLine="1305"/>
        <w:spacing w:after="0" w:line="358" w:lineRule="auto"/>
        <w:tabs>
          <w:tab w:leader="none" w:pos="1728"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Return of Restricted Stock to Company</w:t>
      </w:r>
      <w:r>
        <w:rPr>
          <w:rFonts w:ascii="Arial" w:cs="Arial" w:eastAsia="Arial" w:hAnsi="Arial"/>
          <w:sz w:val="19"/>
          <w:szCs w:val="19"/>
          <w:color w:val="auto"/>
        </w:rPr>
        <w:t>. On the date set forth in the Award Agreement, the Restricted Stock for which restrictions have not lapsed will revert to the Company and again will become available for grant under the Plan.</w:t>
      </w:r>
    </w:p>
    <w:p>
      <w:pPr>
        <w:spacing w:after="0" w:line="90" w:lineRule="exact"/>
        <w:rPr>
          <w:rFonts w:ascii="Arial" w:cs="Arial" w:eastAsia="Arial" w:hAnsi="Arial"/>
          <w:sz w:val="19"/>
          <w:szCs w:val="19"/>
          <w:color w:val="auto"/>
        </w:rPr>
      </w:pPr>
    </w:p>
    <w:p>
      <w:pPr>
        <w:ind w:left="1080" w:hanging="343"/>
        <w:spacing w:after="0"/>
        <w:tabs>
          <w:tab w:leader="none" w:pos="1080" w:val="left"/>
        </w:tabs>
        <w:numPr>
          <w:ilvl w:val="0"/>
          <w:numId w:val="68"/>
        </w:numPr>
        <w:rPr>
          <w:rFonts w:ascii="Arial" w:cs="Arial" w:eastAsia="Arial" w:hAnsi="Arial"/>
          <w:sz w:val="22"/>
          <w:szCs w:val="22"/>
          <w:b w:val="1"/>
          <w:bCs w:val="1"/>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5"/>
        <w:spacing w:after="0" w:line="254" w:lineRule="auto"/>
        <w:tabs>
          <w:tab w:leader="none" w:pos="1878"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85" w:lineRule="exact"/>
        <w:rPr>
          <w:rFonts w:ascii="Arial" w:cs="Arial" w:eastAsia="Arial" w:hAnsi="Arial"/>
          <w:sz w:val="22"/>
          <w:szCs w:val="22"/>
          <w:color w:val="auto"/>
        </w:rPr>
      </w:pPr>
    </w:p>
    <w:p>
      <w:pPr>
        <w:jc w:val="both"/>
        <w:ind w:firstLine="1305"/>
        <w:spacing w:after="0" w:line="307" w:lineRule="auto"/>
        <w:tabs>
          <w:tab w:leader="none" w:pos="1728"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Vesting Criteria and Other Terms</w:t>
      </w:r>
      <w:r>
        <w:rPr>
          <w:rFonts w:ascii="Arial" w:cs="Arial" w:eastAsia="Arial" w:hAnsi="Arial"/>
          <w:sz w:val="19"/>
          <w:szCs w:val="19"/>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138" w:lineRule="exact"/>
        <w:rPr>
          <w:rFonts w:ascii="Arial" w:cs="Arial" w:eastAsia="Arial" w:hAnsi="Arial"/>
          <w:sz w:val="19"/>
          <w:szCs w:val="19"/>
          <w:color w:val="auto"/>
        </w:rPr>
      </w:pPr>
    </w:p>
    <w:p>
      <w:pPr>
        <w:ind w:right="20" w:firstLine="1305"/>
        <w:spacing w:after="0" w:line="276" w:lineRule="auto"/>
        <w:tabs>
          <w:tab w:leader="none" w:pos="1743"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Upon meeting the applicable vesting criteria, the Participant will be entitled to receive a payout (as described in Section 8(d) hereof) as determined by the Administrator.</w:t>
      </w:r>
    </w:p>
    <w:p>
      <w:pPr>
        <w:spacing w:after="0" w:line="160" w:lineRule="exact"/>
        <w:rPr>
          <w:rFonts w:ascii="Arial" w:cs="Arial" w:eastAsia="Arial" w:hAnsi="Arial"/>
          <w:sz w:val="22"/>
          <w:szCs w:val="22"/>
          <w:color w:val="auto"/>
        </w:rPr>
      </w:pPr>
    </w:p>
    <w:p>
      <w:pPr>
        <w:jc w:val="both"/>
        <w:ind w:firstLine="1305"/>
        <w:spacing w:after="0" w:line="278" w:lineRule="auto"/>
        <w:tabs>
          <w:tab w:leader="none" w:pos="1783"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60" w:lineRule="exact"/>
        <w:rPr>
          <w:rFonts w:ascii="Arial" w:cs="Arial" w:eastAsia="Arial" w:hAnsi="Arial"/>
          <w:sz w:val="21"/>
          <w:szCs w:val="21"/>
          <w:color w:val="auto"/>
        </w:rPr>
      </w:pPr>
    </w:p>
    <w:p>
      <w:pPr>
        <w:ind w:firstLine="1305"/>
        <w:spacing w:after="0" w:line="276" w:lineRule="auto"/>
        <w:tabs>
          <w:tab w:leader="none" w:pos="1865"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Cancellation</w:t>
      </w:r>
      <w:r>
        <w:rPr>
          <w:rFonts w:ascii="Arial" w:cs="Arial" w:eastAsia="Arial" w:hAnsi="Arial"/>
          <w:sz w:val="22"/>
          <w:szCs w:val="22"/>
          <w:color w:val="auto"/>
        </w:rPr>
        <w:t>. On the date set forth in the Award Agreement, all unvested Restricted Stock Units will be forfeited to the Company.</w:t>
      </w:r>
    </w:p>
    <w:p>
      <w:pPr>
        <w:spacing w:after="0" w:line="160" w:lineRule="exact"/>
        <w:rPr>
          <w:rFonts w:ascii="Arial" w:cs="Arial" w:eastAsia="Arial" w:hAnsi="Arial"/>
          <w:sz w:val="22"/>
          <w:szCs w:val="22"/>
          <w:color w:val="auto"/>
        </w:rPr>
      </w:pPr>
    </w:p>
    <w:p>
      <w:pPr>
        <w:ind w:left="1080" w:hanging="343"/>
        <w:spacing w:after="0"/>
        <w:tabs>
          <w:tab w:leader="none" w:pos="1080" w:val="left"/>
        </w:tabs>
        <w:numPr>
          <w:ilvl w:val="0"/>
          <w:numId w:val="68"/>
        </w:numPr>
        <w:rPr>
          <w:rFonts w:ascii="Arial" w:cs="Arial" w:eastAsia="Arial" w:hAnsi="Arial"/>
          <w:sz w:val="22"/>
          <w:szCs w:val="22"/>
          <w:b w:val="1"/>
          <w:bCs w:val="1"/>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5"/>
        <w:spacing w:after="0" w:line="260" w:lineRule="auto"/>
        <w:tabs>
          <w:tab w:leader="none" w:pos="1716"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Grant of Stock Appreciation Rights</w:t>
      </w:r>
      <w:r>
        <w:rPr>
          <w:rFonts w:ascii="Arial" w:cs="Arial" w:eastAsia="Arial" w:hAnsi="Arial"/>
          <w:sz w:val="22"/>
          <w:szCs w:val="22"/>
          <w:color w:val="auto"/>
        </w:rPr>
        <w:t>. Subject to the terms and conditions of the Plan, a Stock Appreciation Right may be granted to Service Providers at any time and from time to time as will be determined by the Administrator, in its sole discretion.</w:t>
      </w:r>
    </w:p>
    <w:p>
      <w:pPr>
        <w:spacing w:after="0" w:line="177" w:lineRule="exact"/>
        <w:rPr>
          <w:rFonts w:ascii="Arial" w:cs="Arial" w:eastAsia="Arial" w:hAnsi="Arial"/>
          <w:sz w:val="22"/>
          <w:szCs w:val="22"/>
          <w:color w:val="auto"/>
        </w:rPr>
      </w:pPr>
    </w:p>
    <w:p>
      <w:pPr>
        <w:ind w:firstLine="1305"/>
        <w:spacing w:after="0" w:line="276" w:lineRule="auto"/>
        <w:tabs>
          <w:tab w:leader="none" w:pos="1904" w:val="left"/>
        </w:tabs>
        <w:numPr>
          <w:ilvl w:val="1"/>
          <w:numId w:val="68"/>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 The Administrator will have complete discretion to determine the number of Stock Appreciation Rights granted to any Service Provider.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1" w:right="239" w:bottom="1440" w:gutter="0" w:footer="0" w:header="0"/>
        </w:sectPr>
      </w:pPr>
    </w:p>
    <w:bookmarkStart w:id="85" w:name="page86"/>
    <w:bookmarkEnd w:id="85"/>
    <w:p>
      <w:pPr>
        <w:jc w:val="both"/>
        <w:ind w:firstLine="1305"/>
        <w:spacing w:after="0" w:line="307" w:lineRule="auto"/>
        <w:tabs>
          <w:tab w:leader="none" w:pos="1716"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Exercise Price and Other Terms</w:t>
      </w:r>
      <w:r>
        <w:rPr>
          <w:rFonts w:ascii="Arial" w:cs="Arial" w:eastAsia="Arial" w:hAnsi="Arial"/>
          <w:sz w:val="19"/>
          <w:szCs w:val="19"/>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38" w:lineRule="exact"/>
        <w:rPr>
          <w:rFonts w:ascii="Arial" w:cs="Arial" w:eastAsia="Arial" w:hAnsi="Arial"/>
          <w:sz w:val="19"/>
          <w:szCs w:val="19"/>
          <w:color w:val="auto"/>
        </w:rPr>
      </w:pPr>
    </w:p>
    <w:p>
      <w:pPr>
        <w:jc w:val="both"/>
        <w:ind w:firstLine="1305"/>
        <w:spacing w:after="0" w:line="260" w:lineRule="auto"/>
        <w:tabs>
          <w:tab w:leader="none" w:pos="1823"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Stock Appreciation Right Agreement</w:t>
      </w:r>
      <w:r>
        <w:rPr>
          <w:rFonts w:ascii="Arial" w:cs="Arial" w:eastAsia="Arial" w:hAnsi="Arial"/>
          <w:sz w:val="22"/>
          <w:szCs w:val="22"/>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757"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Expiration of Stock Appreciation Rights</w:t>
      </w:r>
      <w:r>
        <w:rPr>
          <w:rFonts w:ascii="Arial" w:cs="Arial" w:eastAsia="Arial" w:hAnsi="Arial"/>
          <w:sz w:val="22"/>
          <w:szCs w:val="22"/>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85" w:lineRule="exact"/>
        <w:rPr>
          <w:rFonts w:ascii="Arial" w:cs="Arial" w:eastAsia="Arial" w:hAnsi="Arial"/>
          <w:sz w:val="22"/>
          <w:szCs w:val="22"/>
          <w:color w:val="auto"/>
        </w:rPr>
      </w:pPr>
    </w:p>
    <w:p>
      <w:pPr>
        <w:ind w:firstLine="1305"/>
        <w:spacing w:after="0" w:line="276" w:lineRule="auto"/>
        <w:tabs>
          <w:tab w:leader="none" w:pos="170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Payment of Stock Appreciation Right Amount</w:t>
      </w:r>
      <w:r>
        <w:rPr>
          <w:rFonts w:ascii="Arial" w:cs="Arial" w:eastAsia="Arial" w:hAnsi="Arial"/>
          <w:sz w:val="22"/>
          <w:szCs w:val="22"/>
          <w:color w:val="auto"/>
        </w:rPr>
        <w:t>. Upon exercise of a Stock Appreciation Right, a Participant will be entitled to receive payment from the Company in an amount determined by multiplying:</w:t>
      </w:r>
    </w:p>
    <w:p>
      <w:pPr>
        <w:spacing w:after="0" w:line="160" w:lineRule="exact"/>
        <w:rPr>
          <w:rFonts w:ascii="Arial" w:cs="Arial" w:eastAsia="Arial" w:hAnsi="Arial"/>
          <w:sz w:val="22"/>
          <w:szCs w:val="22"/>
          <w:color w:val="auto"/>
        </w:rPr>
      </w:pPr>
    </w:p>
    <w:p>
      <w:pPr>
        <w:ind w:left="2360" w:hanging="407"/>
        <w:spacing w:after="0"/>
        <w:tabs>
          <w:tab w:leader="none" w:pos="236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difference between the Fair Market Value of a Share on the date of exercise over the exercise price;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times</w:t>
      </w:r>
    </w:p>
    <w:p>
      <w:pPr>
        <w:spacing w:after="0" w:line="215" w:lineRule="exact"/>
        <w:rPr>
          <w:rFonts w:ascii="Arial" w:cs="Arial" w:eastAsia="Arial" w:hAnsi="Arial"/>
          <w:sz w:val="19"/>
          <w:szCs w:val="19"/>
          <w:color w:val="auto"/>
        </w:rPr>
      </w:pPr>
    </w:p>
    <w:p>
      <w:pPr>
        <w:ind w:left="2400" w:hanging="447"/>
        <w:spacing w:after="0"/>
        <w:tabs>
          <w:tab w:leader="none" w:pos="240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number of Shares with respect to which the Stock Appreciation Right is exercised.</w:t>
      </w:r>
    </w:p>
    <w:p>
      <w:pPr>
        <w:spacing w:after="0" w:line="233" w:lineRule="exact"/>
        <w:rPr>
          <w:sz w:val="20"/>
          <w:szCs w:val="20"/>
          <w:color w:val="auto"/>
        </w:rPr>
      </w:pPr>
    </w:p>
    <w:p>
      <w:pPr>
        <w:ind w:firstLine="1945"/>
        <w:spacing w:after="0" w:line="263" w:lineRule="auto"/>
        <w:rPr>
          <w:sz w:val="20"/>
          <w:szCs w:val="20"/>
          <w:color w:val="auto"/>
        </w:rPr>
      </w:pPr>
      <w:r>
        <w:rPr>
          <w:rFonts w:ascii="Arial" w:cs="Arial" w:eastAsia="Arial" w:hAnsi="Arial"/>
          <w:sz w:val="22"/>
          <w:szCs w:val="22"/>
          <w:color w:val="auto"/>
        </w:rPr>
        <w:t>At the discretion of the Administrator, the payment upon Stock Appreciation Right exercise may be in cash, in Shares of equivalent value, or in some combination thereof.</w:t>
      </w:r>
    </w:p>
    <w:p>
      <w:pPr>
        <w:spacing w:after="0" w:line="175" w:lineRule="exact"/>
        <w:rPr>
          <w:sz w:val="20"/>
          <w:szCs w:val="20"/>
          <w:color w:val="auto"/>
        </w:rPr>
      </w:pPr>
    </w:p>
    <w:p>
      <w:pPr>
        <w:ind w:left="1180" w:hanging="443"/>
        <w:spacing w:after="0"/>
        <w:tabs>
          <w:tab w:leader="none" w:pos="1180" w:val="left"/>
        </w:tabs>
        <w:numPr>
          <w:ilvl w:val="0"/>
          <w:numId w:val="70"/>
        </w:numPr>
        <w:rPr>
          <w:rFonts w:ascii="Arial" w:cs="Arial" w:eastAsia="Arial" w:hAnsi="Arial"/>
          <w:sz w:val="22"/>
          <w:szCs w:val="22"/>
          <w:b w:val="1"/>
          <w:bCs w:val="1"/>
          <w:color w:val="auto"/>
        </w:rPr>
      </w:pPr>
      <w:r>
        <w:rPr>
          <w:rFonts w:ascii="Arial" w:cs="Arial" w:eastAsia="Arial" w:hAnsi="Arial"/>
          <w:sz w:val="22"/>
          <w:szCs w:val="22"/>
          <w:u w:val="single" w:color="auto"/>
          <w:color w:val="auto"/>
        </w:rPr>
        <w:t>Performance Units and Performance Shares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5"/>
        <w:spacing w:after="0" w:line="320" w:lineRule="auto"/>
        <w:tabs>
          <w:tab w:leader="none" w:pos="1811" w:val="left"/>
        </w:tabs>
        <w:numPr>
          <w:ilvl w:val="1"/>
          <w:numId w:val="70"/>
        </w:numPr>
        <w:rPr>
          <w:rFonts w:ascii="Arial" w:cs="Arial" w:eastAsia="Arial" w:hAnsi="Arial"/>
          <w:sz w:val="19"/>
          <w:szCs w:val="19"/>
          <w:color w:val="auto"/>
        </w:rPr>
      </w:pPr>
      <w:r>
        <w:rPr>
          <w:rFonts w:ascii="Arial" w:cs="Arial" w:eastAsia="Arial" w:hAnsi="Arial"/>
          <w:sz w:val="19"/>
          <w:szCs w:val="19"/>
          <w:u w:val="single" w:color="auto"/>
          <w:color w:val="auto"/>
        </w:rPr>
        <w:t>Grant of Performance Units/Shares</w:t>
      </w:r>
      <w:r>
        <w:rPr>
          <w:rFonts w:ascii="Arial" w:cs="Arial" w:eastAsia="Arial" w:hAnsi="Arial"/>
          <w:sz w:val="19"/>
          <w:szCs w:val="19"/>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25" w:lineRule="exact"/>
        <w:rPr>
          <w:rFonts w:ascii="Arial" w:cs="Arial" w:eastAsia="Arial" w:hAnsi="Arial"/>
          <w:sz w:val="19"/>
          <w:szCs w:val="19"/>
          <w:color w:val="auto"/>
        </w:rPr>
      </w:pPr>
    </w:p>
    <w:p>
      <w:pPr>
        <w:jc w:val="both"/>
        <w:ind w:firstLine="1305"/>
        <w:spacing w:after="0" w:line="260" w:lineRule="auto"/>
        <w:tabs>
          <w:tab w:leader="none" w:pos="1756"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Value of Performance Units/Shares</w:t>
      </w:r>
      <w:r>
        <w:rPr>
          <w:rFonts w:ascii="Arial" w:cs="Arial" w:eastAsia="Arial" w:hAnsi="Arial"/>
          <w:sz w:val="22"/>
          <w:szCs w:val="22"/>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77" w:lineRule="exact"/>
        <w:rPr>
          <w:rFonts w:ascii="Arial" w:cs="Arial" w:eastAsia="Arial" w:hAnsi="Arial"/>
          <w:sz w:val="22"/>
          <w:szCs w:val="22"/>
          <w:color w:val="auto"/>
        </w:rPr>
      </w:pPr>
    </w:p>
    <w:p>
      <w:pPr>
        <w:jc w:val="both"/>
        <w:ind w:firstLine="1305"/>
        <w:spacing w:after="0" w:line="266" w:lineRule="auto"/>
        <w:tabs>
          <w:tab w:leader="none" w:pos="1770"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Performance Objectives and Other Terms</w:t>
      </w:r>
      <w:r>
        <w:rPr>
          <w:rFonts w:ascii="Arial" w:cs="Arial" w:eastAsia="Arial" w:hAnsi="Arial"/>
          <w:sz w:val="21"/>
          <w:szCs w:val="21"/>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91" w:right="239" w:bottom="1440" w:gutter="0" w:footer="0" w:header="0"/>
        </w:sectPr>
      </w:pPr>
    </w:p>
    <w:bookmarkStart w:id="86" w:name="page87"/>
    <w:bookmarkEnd w:id="86"/>
    <w:p>
      <w:pPr>
        <w:jc w:val="both"/>
        <w:spacing w:after="0" w:line="250" w:lineRule="auto"/>
        <w:rPr>
          <w:sz w:val="20"/>
          <w:szCs w:val="20"/>
          <w:color w:val="auto"/>
        </w:rPr>
      </w:pPr>
      <w:r>
        <w:rPr>
          <w:rFonts w:ascii="Arial" w:cs="Arial" w:eastAsia="Arial" w:hAnsi="Arial"/>
          <w:sz w:val="22"/>
          <w:szCs w:val="22"/>
          <w:color w:val="auto"/>
        </w:rPr>
        <w:t>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188" w:lineRule="exact"/>
        <w:rPr>
          <w:sz w:val="20"/>
          <w:szCs w:val="20"/>
          <w:color w:val="auto"/>
        </w:rPr>
      </w:pPr>
    </w:p>
    <w:p>
      <w:pPr>
        <w:jc w:val="both"/>
        <w:ind w:firstLine="1305"/>
        <w:spacing w:after="0" w:line="300" w:lineRule="auto"/>
        <w:tabs>
          <w:tab w:leader="none" w:pos="1904" w:val="left"/>
        </w:tabs>
        <w:numPr>
          <w:ilvl w:val="2"/>
          <w:numId w:val="71"/>
        </w:numPr>
        <w:rPr>
          <w:rFonts w:ascii="Arial" w:cs="Arial" w:eastAsia="Arial" w:hAnsi="Arial"/>
          <w:sz w:val="19"/>
          <w:szCs w:val="19"/>
          <w:color w:val="auto"/>
        </w:rPr>
      </w:pPr>
      <w:r>
        <w:rPr>
          <w:rFonts w:ascii="Arial" w:cs="Arial" w:eastAsia="Arial" w:hAnsi="Arial"/>
          <w:sz w:val="19"/>
          <w:szCs w:val="19"/>
          <w:u w:val="single" w:color="auto"/>
          <w:color w:val="auto"/>
        </w:rPr>
        <w:t>Vesting of Performance Units/Shares</w:t>
      </w:r>
      <w:r>
        <w:rPr>
          <w:rFonts w:ascii="Arial" w:cs="Arial" w:eastAsia="Arial" w:hAnsi="Arial"/>
          <w:sz w:val="19"/>
          <w:szCs w:val="19"/>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47" w:lineRule="exact"/>
        <w:rPr>
          <w:rFonts w:ascii="Arial" w:cs="Arial" w:eastAsia="Arial" w:hAnsi="Arial"/>
          <w:sz w:val="19"/>
          <w:szCs w:val="19"/>
          <w:color w:val="auto"/>
        </w:rPr>
      </w:pPr>
    </w:p>
    <w:p>
      <w:pPr>
        <w:jc w:val="both"/>
        <w:ind w:firstLine="1305"/>
        <w:spacing w:after="0" w:line="251" w:lineRule="auto"/>
        <w:tabs>
          <w:tab w:leader="none" w:pos="1757" w:val="left"/>
        </w:tabs>
        <w:numPr>
          <w:ilvl w:val="2"/>
          <w:numId w:val="71"/>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 of Performance Units/Shares</w:t>
      </w:r>
      <w:r>
        <w:rPr>
          <w:rFonts w:ascii="Arial" w:cs="Arial" w:eastAsia="Arial" w:hAnsi="Arial"/>
          <w:sz w:val="22"/>
          <w:szCs w:val="22"/>
          <w:color w:val="auto"/>
        </w:rPr>
        <w:t>. Payment of vested Performance Units/Shares will be made at such time as may be determined by the Administrator. The Administrator, in its sole discretion, may pay vested Performance Units/Shares in the form of cash, in Shares (which have an aggregate Fair Market Value equal to the value of the earned Performance Units/Shares at the close of the applicable Performance Period or such other time as may be determined by the Administrator) or in a combination thereof.</w:t>
      </w:r>
    </w:p>
    <w:p>
      <w:pPr>
        <w:spacing w:after="0" w:line="189" w:lineRule="exact"/>
        <w:rPr>
          <w:rFonts w:ascii="Arial" w:cs="Arial" w:eastAsia="Arial" w:hAnsi="Arial"/>
          <w:sz w:val="22"/>
          <w:szCs w:val="22"/>
          <w:color w:val="auto"/>
        </w:rPr>
      </w:pPr>
    </w:p>
    <w:p>
      <w:pPr>
        <w:ind w:firstLine="1305"/>
        <w:spacing w:after="0" w:line="301" w:lineRule="auto"/>
        <w:tabs>
          <w:tab w:leader="none" w:pos="1881" w:val="left"/>
        </w:tabs>
        <w:numPr>
          <w:ilvl w:val="2"/>
          <w:numId w:val="71"/>
        </w:numPr>
        <w:rPr>
          <w:rFonts w:ascii="Arial" w:cs="Arial" w:eastAsia="Arial" w:hAnsi="Arial"/>
          <w:sz w:val="21"/>
          <w:szCs w:val="21"/>
          <w:color w:val="auto"/>
        </w:rPr>
      </w:pPr>
      <w:r>
        <w:rPr>
          <w:rFonts w:ascii="Arial" w:cs="Arial" w:eastAsia="Arial" w:hAnsi="Arial"/>
          <w:sz w:val="21"/>
          <w:szCs w:val="21"/>
          <w:u w:val="single" w:color="auto"/>
          <w:color w:val="auto"/>
        </w:rPr>
        <w:t>Cancellation of Performance Units/Shares</w:t>
      </w:r>
      <w:r>
        <w:rPr>
          <w:rFonts w:ascii="Arial" w:cs="Arial" w:eastAsia="Arial" w:hAnsi="Arial"/>
          <w:sz w:val="21"/>
          <w:szCs w:val="21"/>
          <w:color w:val="auto"/>
        </w:rPr>
        <w:t>. On the date set forth in the Award Agreement, all unvested Performance Units/Shares will be forfeited to the Company, and again will be available for grant under the Plan.</w:t>
      </w:r>
    </w:p>
    <w:p>
      <w:pPr>
        <w:spacing w:after="0" w:line="137" w:lineRule="exact"/>
        <w:rPr>
          <w:rFonts w:ascii="Arial" w:cs="Arial" w:eastAsia="Arial" w:hAnsi="Arial"/>
          <w:sz w:val="21"/>
          <w:szCs w:val="21"/>
          <w:color w:val="auto"/>
        </w:rPr>
      </w:pPr>
    </w:p>
    <w:p>
      <w:pPr>
        <w:jc w:val="both"/>
        <w:ind w:left="80" w:firstLine="657"/>
        <w:spacing w:after="0" w:line="287" w:lineRule="auto"/>
        <w:tabs>
          <w:tab w:leader="none" w:pos="1382" w:val="left"/>
        </w:tabs>
        <w:numPr>
          <w:ilvl w:val="1"/>
          <w:numId w:val="72"/>
        </w:numPr>
        <w:rPr>
          <w:rFonts w:ascii="Arial" w:cs="Arial" w:eastAsia="Arial" w:hAnsi="Arial"/>
          <w:sz w:val="19"/>
          <w:szCs w:val="19"/>
          <w:b w:val="1"/>
          <w:bCs w:val="1"/>
          <w:color w:val="auto"/>
        </w:rPr>
      </w:pPr>
      <w:r>
        <w:rPr>
          <w:rFonts w:ascii="Arial" w:cs="Arial" w:eastAsia="Arial" w:hAnsi="Arial"/>
          <w:sz w:val="19"/>
          <w:szCs w:val="19"/>
          <w:u w:val="single" w:color="auto"/>
          <w:color w:val="auto"/>
        </w:rPr>
        <w:t>Leaves of Absence/Transfer Between Locations</w:t>
      </w:r>
      <w:r>
        <w:rPr>
          <w:rFonts w:ascii="Arial" w:cs="Arial" w:eastAsia="Arial" w:hAnsi="Arial"/>
          <w:sz w:val="19"/>
          <w:szCs w:val="19"/>
          <w:color w:val="auto"/>
        </w:rPr>
        <w:t>. Unless the Administrator provides otherwise or contrary to Applicable Laws, vesting of Awards granted hereunder will be suspended during any unpaid leave of absence. A Participant will not cease to be an Employee in the case of (i) any leave of absence approved by the Participant’s employer or (ii) transfers between locations of the Company or between the Company, its Parent, or any Subsidiary or Affiliate. For purposes of Incentive Stock Options, no such leave may exceed three (3) months, unless reemployment upon expiration of such leave is guaranteed by statute or contract. If reemployment upon expiration of a leave of absence approved by the Company is not so guaranteed, then six</w:t>
      </w:r>
    </w:p>
    <w:p>
      <w:pPr>
        <w:spacing w:after="0" w:line="3" w:lineRule="exact"/>
        <w:rPr>
          <w:rFonts w:ascii="Arial" w:cs="Arial" w:eastAsia="Arial" w:hAnsi="Arial"/>
          <w:sz w:val="19"/>
          <w:szCs w:val="19"/>
          <w:b w:val="1"/>
          <w:bCs w:val="1"/>
          <w:color w:val="auto"/>
        </w:rPr>
      </w:pPr>
    </w:p>
    <w:p>
      <w:pPr>
        <w:ind w:left="80" w:firstLine="9"/>
        <w:spacing w:after="0" w:line="214" w:lineRule="auto"/>
        <w:tabs>
          <w:tab w:leader="none" w:pos="389" w:val="left"/>
        </w:tabs>
        <w:numPr>
          <w:ilvl w:val="0"/>
          <w:numId w:val="73"/>
        </w:numPr>
        <w:rPr>
          <w:rFonts w:ascii="Arial" w:cs="Arial" w:eastAsia="Arial" w:hAnsi="Arial"/>
          <w:sz w:val="22"/>
          <w:szCs w:val="22"/>
          <w:color w:val="auto"/>
        </w:rPr>
      </w:pPr>
      <w:r>
        <w:rPr>
          <w:rFonts w:ascii="Arial" w:cs="Arial" w:eastAsia="Arial" w:hAnsi="Arial"/>
          <w:sz w:val="22"/>
          <w:szCs w:val="22"/>
          <w:color w:val="auto"/>
        </w:rPr>
        <w:t>months following the first (1</w:t>
      </w:r>
      <w:r>
        <w:rPr>
          <w:rFonts w:ascii="Arial" w:cs="Arial" w:eastAsia="Arial" w:hAnsi="Arial"/>
          <w:sz w:val="28"/>
          <w:szCs w:val="28"/>
          <w:color w:val="auto"/>
          <w:vertAlign w:val="superscript"/>
        </w:rPr>
        <w:t>st</w:t>
      </w:r>
      <w:r>
        <w:rPr>
          <w:rFonts w:ascii="Arial" w:cs="Arial" w:eastAsia="Arial" w:hAnsi="Arial"/>
          <w:sz w:val="22"/>
          <w:szCs w:val="22"/>
          <w:color w:val="auto"/>
        </w:rPr>
        <w:t>) day of such leave any Incentive Stock Option held by the Participant will cease to be treated as an Incentive Stock Option and will be treated for tax purposes as a Nonstatutory Stock Option.</w:t>
      </w:r>
    </w:p>
    <w:p>
      <w:pPr>
        <w:spacing w:after="0" w:line="198" w:lineRule="exact"/>
        <w:rPr>
          <w:rFonts w:ascii="Arial" w:cs="Arial" w:eastAsia="Arial" w:hAnsi="Arial"/>
          <w:sz w:val="22"/>
          <w:szCs w:val="22"/>
          <w:color w:val="auto"/>
        </w:rPr>
      </w:pPr>
    </w:p>
    <w:p>
      <w:pPr>
        <w:jc w:val="both"/>
        <w:ind w:left="80" w:firstLine="657"/>
        <w:spacing w:after="0" w:line="251" w:lineRule="auto"/>
        <w:tabs>
          <w:tab w:leader="none" w:pos="1246" w:val="left"/>
        </w:tabs>
        <w:numPr>
          <w:ilvl w:val="1"/>
          <w:numId w:val="73"/>
        </w:numPr>
        <w:rPr>
          <w:rFonts w:ascii="Arial" w:cs="Arial" w:eastAsia="Arial" w:hAnsi="Arial"/>
          <w:sz w:val="22"/>
          <w:szCs w:val="22"/>
          <w:b w:val="1"/>
          <w:bCs w:val="1"/>
          <w:color w:val="auto"/>
        </w:rPr>
      </w:pPr>
      <w:r>
        <w:rPr>
          <w:rFonts w:ascii="Arial" w:cs="Arial" w:eastAsia="Arial" w:hAnsi="Arial"/>
          <w:sz w:val="22"/>
          <w:szCs w:val="22"/>
          <w:u w:val="single" w:color="auto"/>
          <w:color w:val="auto"/>
        </w:rPr>
        <w:t>Transferability of Awards</w:t>
      </w:r>
      <w:r>
        <w:rPr>
          <w:rFonts w:ascii="Arial" w:cs="Arial" w:eastAsia="Arial" w:hAnsi="Arial"/>
          <w:sz w:val="22"/>
          <w:szCs w:val="22"/>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shall not be transferable to a third-party for consideration and the Award Agreement will contain such additional terms and conditions as the Administrator deems appropriate.</w:t>
      </w:r>
    </w:p>
    <w:p>
      <w:pPr>
        <w:spacing w:after="0" w:line="189" w:lineRule="exact"/>
        <w:rPr>
          <w:rFonts w:ascii="Arial" w:cs="Arial" w:eastAsia="Arial" w:hAnsi="Arial"/>
          <w:sz w:val="22"/>
          <w:szCs w:val="22"/>
          <w:b w:val="1"/>
          <w:bCs w:val="1"/>
          <w:color w:val="auto"/>
        </w:rPr>
      </w:pPr>
    </w:p>
    <w:p>
      <w:pPr>
        <w:ind w:left="1180" w:hanging="443"/>
        <w:spacing w:after="0"/>
        <w:tabs>
          <w:tab w:leader="none" w:pos="1180" w:val="left"/>
        </w:tabs>
        <w:numPr>
          <w:ilvl w:val="1"/>
          <w:numId w:val="73"/>
        </w:numPr>
        <w:rPr>
          <w:rFonts w:ascii="Arial" w:cs="Arial" w:eastAsia="Arial" w:hAnsi="Arial"/>
          <w:sz w:val="22"/>
          <w:szCs w:val="22"/>
          <w:b w:val="1"/>
          <w:bCs w:val="1"/>
          <w:color w:val="auto"/>
        </w:rPr>
      </w:pPr>
      <w:r>
        <w:rPr>
          <w:rFonts w:ascii="Arial" w:cs="Arial" w:eastAsia="Arial" w:hAnsi="Arial"/>
          <w:sz w:val="22"/>
          <w:szCs w:val="22"/>
          <w:u w:val="single" w:color="auto"/>
          <w:color w:val="auto"/>
        </w:rPr>
        <w:t>Adjustments; Dissolution or Liquidation; Merger or Change in Control</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firstLine="1305"/>
        <w:spacing w:after="0" w:line="276" w:lineRule="auto"/>
        <w:tabs>
          <w:tab w:leader="none" w:pos="1784" w:val="left"/>
        </w:tabs>
        <w:numPr>
          <w:ilvl w:val="2"/>
          <w:numId w:val="73"/>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that any dividend or other distribution (whether in the form of cash, Shares, other securities, or other property), recapitalization, stock split, reverse stock</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1" w:right="239" w:bottom="1440" w:gutter="0" w:footer="0" w:header="0"/>
        </w:sectPr>
      </w:pPr>
    </w:p>
    <w:bookmarkStart w:id="87" w:name="page88"/>
    <w:bookmarkEnd w:id="87"/>
    <w:p>
      <w:pPr>
        <w:jc w:val="both"/>
        <w:spacing w:after="0" w:line="297" w:lineRule="auto"/>
        <w:rPr>
          <w:sz w:val="20"/>
          <w:szCs w:val="20"/>
          <w:color w:val="auto"/>
        </w:rPr>
      </w:pPr>
      <w:r>
        <w:rPr>
          <w:rFonts w:ascii="Arial" w:cs="Arial" w:eastAsia="Arial" w:hAnsi="Arial"/>
          <w:sz w:val="19"/>
          <w:szCs w:val="19"/>
          <w:color w:val="auto"/>
        </w:rPr>
        <w:t>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and type or kind of securities that may be delivered under the Plan and/or the number, class, and type or kind and price of securities covered by each outstanding Award and the ISO maximum limit in Section 3 of the Plan.</w:t>
      </w:r>
    </w:p>
    <w:p>
      <w:pPr>
        <w:spacing w:after="0" w:line="147" w:lineRule="exact"/>
        <w:rPr>
          <w:sz w:val="20"/>
          <w:szCs w:val="20"/>
          <w:color w:val="auto"/>
        </w:rPr>
      </w:pPr>
    </w:p>
    <w:p>
      <w:pPr>
        <w:jc w:val="both"/>
        <w:ind w:firstLine="1305"/>
        <w:spacing w:after="0" w:line="254" w:lineRule="auto"/>
        <w:tabs>
          <w:tab w:leader="none" w:pos="1891"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716"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In the event of a merger or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8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57"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6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Notwithstanding anything in this Section 13(c) to the contrary, an Award that vests, is earned or paid-out upon the satisfaction of one or more performance goals will not be considered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591" w:right="239" w:bottom="1440" w:gutter="0" w:footer="0" w:header="0"/>
        </w:sectPr>
      </w:pPr>
    </w:p>
    <w:bookmarkStart w:id="88" w:name="page89"/>
    <w:bookmarkEnd w:id="88"/>
    <w:p>
      <w:pPr>
        <w:jc w:val="both"/>
        <w:spacing w:after="0" w:line="253" w:lineRule="auto"/>
        <w:rPr>
          <w:sz w:val="20"/>
          <w:szCs w:val="20"/>
          <w:color w:val="auto"/>
        </w:rPr>
      </w:pPr>
      <w:r>
        <w:rPr>
          <w:rFonts w:ascii="Arial" w:cs="Arial" w:eastAsia="Arial" w:hAnsi="Arial"/>
          <w:sz w:val="22"/>
          <w:szCs w:val="22"/>
          <w:color w:val="auto"/>
        </w:rPr>
        <w:t>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6" w:lineRule="exact"/>
        <w:rPr>
          <w:sz w:val="20"/>
          <w:szCs w:val="20"/>
          <w:color w:val="auto"/>
        </w:rPr>
      </w:pPr>
    </w:p>
    <w:p>
      <w:pPr>
        <w:jc w:val="both"/>
        <w:ind w:firstLine="1305"/>
        <w:spacing w:after="0" w:line="297" w:lineRule="auto"/>
        <w:tabs>
          <w:tab w:leader="none" w:pos="1728"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Outside Director Awards</w:t>
      </w:r>
      <w:r>
        <w:rPr>
          <w:rFonts w:ascii="Arial" w:cs="Arial" w:eastAsia="Arial" w:hAnsi="Arial"/>
          <w:sz w:val="19"/>
          <w:szCs w:val="19"/>
          <w:color w:val="auto"/>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w:t>
      </w:r>
    </w:p>
    <w:p>
      <w:pPr>
        <w:spacing w:after="0" w:line="146" w:lineRule="exact"/>
        <w:rPr>
          <w:rFonts w:ascii="Arial" w:cs="Arial" w:eastAsia="Arial" w:hAnsi="Arial"/>
          <w:sz w:val="19"/>
          <w:szCs w:val="19"/>
          <w:color w:val="auto"/>
        </w:rPr>
      </w:pPr>
    </w:p>
    <w:p>
      <w:pPr>
        <w:ind w:left="1180" w:hanging="443"/>
        <w:spacing w:after="0"/>
        <w:tabs>
          <w:tab w:leader="none" w:pos="1180" w:val="left"/>
        </w:tabs>
        <w:numPr>
          <w:ilvl w:val="0"/>
          <w:numId w:val="76"/>
        </w:numPr>
        <w:rPr>
          <w:rFonts w:ascii="Arial" w:cs="Arial" w:eastAsia="Arial" w:hAnsi="Arial"/>
          <w:sz w:val="22"/>
          <w:szCs w:val="22"/>
          <w:b w:val="1"/>
          <w:bCs w:val="1"/>
          <w:color w:val="auto"/>
        </w:rPr>
      </w:pPr>
      <w:r>
        <w:rPr>
          <w:rFonts w:ascii="Arial" w:cs="Arial" w:eastAsia="Arial" w:hAnsi="Arial"/>
          <w:sz w:val="22"/>
          <w:szCs w:val="22"/>
          <w:u w:val="single" w:color="auto"/>
          <w:color w:val="auto"/>
        </w:rPr>
        <w:t>Tax</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5"/>
        <w:spacing w:after="0" w:line="320" w:lineRule="auto"/>
        <w:tabs>
          <w:tab w:leader="none" w:pos="1838"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Withholding Requirements</w:t>
      </w:r>
      <w:r>
        <w:rPr>
          <w:rFonts w:ascii="Arial" w:cs="Arial" w:eastAsia="Arial" w:hAnsi="Arial"/>
          <w:sz w:val="19"/>
          <w:szCs w:val="19"/>
          <w:color w:val="auto"/>
        </w:rPr>
        <w:t>. Prior to the delivery of any Shares or cash pursuant to an Award (or exercise thereof), the Company will have the power and the right to deduct or withhold, or require a Participant to remit to the Company, an amount sufficient to satisfy the Tax-Related Items that are required to be withheld with respect to such Award (or exercise thereof).</w:t>
      </w:r>
    </w:p>
    <w:p>
      <w:pPr>
        <w:spacing w:after="0" w:line="125" w:lineRule="exact"/>
        <w:rPr>
          <w:rFonts w:ascii="Arial" w:cs="Arial" w:eastAsia="Arial" w:hAnsi="Arial"/>
          <w:sz w:val="19"/>
          <w:szCs w:val="19"/>
          <w:color w:val="auto"/>
        </w:rPr>
      </w:pPr>
    </w:p>
    <w:p>
      <w:pPr>
        <w:ind w:right="100" w:firstLine="1305"/>
        <w:spacing w:after="0" w:line="260" w:lineRule="auto"/>
        <w:tabs>
          <w:tab w:leader="none" w:pos="1728" w:val="left"/>
        </w:tabs>
        <w:numPr>
          <w:ilvl w:val="1"/>
          <w:numId w:val="76"/>
        </w:numPr>
        <w:rPr>
          <w:rFonts w:ascii="Arial" w:cs="Arial" w:eastAsia="Arial" w:hAnsi="Arial"/>
          <w:sz w:val="21"/>
          <w:szCs w:val="21"/>
          <w:color w:val="auto"/>
        </w:rPr>
      </w:pPr>
      <w:r>
        <w:rPr>
          <w:rFonts w:ascii="Arial" w:cs="Arial" w:eastAsia="Arial" w:hAnsi="Arial"/>
          <w:sz w:val="21"/>
          <w:szCs w:val="21"/>
          <w:u w:val="single" w:color="auto"/>
          <w:color w:val="auto"/>
        </w:rPr>
        <w:t>Withholding Arrangements</w:t>
      </w:r>
      <w:r>
        <w:rPr>
          <w:rFonts w:ascii="Arial" w:cs="Arial" w:eastAsia="Arial" w:hAnsi="Arial"/>
          <w:sz w:val="21"/>
          <w:szCs w:val="21"/>
          <w:color w:val="auto"/>
        </w:rPr>
        <w:t>. The Administrator, in its sole discretion and pursuant to such procedures as it may specify from time to time, may permit or require a Participant to satisfy the Participant’s Tax-Related Items, in whole or in part by (without limitation) (a) paying cash, (b) withholding from the Participant’s wages or other cash compensation payable to the Participant by the Company or an Affiliate, (c) withholding from the proceeds of the sale of Shares acquired pursuant to an Award, either through a voluntary sale or a mandatory sale arranged by the Company on the Participant’s behalf, without need of further authorization, or (c) in the Committee’s sole discretion, by withholding Shares otherwise issuable under an Award (or allowing the return of Shares) sufficient, as determined by the Committee in its sole discretion, to satisfy such Tax-Related Items. The Fair Market Value of the Shares to be withheld or delivered will be determined as of the date that the withholding for the Tax-Related Items is determined.</w:t>
      </w:r>
    </w:p>
    <w:p>
      <w:pPr>
        <w:spacing w:after="0" w:line="184" w:lineRule="exact"/>
        <w:rPr>
          <w:rFonts w:ascii="Arial" w:cs="Arial" w:eastAsia="Arial" w:hAnsi="Arial"/>
          <w:sz w:val="21"/>
          <w:szCs w:val="21"/>
          <w:color w:val="auto"/>
        </w:rPr>
      </w:pPr>
    </w:p>
    <w:p>
      <w:pPr>
        <w:ind w:firstLine="1305"/>
        <w:spacing w:after="0" w:line="290" w:lineRule="auto"/>
        <w:tabs>
          <w:tab w:leader="none" w:pos="1716"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Compliance With Code Section 409A</w:t>
      </w:r>
      <w:r>
        <w:rPr>
          <w:rFonts w:ascii="Arial" w:cs="Arial" w:eastAsia="Arial" w:hAnsi="Arial"/>
          <w:sz w:val="19"/>
          <w:szCs w:val="19"/>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To the extent applicable, the Plan and Award Agreements shall be interpreted in accordance with Section 409A of the Code and U.S. Department of Treasury regulations and other interpretive guidance issued thereunder, including without limitation any such regulations or other guidance. Notwithstanding any provision of the Plan to the contrary, in the event that following the date an Award is granted by the Administrator determines that the Award may be subject to Section 409A of the Code and related U.S. Department of Treasury guidance (including such guidance as may be issued after the date the amendment and restatement of the Plan becomes effective), the Administrator may adopt such amendments to the Plan and the applicable Award Agreement or adopt other policies and procedures (including amendments, policies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91" w:right="239" w:bottom="1440" w:gutter="0" w:footer="0" w:header="0"/>
        </w:sectPr>
      </w:pPr>
    </w:p>
    <w:bookmarkStart w:id="89" w:name="page90"/>
    <w:bookmarkEnd w:id="89"/>
    <w:p>
      <w:pPr>
        <w:ind w:right="140"/>
        <w:spacing w:after="0" w:line="246" w:lineRule="auto"/>
        <w:rPr>
          <w:sz w:val="20"/>
          <w:szCs w:val="20"/>
          <w:color w:val="auto"/>
        </w:rPr>
      </w:pPr>
      <w:r>
        <w:rPr>
          <w:rFonts w:ascii="Arial" w:cs="Arial" w:eastAsia="Arial" w:hAnsi="Arial"/>
          <w:sz w:val="22"/>
          <w:szCs w:val="22"/>
          <w:color w:val="auto"/>
        </w:rPr>
        <w:t>procedures with retroactive effect), or take any other actions, including amendments or actions that would result in a reduction to the benefits payable under an Award, in each case, without the consent of the Participant, that the Administrator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w:t>
      </w:r>
    </w:p>
    <w:p>
      <w:pPr>
        <w:spacing w:after="0" w:line="197" w:lineRule="exact"/>
        <w:rPr>
          <w:sz w:val="20"/>
          <w:szCs w:val="20"/>
          <w:color w:val="auto"/>
        </w:rPr>
      </w:pPr>
    </w:p>
    <w:p>
      <w:pPr>
        <w:jc w:val="both"/>
        <w:ind w:left="80" w:firstLine="657"/>
        <w:spacing w:after="0" w:line="307" w:lineRule="auto"/>
        <w:tabs>
          <w:tab w:leader="none" w:pos="1219" w:val="left"/>
        </w:tabs>
        <w:numPr>
          <w:ilvl w:val="0"/>
          <w:numId w:val="77"/>
        </w:numPr>
        <w:rPr>
          <w:rFonts w:ascii="Arial" w:cs="Arial" w:eastAsia="Arial" w:hAnsi="Arial"/>
          <w:sz w:val="19"/>
          <w:szCs w:val="19"/>
          <w:b w:val="1"/>
          <w:bCs w:val="1"/>
          <w:color w:val="auto"/>
        </w:rPr>
      </w:pPr>
      <w:r>
        <w:rPr>
          <w:rFonts w:ascii="Arial" w:cs="Arial" w:eastAsia="Arial" w:hAnsi="Arial"/>
          <w:sz w:val="19"/>
          <w:szCs w:val="19"/>
          <w:u w:val="single" w:color="auto"/>
          <w:color w:val="auto"/>
        </w:rPr>
        <w:t>No Effect on Employment or Service</w:t>
      </w:r>
      <w:r>
        <w:rPr>
          <w:rFonts w:ascii="Arial" w:cs="Arial" w:eastAsia="Arial" w:hAnsi="Arial"/>
          <w:sz w:val="19"/>
          <w:szCs w:val="19"/>
          <w:color w:val="auto"/>
        </w:rPr>
        <w:t>. Neither the Plan nor any Award will confer upon a Participant any right with respect to continuing the Participant’s relationship as a Service Provider with the Participant’s employer or contracting company, nor will they interfere in any way with the Participant’s right or the Participant’s employer or contracting company’s right to terminate such relationship at any time, with or without cause, to the extent permitted by Applicable Laws.</w:t>
      </w:r>
    </w:p>
    <w:p>
      <w:pPr>
        <w:spacing w:after="0" w:line="138" w:lineRule="exact"/>
        <w:rPr>
          <w:rFonts w:ascii="Arial" w:cs="Arial" w:eastAsia="Arial" w:hAnsi="Arial"/>
          <w:sz w:val="19"/>
          <w:szCs w:val="19"/>
          <w:b w:val="1"/>
          <w:bCs w:val="1"/>
          <w:color w:val="auto"/>
        </w:rPr>
      </w:pPr>
    </w:p>
    <w:p>
      <w:pPr>
        <w:jc w:val="both"/>
        <w:ind w:left="80" w:firstLine="657"/>
        <w:spacing w:after="0" w:line="260" w:lineRule="auto"/>
        <w:tabs>
          <w:tab w:leader="none" w:pos="1192" w:val="left"/>
        </w:tabs>
        <w:numPr>
          <w:ilvl w:val="0"/>
          <w:numId w:val="77"/>
        </w:numPr>
        <w:rPr>
          <w:rFonts w:ascii="Arial" w:cs="Arial" w:eastAsia="Arial" w:hAnsi="Arial"/>
          <w:sz w:val="22"/>
          <w:szCs w:val="22"/>
          <w:b w:val="1"/>
          <w:bCs w:val="1"/>
          <w:color w:val="auto"/>
        </w:rPr>
      </w:pPr>
      <w:r>
        <w:rPr>
          <w:rFonts w:ascii="Arial" w:cs="Arial" w:eastAsia="Arial" w:hAnsi="Arial"/>
          <w:sz w:val="22"/>
          <w:szCs w:val="22"/>
          <w:u w:val="single" w:color="auto"/>
          <w:color w:val="auto"/>
        </w:rPr>
        <w:t>Date of Grant</w:t>
      </w:r>
      <w:r>
        <w:rPr>
          <w:rFonts w:ascii="Arial" w:cs="Arial" w:eastAsia="Arial" w:hAnsi="Arial"/>
          <w:sz w:val="22"/>
          <w:szCs w:val="22"/>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7" w:lineRule="exact"/>
        <w:rPr>
          <w:rFonts w:ascii="Arial" w:cs="Arial" w:eastAsia="Arial" w:hAnsi="Arial"/>
          <w:sz w:val="22"/>
          <w:szCs w:val="22"/>
          <w:b w:val="1"/>
          <w:bCs w:val="1"/>
          <w:color w:val="auto"/>
        </w:rPr>
      </w:pPr>
    </w:p>
    <w:p>
      <w:pPr>
        <w:jc w:val="both"/>
        <w:ind w:left="80" w:firstLine="657"/>
        <w:spacing w:after="0" w:line="260" w:lineRule="auto"/>
        <w:tabs>
          <w:tab w:leader="none" w:pos="1192" w:val="left"/>
        </w:tabs>
        <w:numPr>
          <w:ilvl w:val="0"/>
          <w:numId w:val="77"/>
        </w:numPr>
        <w:rPr>
          <w:rFonts w:ascii="Arial" w:cs="Arial" w:eastAsia="Arial" w:hAnsi="Arial"/>
          <w:sz w:val="22"/>
          <w:szCs w:val="22"/>
          <w:b w:val="1"/>
          <w:bCs w:val="1"/>
          <w:color w:val="auto"/>
        </w:rPr>
      </w:pPr>
      <w:r>
        <w:rPr>
          <w:rFonts w:ascii="Arial" w:cs="Arial" w:eastAsia="Arial" w:hAnsi="Arial"/>
          <w:sz w:val="22"/>
          <w:szCs w:val="22"/>
          <w:u w:val="single" w:color="auto"/>
          <w:color w:val="auto"/>
        </w:rPr>
        <w:t>Term of Plan</w:t>
      </w:r>
      <w:r>
        <w:rPr>
          <w:rFonts w:ascii="Arial" w:cs="Arial" w:eastAsia="Arial" w:hAnsi="Arial"/>
          <w:sz w:val="22"/>
          <w:szCs w:val="22"/>
          <w:color w:val="auto"/>
        </w:rPr>
        <w:t>. Subject to Section 21 of the Plan, the Plan will become effective upon its approval by the stockholders of the Company. It will continue in effect for a term of ten (10) years from the date adopted by the Board, unless terminated earlier under Section 18 of the Plan.</w:t>
      </w:r>
    </w:p>
    <w:p>
      <w:pPr>
        <w:spacing w:after="0" w:line="177" w:lineRule="exact"/>
        <w:rPr>
          <w:rFonts w:ascii="Arial" w:cs="Arial" w:eastAsia="Arial" w:hAnsi="Arial"/>
          <w:sz w:val="22"/>
          <w:szCs w:val="22"/>
          <w:b w:val="1"/>
          <w:bCs w:val="1"/>
          <w:color w:val="auto"/>
        </w:rPr>
      </w:pPr>
    </w:p>
    <w:p>
      <w:pPr>
        <w:ind w:left="1180" w:hanging="443"/>
        <w:spacing w:after="0"/>
        <w:tabs>
          <w:tab w:leader="none" w:pos="1180" w:val="left"/>
        </w:tabs>
        <w:numPr>
          <w:ilvl w:val="0"/>
          <w:numId w:val="77"/>
        </w:numPr>
        <w:rPr>
          <w:rFonts w:ascii="Arial" w:cs="Arial" w:eastAsia="Arial" w:hAnsi="Arial"/>
          <w:sz w:val="22"/>
          <w:szCs w:val="22"/>
          <w:b w:val="1"/>
          <w:bCs w:val="1"/>
          <w:color w:val="auto"/>
        </w:rPr>
      </w:pPr>
      <w:r>
        <w:rPr>
          <w:rFonts w:ascii="Arial" w:cs="Arial" w:eastAsia="Arial" w:hAnsi="Arial"/>
          <w:sz w:val="22"/>
          <w:szCs w:val="22"/>
          <w:u w:val="single" w:color="auto"/>
          <w:color w:val="auto"/>
        </w:rPr>
        <w:t>Amendment and Termination of the Plan</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ind w:left="1720" w:hanging="415"/>
        <w:spacing w:after="0"/>
        <w:tabs>
          <w:tab w:leader="none" w:pos="1720"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The Board may at any time amend, alter, suspend or terminate the Plan.</w:t>
      </w:r>
    </w:p>
    <w:p>
      <w:pPr>
        <w:spacing w:after="0" w:line="244" w:lineRule="exact"/>
        <w:rPr>
          <w:rFonts w:ascii="Arial" w:cs="Arial" w:eastAsia="Arial" w:hAnsi="Arial"/>
          <w:sz w:val="21"/>
          <w:szCs w:val="21"/>
          <w:color w:val="auto"/>
        </w:rPr>
      </w:pPr>
    </w:p>
    <w:p>
      <w:pPr>
        <w:ind w:firstLine="1305"/>
        <w:spacing w:after="0" w:line="276" w:lineRule="auto"/>
        <w:tabs>
          <w:tab w:leader="none" w:pos="1796"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Company will obtain stockholder approval of any Plan amendment to the extent necessary and desirable to comply with Applicable Laws.</w:t>
      </w:r>
    </w:p>
    <w:p>
      <w:pPr>
        <w:spacing w:after="0" w:line="160" w:lineRule="exact"/>
        <w:rPr>
          <w:rFonts w:ascii="Arial" w:cs="Arial" w:eastAsia="Arial" w:hAnsi="Arial"/>
          <w:sz w:val="22"/>
          <w:szCs w:val="22"/>
          <w:color w:val="auto"/>
        </w:rPr>
      </w:pPr>
    </w:p>
    <w:p>
      <w:pPr>
        <w:jc w:val="both"/>
        <w:ind w:firstLine="1305"/>
        <w:spacing w:after="0" w:line="251" w:lineRule="auto"/>
        <w:tabs>
          <w:tab w:leader="none" w:pos="1797"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Effect of Amendment or Termination</w:t>
      </w:r>
      <w:r>
        <w:rPr>
          <w:rFonts w:ascii="Arial" w:cs="Arial" w:eastAsia="Arial" w:hAnsi="Arial"/>
          <w:sz w:val="22"/>
          <w:szCs w:val="22"/>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9" w:lineRule="exact"/>
        <w:rPr>
          <w:rFonts w:ascii="Arial" w:cs="Arial" w:eastAsia="Arial" w:hAnsi="Arial"/>
          <w:sz w:val="22"/>
          <w:szCs w:val="22"/>
          <w:color w:val="auto"/>
        </w:rPr>
      </w:pPr>
    </w:p>
    <w:p>
      <w:pPr>
        <w:jc w:val="both"/>
        <w:ind w:firstLine="1305"/>
        <w:spacing w:after="0" w:line="300" w:lineRule="auto"/>
        <w:tabs>
          <w:tab w:leader="none" w:pos="1756"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No Repricing Without Shareholder Approval</w:t>
      </w:r>
      <w:r>
        <w:rPr>
          <w:rFonts w:ascii="Arial" w:cs="Arial" w:eastAsia="Arial" w:hAnsi="Arial"/>
          <w:sz w:val="19"/>
          <w:szCs w:val="19"/>
          <w:color w:val="auto"/>
        </w:rPr>
        <w:t>. No Award may be amended or modified to permit the reduction of the exercise price of an Option or Stock Appreciation Right, after it has been granted, to below the per Share Fair Market Value as of the date the Option or Stock Appreciation Right was granted (except for adjustments made pursuant to Section 13 of the Plan), unless approved by the Company’s stockholders. Neither may the Administrator, without the approval of the Company’s stockholders and except as provided in Section 13 of the Plan, cancel any outstanding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91" w:right="239" w:bottom="1440" w:gutter="0" w:footer="0" w:header="0"/>
        </w:sectPr>
      </w:pPr>
    </w:p>
    <w:bookmarkStart w:id="90" w:name="page91"/>
    <w:bookmarkEnd w:id="90"/>
    <w:p>
      <w:pPr>
        <w:jc w:val="both"/>
        <w:spacing w:after="0" w:line="263" w:lineRule="auto"/>
        <w:rPr>
          <w:sz w:val="20"/>
          <w:szCs w:val="20"/>
          <w:color w:val="auto"/>
        </w:rPr>
      </w:pPr>
      <w:r>
        <w:rPr>
          <w:rFonts w:ascii="Arial" w:cs="Arial" w:eastAsia="Arial" w:hAnsi="Arial"/>
          <w:sz w:val="21"/>
          <w:szCs w:val="21"/>
          <w:color w:val="auto"/>
        </w:rPr>
        <w:t>Option or Stock Appreciation Right at any time when the then-current Fair Market Value of a Share is less than the Fair Market Value of a Share on the date that the outstanding Option or Stock Appreciation Right was granted, and replace it with (A) a new Option or Stock Appreciation Right with a lower exercise price, where the economic effect would be the same as reducing the exercise price of the cancelled Option or Stock Appreciation Right below the per Share Fair Market Value as of the date the Option or Stock Appreciation Right was granted, (B) cash or (C) any other Award.</w:t>
      </w:r>
    </w:p>
    <w:p>
      <w:pPr>
        <w:spacing w:after="0" w:line="176" w:lineRule="exact"/>
        <w:rPr>
          <w:sz w:val="20"/>
          <w:szCs w:val="20"/>
          <w:color w:val="auto"/>
        </w:rPr>
      </w:pPr>
    </w:p>
    <w:p>
      <w:pPr>
        <w:ind w:left="1180" w:hanging="443"/>
        <w:spacing w:after="0"/>
        <w:tabs>
          <w:tab w:leader="none" w:pos="1180" w:val="left"/>
        </w:tabs>
        <w:numPr>
          <w:ilvl w:val="0"/>
          <w:numId w:val="78"/>
        </w:numPr>
        <w:rPr>
          <w:rFonts w:ascii="Arial" w:cs="Arial" w:eastAsia="Arial" w:hAnsi="Arial"/>
          <w:sz w:val="22"/>
          <w:szCs w:val="22"/>
          <w:b w:val="1"/>
          <w:bCs w:val="1"/>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33" w:lineRule="exact"/>
        <w:rPr>
          <w:rFonts w:ascii="Arial" w:cs="Arial" w:eastAsia="Arial" w:hAnsi="Arial"/>
          <w:sz w:val="22"/>
          <w:szCs w:val="22"/>
          <w:b w:val="1"/>
          <w:bCs w:val="1"/>
          <w:color w:val="auto"/>
        </w:rPr>
      </w:pPr>
    </w:p>
    <w:p>
      <w:pPr>
        <w:jc w:val="both"/>
        <w:ind w:firstLine="1305"/>
        <w:spacing w:after="0" w:line="260" w:lineRule="auto"/>
        <w:tabs>
          <w:tab w:leader="none" w:pos="1757"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Legal Compliance</w:t>
      </w:r>
      <w:r>
        <w:rPr>
          <w:rFonts w:ascii="Arial" w:cs="Arial" w:eastAsia="Arial" w:hAnsi="Arial"/>
          <w:sz w:val="22"/>
          <w:szCs w:val="22"/>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7" w:lineRule="exact"/>
        <w:rPr>
          <w:rFonts w:ascii="Arial" w:cs="Arial" w:eastAsia="Arial" w:hAnsi="Arial"/>
          <w:sz w:val="22"/>
          <w:szCs w:val="22"/>
          <w:color w:val="auto"/>
        </w:rPr>
      </w:pPr>
    </w:p>
    <w:p>
      <w:pPr>
        <w:jc w:val="both"/>
        <w:ind w:firstLine="1305"/>
        <w:spacing w:after="0" w:line="254" w:lineRule="auto"/>
        <w:tabs>
          <w:tab w:leader="none" w:pos="1756" w:val="left"/>
        </w:tabs>
        <w:numPr>
          <w:ilvl w:val="1"/>
          <w:numId w:val="78"/>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85" w:lineRule="exact"/>
        <w:rPr>
          <w:rFonts w:ascii="Arial" w:cs="Arial" w:eastAsia="Arial" w:hAnsi="Arial"/>
          <w:sz w:val="22"/>
          <w:szCs w:val="22"/>
          <w:color w:val="auto"/>
        </w:rPr>
      </w:pPr>
    </w:p>
    <w:p>
      <w:pPr>
        <w:jc w:val="both"/>
        <w:ind w:left="80" w:firstLine="657"/>
        <w:spacing w:after="0" w:line="254" w:lineRule="auto"/>
        <w:tabs>
          <w:tab w:leader="none" w:pos="1273" w:val="left"/>
        </w:tabs>
        <w:numPr>
          <w:ilvl w:val="0"/>
          <w:numId w:val="78"/>
        </w:numPr>
        <w:rPr>
          <w:rFonts w:ascii="Arial" w:cs="Arial" w:eastAsia="Arial" w:hAnsi="Arial"/>
          <w:sz w:val="22"/>
          <w:szCs w:val="22"/>
          <w:b w:val="1"/>
          <w:bCs w:val="1"/>
          <w:color w:val="auto"/>
        </w:rPr>
      </w:pPr>
      <w:r>
        <w:rPr>
          <w:rFonts w:ascii="Arial" w:cs="Arial" w:eastAsia="Arial" w:hAnsi="Arial"/>
          <w:sz w:val="22"/>
          <w:szCs w:val="22"/>
          <w:u w:val="single" w:color="auto"/>
          <w:color w:val="auto"/>
        </w:rPr>
        <w:t>Inability to Obtain Authority</w:t>
      </w:r>
      <w:r>
        <w:rPr>
          <w:rFonts w:ascii="Arial" w:cs="Arial" w:eastAsia="Arial" w:hAnsi="Arial"/>
          <w:sz w:val="22"/>
          <w:szCs w:val="22"/>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85" w:lineRule="exact"/>
        <w:rPr>
          <w:rFonts w:ascii="Arial" w:cs="Arial" w:eastAsia="Arial" w:hAnsi="Arial"/>
          <w:sz w:val="22"/>
          <w:szCs w:val="22"/>
          <w:b w:val="1"/>
          <w:bCs w:val="1"/>
          <w:color w:val="auto"/>
        </w:rPr>
      </w:pPr>
    </w:p>
    <w:p>
      <w:pPr>
        <w:jc w:val="both"/>
        <w:ind w:left="80" w:firstLine="657"/>
        <w:spacing w:after="0" w:line="260" w:lineRule="auto"/>
        <w:tabs>
          <w:tab w:leader="none" w:pos="1219" w:val="left"/>
        </w:tabs>
        <w:numPr>
          <w:ilvl w:val="0"/>
          <w:numId w:val="78"/>
        </w:numPr>
        <w:rPr>
          <w:rFonts w:ascii="Arial" w:cs="Arial" w:eastAsia="Arial" w:hAnsi="Arial"/>
          <w:sz w:val="22"/>
          <w:szCs w:val="22"/>
          <w:b w:val="1"/>
          <w:bCs w:val="1"/>
          <w:color w:val="auto"/>
        </w:rPr>
      </w:pPr>
      <w:r>
        <w:rPr>
          <w:rFonts w:ascii="Arial" w:cs="Arial" w:eastAsia="Arial" w:hAnsi="Arial"/>
          <w:sz w:val="22"/>
          <w:szCs w:val="22"/>
          <w:u w:val="single" w:color="auto"/>
          <w:color w:val="auto"/>
        </w:rPr>
        <w:t>Stockholder Approval</w:t>
      </w:r>
      <w:r>
        <w:rPr>
          <w:rFonts w:ascii="Arial" w:cs="Arial" w:eastAsia="Arial" w:hAnsi="Arial"/>
          <w:sz w:val="22"/>
          <w:szCs w:val="22"/>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77" w:lineRule="exact"/>
        <w:rPr>
          <w:rFonts w:ascii="Arial" w:cs="Arial" w:eastAsia="Arial" w:hAnsi="Arial"/>
          <w:sz w:val="22"/>
          <w:szCs w:val="22"/>
          <w:b w:val="1"/>
          <w:bCs w:val="1"/>
          <w:color w:val="auto"/>
        </w:rPr>
      </w:pPr>
    </w:p>
    <w:p>
      <w:pPr>
        <w:jc w:val="both"/>
        <w:ind w:left="80" w:firstLine="657"/>
        <w:spacing w:after="0" w:line="266" w:lineRule="auto"/>
        <w:tabs>
          <w:tab w:leader="none" w:pos="1178" w:val="left"/>
        </w:tabs>
        <w:numPr>
          <w:ilvl w:val="0"/>
          <w:numId w:val="78"/>
        </w:numPr>
        <w:rPr>
          <w:rFonts w:ascii="Arial" w:cs="Arial" w:eastAsia="Arial" w:hAnsi="Arial"/>
          <w:sz w:val="21"/>
          <w:szCs w:val="21"/>
          <w:b w:val="1"/>
          <w:bCs w:val="1"/>
          <w:color w:val="auto"/>
        </w:rPr>
      </w:pPr>
      <w:r>
        <w:rPr>
          <w:rFonts w:ascii="Arial" w:cs="Arial" w:eastAsia="Arial" w:hAnsi="Arial"/>
          <w:sz w:val="21"/>
          <w:szCs w:val="21"/>
          <w:u w:val="single" w:color="auto"/>
          <w:color w:val="auto"/>
        </w:rPr>
        <w:t>Governing Law/Severability</w:t>
      </w:r>
      <w:r>
        <w:rPr>
          <w:rFonts w:ascii="Arial" w:cs="Arial" w:eastAsia="Arial" w:hAnsi="Arial"/>
          <w:sz w:val="21"/>
          <w:szCs w:val="21"/>
          <w:color w:val="auto"/>
        </w:rPr>
        <w:t>. The Plan and all determinations made and actions taken thereunder shall be governed by the internal substantive laws, and not the choice of law rules, of the State of California, United States and construed accordingly, to the extent not superseded by applicable U.S. federal law. If any provision of the Plan shall be held unlawful or otherwise invalid or unenforceable in whole or in part, the unlawfulness, invalidity or unenforceability shall not affect any other provision of the Plan or part thereof, each of which shall remain in full force and effect.</w:t>
      </w:r>
    </w:p>
    <w:p>
      <w:pPr>
        <w:spacing w:after="0" w:line="174" w:lineRule="exact"/>
        <w:rPr>
          <w:rFonts w:ascii="Arial" w:cs="Arial" w:eastAsia="Arial" w:hAnsi="Arial"/>
          <w:sz w:val="21"/>
          <w:szCs w:val="21"/>
          <w:b w:val="1"/>
          <w:bCs w:val="1"/>
          <w:color w:val="auto"/>
        </w:rPr>
      </w:pPr>
    </w:p>
    <w:p>
      <w:pPr>
        <w:jc w:val="both"/>
        <w:ind w:left="80" w:firstLine="657"/>
        <w:spacing w:after="0" w:line="248" w:lineRule="auto"/>
        <w:tabs>
          <w:tab w:leader="none" w:pos="1327" w:val="left"/>
        </w:tabs>
        <w:numPr>
          <w:ilvl w:val="0"/>
          <w:numId w:val="78"/>
        </w:numPr>
        <w:rPr>
          <w:rFonts w:ascii="Arial" w:cs="Arial" w:eastAsia="Arial" w:hAnsi="Arial"/>
          <w:sz w:val="22"/>
          <w:szCs w:val="22"/>
          <w:b w:val="1"/>
          <w:bCs w:val="1"/>
          <w:color w:val="auto"/>
        </w:rPr>
      </w:pPr>
      <w:r>
        <w:rPr>
          <w:rFonts w:ascii="Arial" w:cs="Arial" w:eastAsia="Arial" w:hAnsi="Arial"/>
          <w:sz w:val="22"/>
          <w:szCs w:val="22"/>
          <w:u w:val="single" w:color="auto"/>
          <w:color w:val="auto"/>
        </w:rPr>
        <w:t>Clawback/Recovery</w:t>
      </w:r>
      <w:r>
        <w:rPr>
          <w:rFonts w:ascii="Arial" w:cs="Arial" w:eastAsia="Arial" w:hAnsi="Arial"/>
          <w:sz w:val="22"/>
          <w:szCs w:val="22"/>
          <w:color w:val="auto"/>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Committee may impose such other clawback, recovery or recoupment provisions on an Award as the Committee determines necessary or appropriate, including, without limitation, a reacquisition right in respect of previously-acquired Shares or other cash or property upon the occurrence of cause (as determined by the Committee).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9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b w:val="1"/>
          <w:bCs w:val="1"/>
          <w:color w:val="auto"/>
        </w:rPr>
        <w:t>Exhibit 10.2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Amended and Restated Change of Control Severance Agreement (the “Agreement”) is made and entered into by and between Ken Xie (“Executive”) and Fortinet, Inc. (the “Company”), effective as of August 7, 2019 (the “Effective Date”) and supersedes the Amended and Restated Change of Control Severance Agreement, between Executive and the Company (the “Prior Agreement”), effective as of February 4, 2016.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47" w:lineRule="auto"/>
        <w:tabs>
          <w:tab w:leader="none" w:pos="1038" w:val="left"/>
        </w:tabs>
        <w:numPr>
          <w:ilvl w:val="0"/>
          <w:numId w:val="79"/>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93" w:lineRule="exact"/>
        <w:rPr>
          <w:rFonts w:ascii="Arial" w:cs="Arial" w:eastAsia="Arial" w:hAnsi="Arial"/>
          <w:sz w:val="22"/>
          <w:szCs w:val="22"/>
          <w:color w:val="auto"/>
        </w:rPr>
      </w:pPr>
    </w:p>
    <w:p>
      <w:pPr>
        <w:jc w:val="both"/>
        <w:ind w:firstLine="656"/>
        <w:spacing w:after="0" w:line="253" w:lineRule="auto"/>
        <w:tabs>
          <w:tab w:leader="none" w:pos="110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0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firstLine="656"/>
        <w:spacing w:after="0" w:line="253" w:lineRule="auto"/>
        <w:tabs>
          <w:tab w:leader="none" w:pos="1459" w:val="left"/>
        </w:tabs>
        <w:numPr>
          <w:ilvl w:val="0"/>
          <w:numId w:val="80"/>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85" w:lineRule="exact"/>
        <w:rPr>
          <w:rFonts w:ascii="Arial" w:cs="Arial" w:eastAsia="Arial" w:hAnsi="Arial"/>
          <w:sz w:val="22"/>
          <w:szCs w:val="22"/>
          <w:color w:val="010000"/>
        </w:rPr>
      </w:pPr>
    </w:p>
    <w:p>
      <w:pPr>
        <w:jc w:val="both"/>
        <w:ind w:firstLine="656"/>
        <w:spacing w:after="0" w:line="248" w:lineRule="auto"/>
        <w:tabs>
          <w:tab w:leader="none" w:pos="1459"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will continue to be at-will, as defined under applicable law. If Executive’s employment terminates for any reason, including (without limitation) any termination prior to or twelve (12) months following a Change of Control, Executive will not be entitled to any acceleration of any Award (as defined herein) vesting or severance pay based on termination of employment other than as provided by this Agreement.</w:t>
      </w:r>
    </w:p>
    <w:p>
      <w:pPr>
        <w:sectPr>
          <w:pgSz w:w="11900" w:h="16838" w:orient="portrait"/>
          <w:cols w:equalWidth="0" w:num="1">
            <w:col w:w="11420"/>
          </w:cols>
          <w:pgMar w:left="240" w:top="841" w:right="239" w:bottom="1440" w:gutter="0" w:footer="0" w:header="0"/>
        </w:sectPr>
      </w:pPr>
    </w:p>
    <w:bookmarkStart w:id="92" w:name="page93"/>
    <w:bookmarkEnd w:id="92"/>
    <w:p>
      <w:pPr>
        <w:ind w:left="1460" w:hanging="804"/>
        <w:spacing w:after="0"/>
        <w:tabs>
          <w:tab w:leader="none" w:pos="1460"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300" w:lineRule="auto"/>
        <w:tabs>
          <w:tab w:leader="none" w:pos="1757" w:val="left"/>
        </w:tabs>
        <w:numPr>
          <w:ilvl w:val="2"/>
          <w:numId w:val="81"/>
        </w:numPr>
        <w:rPr>
          <w:rFonts w:ascii="Arial" w:cs="Arial" w:eastAsia="Arial" w:hAnsi="Arial"/>
          <w:sz w:val="19"/>
          <w:szCs w:val="19"/>
          <w:color w:val="010000"/>
        </w:rPr>
      </w:pPr>
      <w:r>
        <w:rPr>
          <w:rFonts w:ascii="Arial" w:cs="Arial" w:eastAsia="Arial" w:hAnsi="Arial"/>
          <w:sz w:val="19"/>
          <w:szCs w:val="19"/>
          <w:u w:val="single" w:color="auto"/>
          <w:color w:val="auto"/>
        </w:rPr>
        <w:t>Involuntary Termination Prior to, or Absent, a Change of Control or After 12 Months Following a Change of Control</w:t>
      </w:r>
      <w:r>
        <w:rPr>
          <w:rFonts w:ascii="Arial" w:cs="Arial" w:eastAsia="Arial" w:hAnsi="Arial"/>
          <w:sz w:val="19"/>
          <w:szCs w:val="19"/>
          <w:color w:val="auto"/>
        </w:rPr>
        <w:t>. If prior to, or absent, a Change of Control or after twelve (12) months following a Change of Control, (i) the Company (or any parent or subsidiary of the Company) terminates Executive’s employment without Cause (as defined herein) or (ii) Executive terminates Executive’s employment with the Company (or any parent or subsidiary of the Company) for Good Reason (as defined herein), then, subject to Sections 3(c) and (d) below, Executive will receive the following severance from the Company:</w:t>
      </w:r>
    </w:p>
    <w:p>
      <w:pPr>
        <w:spacing w:after="0" w:line="147" w:lineRule="exact"/>
        <w:rPr>
          <w:rFonts w:ascii="Arial" w:cs="Arial" w:eastAsia="Arial" w:hAnsi="Arial"/>
          <w:sz w:val="19"/>
          <w:szCs w:val="19"/>
          <w:color w:val="010000"/>
        </w:rPr>
      </w:pPr>
    </w:p>
    <w:p>
      <w:pPr>
        <w:ind w:left="2340" w:hanging="387"/>
        <w:spacing w:after="0"/>
        <w:tabs>
          <w:tab w:leader="none" w:pos="2340" w:val="left"/>
        </w:tabs>
        <w:numPr>
          <w:ilvl w:val="3"/>
          <w:numId w:val="81"/>
        </w:numPr>
        <w:rPr>
          <w:rFonts w:ascii="Arial" w:cs="Arial" w:eastAsia="Arial" w:hAnsi="Arial"/>
          <w:sz w:val="19"/>
          <w:szCs w:val="19"/>
          <w:color w:val="010000"/>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Executive will receive continuing payments of severance pay for a period of twelve</w:t>
      </w:r>
    </w:p>
    <w:p>
      <w:pPr>
        <w:spacing w:after="0" w:line="56" w:lineRule="exact"/>
        <w:rPr>
          <w:rFonts w:ascii="Arial" w:cs="Arial" w:eastAsia="Arial" w:hAnsi="Arial"/>
          <w:sz w:val="19"/>
          <w:szCs w:val="19"/>
          <w:color w:val="010000"/>
        </w:rPr>
      </w:pPr>
    </w:p>
    <w:p>
      <w:pPr>
        <w:ind w:firstLine="8"/>
        <w:spacing w:after="0" w:line="259" w:lineRule="auto"/>
        <w:tabs>
          <w:tab w:leader="none" w:pos="431" w:val="left"/>
        </w:tabs>
        <w:numPr>
          <w:ilvl w:val="0"/>
          <w:numId w:val="82"/>
        </w:numPr>
        <w:rPr>
          <w:rFonts w:ascii="Arial" w:cs="Arial" w:eastAsia="Arial" w:hAnsi="Arial"/>
          <w:sz w:val="22"/>
          <w:szCs w:val="22"/>
          <w:color w:val="auto"/>
        </w:rPr>
      </w:pPr>
      <w:r>
        <w:rPr>
          <w:rFonts w:ascii="Arial" w:cs="Arial" w:eastAsia="Arial" w:hAnsi="Arial"/>
          <w:sz w:val="22"/>
          <w:szCs w:val="22"/>
          <w:color w:val="auto"/>
        </w:rPr>
        <w:t>months from the date of such termination equal to Executive’s base salary rate as in effect immediately prior to Executive’s termination.</w:t>
      </w:r>
    </w:p>
    <w:p>
      <w:pPr>
        <w:spacing w:after="0" w:line="178" w:lineRule="exact"/>
        <w:rPr>
          <w:rFonts w:ascii="Arial" w:cs="Arial" w:eastAsia="Arial" w:hAnsi="Arial"/>
          <w:sz w:val="22"/>
          <w:szCs w:val="22"/>
          <w:color w:val="auto"/>
        </w:rPr>
      </w:pPr>
    </w:p>
    <w:p>
      <w:pPr>
        <w:jc w:val="both"/>
        <w:ind w:firstLine="1953"/>
        <w:spacing w:after="0" w:line="251" w:lineRule="auto"/>
        <w:tabs>
          <w:tab w:leader="none" w:pos="2537" w:val="left"/>
        </w:tabs>
        <w:numPr>
          <w:ilvl w:val="3"/>
          <w:numId w:val="82"/>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If Executive holds unvested equity awards (“Awards”) at the time of Executive’s termination, then the unvested portion of such Awards that would have otherwise vested over a twelve (12) month period following such termination pursuant to the vesting schedule set forth in the award agreement will immediately vest as of Executive’s termination date. The Awards will remain exercisable following the termination for the period prescribed in the respective stock plan and agreement for each award.</w:t>
      </w:r>
    </w:p>
    <w:p>
      <w:pPr>
        <w:spacing w:after="0" w:line="189" w:lineRule="exact"/>
        <w:rPr>
          <w:rFonts w:ascii="Arial" w:cs="Arial" w:eastAsia="Arial" w:hAnsi="Arial"/>
          <w:sz w:val="22"/>
          <w:szCs w:val="22"/>
          <w:color w:val="010000"/>
        </w:rPr>
      </w:pPr>
    </w:p>
    <w:p>
      <w:pPr>
        <w:ind w:left="2520" w:hanging="567"/>
        <w:spacing w:after="0"/>
        <w:tabs>
          <w:tab w:leader="none" w:pos="2520" w:val="left"/>
        </w:tabs>
        <w:numPr>
          <w:ilvl w:val="3"/>
          <w:numId w:val="82"/>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w:t>
      </w:r>
    </w:p>
    <w:p>
      <w:pPr>
        <w:spacing w:after="0" w:line="56" w:lineRule="exact"/>
        <w:rPr>
          <w:rFonts w:ascii="Arial" w:cs="Arial" w:eastAsia="Arial" w:hAnsi="Arial"/>
          <w:sz w:val="19"/>
          <w:szCs w:val="19"/>
          <w:color w:val="010000"/>
        </w:rPr>
      </w:pPr>
    </w:p>
    <w:p>
      <w:pPr>
        <w:ind w:left="420" w:hanging="412"/>
        <w:spacing w:after="0"/>
        <w:tabs>
          <w:tab w:leader="none" w:pos="420" w:val="left"/>
        </w:tabs>
        <w:numPr>
          <w:ilvl w:val="0"/>
          <w:numId w:val="83"/>
        </w:numPr>
        <w:rPr>
          <w:rFonts w:ascii="Arial" w:cs="Arial" w:eastAsia="Arial" w:hAnsi="Arial"/>
          <w:sz w:val="21"/>
          <w:szCs w:val="21"/>
          <w:color w:val="auto"/>
        </w:rPr>
      </w:pPr>
      <w:r>
        <w:rPr>
          <w:rFonts w:ascii="Arial" w:cs="Arial" w:eastAsia="Arial" w:hAnsi="Arial"/>
          <w:sz w:val="21"/>
          <w:szCs w:val="21"/>
          <w:color w:val="auto"/>
        </w:rPr>
        <w:t>months for Executive and Executive’s eligible dependents under the Company’s Benefit Plans (as defined herein).</w:t>
      </w:r>
    </w:p>
    <w:p>
      <w:pPr>
        <w:spacing w:after="0" w:line="226" w:lineRule="exact"/>
        <w:rPr>
          <w:rFonts w:ascii="Arial" w:cs="Arial" w:eastAsia="Arial" w:hAnsi="Arial"/>
          <w:sz w:val="21"/>
          <w:szCs w:val="21"/>
          <w:color w:val="auto"/>
        </w:rPr>
      </w:pPr>
    </w:p>
    <w:p>
      <w:pPr>
        <w:jc w:val="both"/>
        <w:ind w:firstLine="1305"/>
        <w:spacing w:after="0" w:line="251" w:lineRule="auto"/>
        <w:tabs>
          <w:tab w:leader="none" w:pos="1864" w:val="left"/>
        </w:tabs>
        <w:numPr>
          <w:ilvl w:val="2"/>
          <w:numId w:val="83"/>
        </w:numPr>
        <w:rPr>
          <w:rFonts w:ascii="Arial" w:cs="Arial" w:eastAsia="Arial" w:hAnsi="Arial"/>
          <w:sz w:val="22"/>
          <w:szCs w:val="22"/>
          <w:color w:val="010000"/>
        </w:rPr>
      </w:pPr>
      <w:r>
        <w:rPr>
          <w:rFonts w:ascii="Arial" w:cs="Arial" w:eastAsia="Arial" w:hAnsi="Arial"/>
          <w:sz w:val="22"/>
          <w:szCs w:val="22"/>
          <w:u w:val="single" w:color="auto"/>
          <w:color w:val="auto"/>
        </w:rPr>
        <w:t>Involuntary Termination within 12 Months Following a Change of Control</w:t>
      </w:r>
      <w:r>
        <w:rPr>
          <w:rFonts w:ascii="Arial" w:cs="Arial" w:eastAsia="Arial" w:hAnsi="Arial"/>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89" w:lineRule="exact"/>
        <w:rPr>
          <w:rFonts w:ascii="Arial" w:cs="Arial" w:eastAsia="Arial" w:hAnsi="Arial"/>
          <w:sz w:val="22"/>
          <w:szCs w:val="22"/>
          <w:color w:val="010000"/>
        </w:rPr>
      </w:pPr>
    </w:p>
    <w:p>
      <w:pPr>
        <w:ind w:left="2340" w:hanging="387"/>
        <w:spacing w:after="0"/>
        <w:tabs>
          <w:tab w:leader="none" w:pos="2340" w:val="left"/>
        </w:tabs>
        <w:numPr>
          <w:ilvl w:val="3"/>
          <w:numId w:val="83"/>
        </w:numPr>
        <w:rPr>
          <w:rFonts w:ascii="Arial" w:cs="Arial" w:eastAsia="Arial" w:hAnsi="Arial"/>
          <w:sz w:val="19"/>
          <w:szCs w:val="19"/>
          <w:color w:val="010000"/>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Executive will receive continuing payments of severance pay for a period of twelve</w:t>
      </w:r>
    </w:p>
    <w:p>
      <w:pPr>
        <w:spacing w:after="0" w:line="56" w:lineRule="exact"/>
        <w:rPr>
          <w:rFonts w:ascii="Arial" w:cs="Arial" w:eastAsia="Arial" w:hAnsi="Arial"/>
          <w:sz w:val="19"/>
          <w:szCs w:val="19"/>
          <w:color w:val="010000"/>
        </w:rPr>
      </w:pPr>
    </w:p>
    <w:p>
      <w:pPr>
        <w:ind w:firstLine="8"/>
        <w:spacing w:after="0" w:line="259" w:lineRule="auto"/>
        <w:tabs>
          <w:tab w:leader="none" w:pos="415" w:val="left"/>
        </w:tabs>
        <w:numPr>
          <w:ilvl w:val="0"/>
          <w:numId w:val="84"/>
        </w:numPr>
        <w:rPr>
          <w:rFonts w:ascii="Arial" w:cs="Arial" w:eastAsia="Arial" w:hAnsi="Arial"/>
          <w:sz w:val="22"/>
          <w:szCs w:val="22"/>
          <w:color w:val="auto"/>
        </w:rPr>
      </w:pPr>
      <w:r>
        <w:rPr>
          <w:rFonts w:ascii="Arial" w:cs="Arial" w:eastAsia="Arial" w:hAnsi="Arial"/>
          <w:sz w:val="22"/>
          <w:szCs w:val="22"/>
          <w:color w:val="auto"/>
        </w:rPr>
        <w:t>months from the date of such termination equal to Executive’s base salary rate as in effect immediately prior to (A) the Change of Control, or (B) Executive’s termination, whichever is greater.</w:t>
      </w:r>
    </w:p>
    <w:p>
      <w:pPr>
        <w:spacing w:after="0" w:line="178" w:lineRule="exact"/>
        <w:rPr>
          <w:rFonts w:ascii="Arial" w:cs="Arial" w:eastAsia="Arial" w:hAnsi="Arial"/>
          <w:sz w:val="22"/>
          <w:szCs w:val="22"/>
          <w:color w:val="auto"/>
        </w:rPr>
      </w:pPr>
    </w:p>
    <w:p>
      <w:pPr>
        <w:jc w:val="both"/>
        <w:ind w:firstLine="1953"/>
        <w:spacing w:after="0" w:line="294" w:lineRule="auto"/>
        <w:tabs>
          <w:tab w:leader="none" w:pos="2470" w:val="left"/>
        </w:tabs>
        <w:numPr>
          <w:ilvl w:val="3"/>
          <w:numId w:val="84"/>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If Executive holds Awards at the time of Executive’s termination, then one hundred percent (100%) of the then- unvested shares subject to such Awards will immediately vest as of Executive’s termination date. For the sake of clarity, Executive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 The Awards will remain exercisable, to the extent applicable,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31"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following the termination for the period prescribed in the respective stock plan and agreement for each Award.</w:t>
      </w:r>
    </w:p>
    <w:p>
      <w:pPr>
        <w:spacing w:after="0" w:line="220" w:lineRule="exact"/>
        <w:rPr>
          <w:sz w:val="20"/>
          <w:szCs w:val="20"/>
          <w:color w:val="auto"/>
        </w:rPr>
      </w:pPr>
    </w:p>
    <w:p>
      <w:pPr>
        <w:ind w:left="2520" w:hanging="567"/>
        <w:spacing w:after="0"/>
        <w:tabs>
          <w:tab w:leader="none" w:pos="2520" w:val="left"/>
        </w:tabs>
        <w:numPr>
          <w:ilvl w:val="2"/>
          <w:numId w:val="85"/>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w:t>
      </w:r>
    </w:p>
    <w:p>
      <w:pPr>
        <w:spacing w:after="0" w:line="56" w:lineRule="exact"/>
        <w:rPr>
          <w:rFonts w:ascii="Arial" w:cs="Arial" w:eastAsia="Arial" w:hAnsi="Arial"/>
          <w:sz w:val="19"/>
          <w:szCs w:val="19"/>
          <w:color w:val="010000"/>
        </w:rPr>
      </w:pPr>
    </w:p>
    <w:p>
      <w:pPr>
        <w:ind w:left="420" w:hanging="412"/>
        <w:spacing w:after="0"/>
        <w:tabs>
          <w:tab w:leader="none" w:pos="4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months for Executive and Executive’s eligible dependents under the Company’s Benefit Plans.</w:t>
      </w:r>
    </w:p>
    <w:p>
      <w:pPr>
        <w:spacing w:after="0" w:line="215" w:lineRule="exact"/>
        <w:rPr>
          <w:rFonts w:ascii="Arial" w:cs="Arial" w:eastAsia="Arial" w:hAnsi="Arial"/>
          <w:sz w:val="22"/>
          <w:szCs w:val="22"/>
          <w:color w:val="auto"/>
        </w:rPr>
      </w:pPr>
    </w:p>
    <w:p>
      <w:pPr>
        <w:ind w:left="1740" w:hanging="435"/>
        <w:spacing w:after="0"/>
        <w:tabs>
          <w:tab w:leader="none" w:pos="1740" w:val="left"/>
        </w:tabs>
        <w:numPr>
          <w:ilvl w:val="1"/>
          <w:numId w:val="86"/>
        </w:numPr>
        <w:rPr>
          <w:rFonts w:ascii="Arial" w:cs="Arial" w:eastAsia="Arial" w:hAnsi="Arial"/>
          <w:sz w:val="19"/>
          <w:szCs w:val="19"/>
          <w:color w:val="010000"/>
        </w:rPr>
      </w:pPr>
      <w:r>
        <w:rPr>
          <w:rFonts w:ascii="Arial" w:cs="Arial" w:eastAsia="Arial" w:hAnsi="Arial"/>
          <w:sz w:val="19"/>
          <w:szCs w:val="19"/>
          <w:u w:val="single" w:color="auto"/>
          <w:color w:val="auto"/>
        </w:rPr>
        <w:t>Release of Claims Agreement</w:t>
      </w:r>
      <w:r>
        <w:rPr>
          <w:rFonts w:ascii="Arial" w:cs="Arial" w:eastAsia="Arial" w:hAnsi="Arial"/>
          <w:sz w:val="19"/>
          <w:szCs w:val="19"/>
          <w:color w:val="auto"/>
        </w:rPr>
        <w:t>. The receipt of any severance pay or other benefits pursuant to Sections 3(a) and</w:t>
      </w:r>
    </w:p>
    <w:p>
      <w:pPr>
        <w:spacing w:after="0" w:line="56" w:lineRule="exact"/>
        <w:rPr>
          <w:rFonts w:ascii="Arial" w:cs="Arial" w:eastAsia="Arial" w:hAnsi="Arial"/>
          <w:sz w:val="19"/>
          <w:szCs w:val="19"/>
          <w:color w:val="010000"/>
        </w:rPr>
      </w:pPr>
    </w:p>
    <w:p>
      <w:pPr>
        <w:jc w:val="both"/>
        <w:spacing w:after="0" w:line="245" w:lineRule="auto"/>
        <w:rPr>
          <w:rFonts w:ascii="Arial" w:cs="Arial" w:eastAsia="Arial" w:hAnsi="Arial"/>
          <w:sz w:val="19"/>
          <w:szCs w:val="19"/>
          <w:color w:val="010000"/>
        </w:rPr>
      </w:pPr>
      <w:r>
        <w:rPr>
          <w:rFonts w:ascii="Arial" w:cs="Arial" w:eastAsia="Arial" w:hAnsi="Arial"/>
          <w:sz w:val="22"/>
          <w:szCs w:val="22"/>
          <w:color w:val="auto"/>
        </w:rPr>
        <w:t>(b)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the later of (i) the fifteenth day of the third month after the end of the Company’s fiscal year in which such termination of employment occurs, or (ii) March 15 of the calendar year following the calendar year in which such termination of employment occurs. No such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effective date of such release.</w:t>
      </w:r>
    </w:p>
    <w:p>
      <w:pPr>
        <w:spacing w:after="0" w:line="198" w:lineRule="exact"/>
        <w:rPr>
          <w:rFonts w:ascii="Arial" w:cs="Arial" w:eastAsia="Arial" w:hAnsi="Arial"/>
          <w:sz w:val="19"/>
          <w:szCs w:val="19"/>
          <w:color w:val="010000"/>
        </w:rPr>
      </w:pPr>
    </w:p>
    <w:p>
      <w:pPr>
        <w:jc w:val="both"/>
        <w:ind w:firstLine="1305"/>
        <w:spacing w:after="0" w:line="259" w:lineRule="auto"/>
        <w:tabs>
          <w:tab w:leader="none" w:pos="1769" w:val="left"/>
        </w:tabs>
        <w:numPr>
          <w:ilvl w:val="1"/>
          <w:numId w:val="86"/>
        </w:numPr>
        <w:rPr>
          <w:rFonts w:ascii="Arial" w:cs="Arial" w:eastAsia="Arial" w:hAnsi="Arial"/>
          <w:sz w:val="21"/>
          <w:szCs w:val="21"/>
          <w:color w:val="010000"/>
        </w:rPr>
      </w:pPr>
      <w:r>
        <w:rPr>
          <w:rFonts w:ascii="Arial" w:cs="Arial" w:eastAsia="Arial" w:hAnsi="Arial"/>
          <w:sz w:val="21"/>
          <w:szCs w:val="21"/>
          <w:u w:val="single" w:color="auto"/>
          <w:color w:val="auto"/>
        </w:rPr>
        <w:t>Non-solicitation and Non-competition</w:t>
      </w:r>
      <w:r>
        <w:rPr>
          <w:rFonts w:ascii="Arial" w:cs="Arial" w:eastAsia="Arial" w:hAnsi="Arial"/>
          <w:sz w:val="21"/>
          <w:szCs w:val="21"/>
          <w:color w:val="auto"/>
        </w:rPr>
        <w:t>. Executive agrees, to the extent permitted by applicable law, that in the event Executive receives severance pay or other benefits pursuant to Sections 3(a) and (b) above, for the twelve (12) consecutive month period immediately following the date of Executive’s termination, Executive, as a condition to receipt of severance pay and benefits under Sections 3(a) and (b), will not (i) either directly or indirectly, solicit, induce, recruit, encourage any employee of the Company to leave his employment either for Executive or for any other entity or person, or (ii) without the express 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covenants contained in this Section 3(d)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3(d).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3(d) are deemed to exceed the time, geographic or scope limitations permitted by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94" w:name="page95"/>
    <w:bookmarkEnd w:id="94"/>
    <w:p>
      <w:pPr>
        <w:spacing w:after="0" w:line="263" w:lineRule="auto"/>
        <w:rPr>
          <w:sz w:val="20"/>
          <w:szCs w:val="20"/>
          <w:color w:val="auto"/>
        </w:rPr>
      </w:pPr>
      <w:r>
        <w:rPr>
          <w:rFonts w:ascii="Arial" w:cs="Arial" w:eastAsia="Arial" w:hAnsi="Arial"/>
          <w:sz w:val="22"/>
          <w:szCs w:val="22"/>
          <w:color w:val="auto"/>
        </w:rPr>
        <w:t>applicable law, then such provisions shall be reformed to the maximum time, geographic or scope limitations, as the case may be, permitted by applicable law.</w:t>
      </w:r>
    </w:p>
    <w:p>
      <w:pPr>
        <w:spacing w:after="0" w:line="175" w:lineRule="exact"/>
        <w:rPr>
          <w:sz w:val="20"/>
          <w:szCs w:val="20"/>
          <w:color w:val="auto"/>
        </w:rPr>
      </w:pPr>
    </w:p>
    <w:p>
      <w:pPr>
        <w:jc w:val="both"/>
        <w:ind w:firstLine="1305"/>
        <w:spacing w:after="0" w:line="251" w:lineRule="auto"/>
        <w:tabs>
          <w:tab w:leader="none" w:pos="1824" w:val="left"/>
        </w:tabs>
        <w:numPr>
          <w:ilvl w:val="1"/>
          <w:numId w:val="87"/>
        </w:numPr>
        <w:rPr>
          <w:rFonts w:ascii="Arial" w:cs="Arial" w:eastAsia="Arial" w:hAnsi="Arial"/>
          <w:sz w:val="22"/>
          <w:szCs w:val="22"/>
          <w:color w:val="010000"/>
        </w:rPr>
      </w:pP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 3(c),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9" w:lineRule="exact"/>
        <w:rPr>
          <w:rFonts w:ascii="Arial" w:cs="Arial" w:eastAsia="Arial" w:hAnsi="Arial"/>
          <w:sz w:val="22"/>
          <w:szCs w:val="22"/>
          <w:color w:val="010000"/>
        </w:rPr>
      </w:pPr>
    </w:p>
    <w:p>
      <w:pPr>
        <w:jc w:val="both"/>
        <w:ind w:firstLine="1305"/>
        <w:spacing w:after="0" w:line="299" w:lineRule="auto"/>
        <w:tabs>
          <w:tab w:leader="none" w:pos="1773" w:val="left"/>
        </w:tabs>
        <w:numPr>
          <w:ilvl w:val="1"/>
          <w:numId w:val="87"/>
        </w:numPr>
        <w:rPr>
          <w:rFonts w:ascii="Arial" w:cs="Arial" w:eastAsia="Arial" w:hAnsi="Arial"/>
          <w:sz w:val="19"/>
          <w:szCs w:val="19"/>
          <w:color w:val="010000"/>
        </w:rPr>
      </w:pPr>
      <w:r>
        <w:rPr>
          <w:rFonts w:ascii="Arial" w:cs="Arial" w:eastAsia="Arial" w:hAnsi="Arial"/>
          <w:sz w:val="19"/>
          <w:szCs w:val="19"/>
          <w:u w:val="single" w:color="auto"/>
          <w:color w:val="auto"/>
        </w:rPr>
        <w:t>Voluntary Resignation; Termination For Cause</w:t>
      </w:r>
      <w:r>
        <w:rPr>
          <w:rFonts w:ascii="Arial" w:cs="Arial" w:eastAsia="Arial" w:hAnsi="Arial"/>
          <w:sz w:val="19"/>
          <w:szCs w:val="19"/>
          <w:color w:val="auto"/>
        </w:rPr>
        <w:t>. If Executive’s employment with the Company terminates (i) voluntarily by Executive (except upon a termination for Good Reason within twelve (12) months following a Change of Control) or</w:t>
      </w:r>
    </w:p>
    <w:p>
      <w:pPr>
        <w:jc w:val="both"/>
        <w:ind w:firstLine="8"/>
        <w:spacing w:after="0" w:line="302" w:lineRule="auto"/>
        <w:tabs>
          <w:tab w:leader="none" w:pos="358" w:val="left"/>
        </w:tabs>
        <w:numPr>
          <w:ilvl w:val="0"/>
          <w:numId w:val="88"/>
        </w:numPr>
        <w:rPr>
          <w:rFonts w:ascii="Arial" w:cs="Arial" w:eastAsia="Arial" w:hAnsi="Arial"/>
          <w:sz w:val="19"/>
          <w:szCs w:val="19"/>
          <w:color w:val="auto"/>
        </w:rPr>
      </w:pPr>
      <w:r>
        <w:rPr>
          <w:rFonts w:ascii="Arial" w:cs="Arial" w:eastAsia="Arial" w:hAnsi="Arial"/>
          <w:sz w:val="19"/>
          <w:szCs w:val="19"/>
          <w:color w:val="auto"/>
        </w:rPr>
        <w:t>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43" w:lineRule="exact"/>
        <w:rPr>
          <w:rFonts w:ascii="Arial" w:cs="Arial" w:eastAsia="Arial" w:hAnsi="Arial"/>
          <w:sz w:val="19"/>
          <w:szCs w:val="19"/>
          <w:color w:val="auto"/>
        </w:rPr>
      </w:pPr>
    </w:p>
    <w:p>
      <w:pPr>
        <w:jc w:val="both"/>
        <w:ind w:firstLine="1305"/>
        <w:spacing w:after="0" w:line="307" w:lineRule="auto"/>
        <w:tabs>
          <w:tab w:leader="none" w:pos="1756" w:val="left"/>
        </w:tabs>
        <w:numPr>
          <w:ilvl w:val="1"/>
          <w:numId w:val="88"/>
        </w:numPr>
        <w:rPr>
          <w:rFonts w:ascii="Arial" w:cs="Arial" w:eastAsia="Arial" w:hAnsi="Arial"/>
          <w:sz w:val="19"/>
          <w:szCs w:val="19"/>
          <w:color w:val="010000"/>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38" w:lineRule="exact"/>
        <w:rPr>
          <w:rFonts w:ascii="Arial" w:cs="Arial" w:eastAsia="Arial" w:hAnsi="Arial"/>
          <w:sz w:val="19"/>
          <w:szCs w:val="19"/>
          <w:color w:val="010000"/>
        </w:rPr>
      </w:pPr>
    </w:p>
    <w:p>
      <w:pPr>
        <w:jc w:val="both"/>
        <w:ind w:firstLine="1305"/>
        <w:spacing w:after="0" w:line="300" w:lineRule="auto"/>
        <w:tabs>
          <w:tab w:leader="none" w:pos="1756" w:val="left"/>
        </w:tabs>
        <w:numPr>
          <w:ilvl w:val="1"/>
          <w:numId w:val="88"/>
        </w:numPr>
        <w:rPr>
          <w:rFonts w:ascii="Arial" w:cs="Arial" w:eastAsia="Arial" w:hAnsi="Arial"/>
          <w:sz w:val="19"/>
          <w:szCs w:val="19"/>
          <w:color w:val="010000"/>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In the event of a termination of Executive’s employment with the Company (or any parent or subsidiary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47" w:lineRule="exact"/>
        <w:rPr>
          <w:rFonts w:ascii="Arial" w:cs="Arial" w:eastAsia="Arial" w:hAnsi="Arial"/>
          <w:sz w:val="19"/>
          <w:szCs w:val="19"/>
          <w:color w:val="010000"/>
        </w:rPr>
      </w:pPr>
    </w:p>
    <w:p>
      <w:pPr>
        <w:jc w:val="both"/>
        <w:ind w:firstLine="1305"/>
        <w:spacing w:after="0" w:line="290" w:lineRule="auto"/>
        <w:tabs>
          <w:tab w:leader="none" w:pos="1721" w:val="left"/>
        </w:tabs>
        <w:numPr>
          <w:ilvl w:val="1"/>
          <w:numId w:val="88"/>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 “specified employee” within the meaning of Section 409A at the time of Executive’s termination (other than due to death), then the Deferred Compensation Separation Benefits that are payable within the first six (6) months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1" w:right="239" w:bottom="1440" w:gutter="0" w:footer="0" w:header="0"/>
        </w:sectPr>
      </w:pPr>
    </w:p>
    <w:bookmarkStart w:id="95" w:name="page96"/>
    <w:bookmarkEnd w:id="95"/>
    <w:p>
      <w:pPr>
        <w:jc w:val="both"/>
        <w:spacing w:after="0" w:line="266" w:lineRule="auto"/>
        <w:rPr>
          <w:sz w:val="20"/>
          <w:szCs w:val="20"/>
          <w:color w:val="auto"/>
        </w:rPr>
      </w:pPr>
      <w:r>
        <w:rPr>
          <w:rFonts w:ascii="Arial" w:cs="Arial" w:eastAsia="Arial" w:hAnsi="Arial"/>
          <w:sz w:val="20"/>
          <w:szCs w:val="20"/>
          <w:color w:val="auto"/>
        </w:rPr>
        <w:t>following Executive’s separation from service, will become payable in a lump sum (without interest)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sum (without interest)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For any Deferred Compensation Separation Benefits, the release of claim agreement under Section 3(c) hereof must become irrevocable within sixty (60) days of the date of termination and benefits shall commence upon the date provided in Section 3(e) hereof, provided, that if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termination of Executive’s employment with the Company falls in the calendar year following the calendar year containing the date of termination, the benefits will be made no earlier than the first business day of that following calendar year.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as provided herein.</w:t>
      </w:r>
    </w:p>
    <w:p>
      <w:pPr>
        <w:spacing w:after="0" w:line="179" w:lineRule="exact"/>
        <w:rPr>
          <w:sz w:val="20"/>
          <w:szCs w:val="20"/>
          <w:color w:val="auto"/>
        </w:rPr>
      </w:pPr>
    </w:p>
    <w:p>
      <w:pPr>
        <w:jc w:val="both"/>
        <w:ind w:firstLine="656"/>
        <w:spacing w:after="0" w:line="254" w:lineRule="auto"/>
        <w:tabs>
          <w:tab w:leader="none" w:pos="1017" w:val="left"/>
        </w:tabs>
        <w:numPr>
          <w:ilvl w:val="0"/>
          <w:numId w:val="89"/>
        </w:numPr>
        <w:rPr>
          <w:rFonts w:ascii="Arial" w:cs="Arial" w:eastAsia="Arial" w:hAnsi="Arial"/>
          <w:sz w:val="22"/>
          <w:szCs w:val="22"/>
          <w:color w:val="010000"/>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85" w:lineRule="exact"/>
        <w:rPr>
          <w:rFonts w:ascii="Arial" w:cs="Arial" w:eastAsia="Arial" w:hAnsi="Arial"/>
          <w:sz w:val="22"/>
          <w:szCs w:val="22"/>
          <w:color w:val="010000"/>
        </w:rPr>
      </w:pPr>
    </w:p>
    <w:p>
      <w:pPr>
        <w:ind w:left="1720" w:hanging="415"/>
        <w:spacing w:after="0"/>
        <w:tabs>
          <w:tab w:leader="none" w:pos="1720" w:val="left"/>
        </w:tabs>
        <w:numPr>
          <w:ilvl w:val="1"/>
          <w:numId w:val="89"/>
        </w:numPr>
        <w:rPr>
          <w:rFonts w:ascii="Arial" w:cs="Arial" w:eastAsia="Arial" w:hAnsi="Arial"/>
          <w:sz w:val="22"/>
          <w:szCs w:val="22"/>
          <w:color w:val="010000"/>
        </w:rPr>
      </w:pPr>
      <w:r>
        <w:rPr>
          <w:rFonts w:ascii="Arial" w:cs="Arial" w:eastAsia="Arial" w:hAnsi="Arial"/>
          <w:sz w:val="22"/>
          <w:szCs w:val="22"/>
          <w:color w:val="auto"/>
        </w:rPr>
        <w:t>delivered in full, or</w:t>
      </w:r>
    </w:p>
    <w:p>
      <w:pPr>
        <w:spacing w:after="0" w:line="233" w:lineRule="exact"/>
        <w:rPr>
          <w:rFonts w:ascii="Arial" w:cs="Arial" w:eastAsia="Arial" w:hAnsi="Arial"/>
          <w:sz w:val="22"/>
          <w:szCs w:val="22"/>
          <w:color w:val="010000"/>
        </w:rPr>
      </w:pPr>
    </w:p>
    <w:p>
      <w:pPr>
        <w:ind w:right="20" w:firstLine="1305"/>
        <w:spacing w:after="0" w:line="276" w:lineRule="auto"/>
        <w:tabs>
          <w:tab w:leader="none" w:pos="1756" w:val="left"/>
        </w:tabs>
        <w:numPr>
          <w:ilvl w:val="1"/>
          <w:numId w:val="89"/>
        </w:numPr>
        <w:rPr>
          <w:rFonts w:ascii="Arial" w:cs="Arial" w:eastAsia="Arial" w:hAnsi="Arial"/>
          <w:sz w:val="22"/>
          <w:szCs w:val="22"/>
          <w:color w:val="010000"/>
        </w:rPr>
      </w:pPr>
      <w:r>
        <w:rPr>
          <w:rFonts w:ascii="Arial" w:cs="Arial" w:eastAsia="Arial" w:hAnsi="Arial"/>
          <w:sz w:val="22"/>
          <w:szCs w:val="22"/>
          <w:color w:val="auto"/>
        </w:rPr>
        <w:t>delivered as to such lesser extent which would result in no portion of such severance benefits being subject to excise tax under Section 4999 of the Code,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1" w:right="239" w:bottom="1440" w:gutter="0" w:footer="0" w:header="0"/>
        </w:sectPr>
      </w:pPr>
    </w:p>
    <w:bookmarkStart w:id="96" w:name="page97"/>
    <w:bookmarkEnd w:id="96"/>
    <w:p>
      <w:pPr>
        <w:jc w:val="both"/>
        <w:spacing w:after="0" w:line="286" w:lineRule="auto"/>
        <w:rPr>
          <w:sz w:val="20"/>
          <w:szCs w:val="20"/>
          <w:color w:val="auto"/>
        </w:rPr>
      </w:pPr>
      <w:r>
        <w:rPr>
          <w:rFonts w:ascii="Arial" w:cs="Arial" w:eastAsia="Arial" w:hAnsi="Arial"/>
          <w:sz w:val="19"/>
          <w:szCs w:val="19"/>
          <w:color w:val="auto"/>
        </w:rPr>
        <w:t>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200" w:lineRule="exact"/>
        <w:rPr>
          <w:sz w:val="20"/>
          <w:szCs w:val="20"/>
          <w:color w:val="auto"/>
        </w:rPr>
      </w:pPr>
    </w:p>
    <w:p>
      <w:pPr>
        <w:spacing w:after="0" w:line="216" w:lineRule="exact"/>
        <w:rPr>
          <w:sz w:val="20"/>
          <w:szCs w:val="20"/>
          <w:color w:val="auto"/>
        </w:rPr>
      </w:pPr>
    </w:p>
    <w:p>
      <w:pPr>
        <w:ind w:left="1000" w:hanging="344"/>
        <w:spacing w:after="0"/>
        <w:tabs>
          <w:tab w:leader="none" w:pos="1000" w:val="left"/>
        </w:tabs>
        <w:numPr>
          <w:ilvl w:val="0"/>
          <w:numId w:val="90"/>
        </w:numPr>
        <w:rPr>
          <w:rFonts w:ascii="Arial" w:cs="Arial" w:eastAsia="Arial" w:hAnsi="Arial"/>
          <w:sz w:val="22"/>
          <w:szCs w:val="22"/>
          <w:color w:val="010000"/>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will have the following meanings:</w:t>
      </w:r>
    </w:p>
    <w:p>
      <w:pPr>
        <w:spacing w:after="0" w:line="233" w:lineRule="exact"/>
        <w:rPr>
          <w:rFonts w:ascii="Arial" w:cs="Arial" w:eastAsia="Arial" w:hAnsi="Arial"/>
          <w:sz w:val="22"/>
          <w:szCs w:val="22"/>
          <w:color w:val="010000"/>
        </w:rPr>
      </w:pPr>
    </w:p>
    <w:p>
      <w:pPr>
        <w:jc w:val="both"/>
        <w:ind w:firstLine="1305"/>
        <w:spacing w:after="0" w:line="288" w:lineRule="auto"/>
        <w:tabs>
          <w:tab w:leader="none" w:pos="1743" w:val="left"/>
        </w:tabs>
        <w:numPr>
          <w:ilvl w:val="1"/>
          <w:numId w:val="90"/>
        </w:numPr>
        <w:rPr>
          <w:rFonts w:ascii="Arial" w:cs="Arial" w:eastAsia="Arial" w:hAnsi="Arial"/>
          <w:sz w:val="19"/>
          <w:szCs w:val="19"/>
          <w:color w:val="010000"/>
        </w:rPr>
      </w:pP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 and Executive’s eligible dependents with equivalent coverage under a third party plan that is reasonably available to Executive and Executive’s eligible dependents.</w:t>
      </w:r>
    </w:p>
    <w:p>
      <w:pPr>
        <w:spacing w:after="0" w:line="156" w:lineRule="exact"/>
        <w:rPr>
          <w:rFonts w:ascii="Arial" w:cs="Arial" w:eastAsia="Arial" w:hAnsi="Arial"/>
          <w:sz w:val="19"/>
          <w:szCs w:val="19"/>
          <w:color w:val="010000"/>
        </w:rPr>
      </w:pPr>
    </w:p>
    <w:p>
      <w:pPr>
        <w:ind w:firstLine="1305"/>
        <w:spacing w:after="0" w:line="276" w:lineRule="auto"/>
        <w:tabs>
          <w:tab w:leader="none" w:pos="1864" w:val="left"/>
        </w:tabs>
        <w:numPr>
          <w:ilvl w:val="1"/>
          <w:numId w:val="90"/>
        </w:numPr>
        <w:rPr>
          <w:rFonts w:ascii="Arial" w:cs="Arial" w:eastAsia="Arial" w:hAnsi="Arial"/>
          <w:sz w:val="22"/>
          <w:szCs w:val="22"/>
          <w:color w:val="010000"/>
        </w:rPr>
      </w:pPr>
      <w:r>
        <w:rPr>
          <w:rFonts w:ascii="Arial" w:cs="Arial" w:eastAsia="Arial" w:hAnsi="Arial"/>
          <w:sz w:val="22"/>
          <w:szCs w:val="22"/>
          <w:u w:val="single" w:color="auto"/>
          <w:color w:val="auto"/>
        </w:rPr>
        <w:t>Cause</w:t>
      </w:r>
      <w:r>
        <w:rPr>
          <w:rFonts w:ascii="Arial" w:cs="Arial" w:eastAsia="Arial" w:hAnsi="Arial"/>
          <w:sz w:val="22"/>
          <w:szCs w:val="22"/>
          <w:color w:val="auto"/>
        </w:rPr>
        <w:t>. “Cause” is defined as (i) an act of dishonesty made by Executive in connection with Executive’s responsibilities as an employee that materially adversely affects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1" w:right="239" w:bottom="1440" w:gutter="0" w:footer="0" w:header="0"/>
        </w:sectPr>
      </w:pPr>
    </w:p>
    <w:bookmarkStart w:id="97" w:name="page98"/>
    <w:bookmarkEnd w:id="97"/>
    <w:p>
      <w:pPr>
        <w:jc w:val="both"/>
        <w:spacing w:after="0" w:line="294" w:lineRule="auto"/>
        <w:rPr>
          <w:sz w:val="20"/>
          <w:szCs w:val="20"/>
          <w:color w:val="auto"/>
        </w:rPr>
      </w:pPr>
      <w:r>
        <w:rPr>
          <w:rFonts w:ascii="Arial" w:cs="Arial" w:eastAsia="Arial" w:hAnsi="Arial"/>
          <w:sz w:val="19"/>
          <w:szCs w:val="19"/>
          <w:color w:val="auto"/>
        </w:rPr>
        <w:t>Company, (ii) Executive’s conviction of, or plea of nolo contendere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w:t>
      </w:r>
    </w:p>
    <w:p>
      <w:pPr>
        <w:spacing w:after="0" w:line="150" w:lineRule="exact"/>
        <w:rPr>
          <w:sz w:val="20"/>
          <w:szCs w:val="20"/>
          <w:color w:val="auto"/>
        </w:rPr>
      </w:pPr>
    </w:p>
    <w:p>
      <w:pPr>
        <w:ind w:left="1720" w:hanging="415"/>
        <w:spacing w:after="0"/>
        <w:tabs>
          <w:tab w:leader="none" w:pos="1720" w:val="left"/>
        </w:tabs>
        <w:numPr>
          <w:ilvl w:val="0"/>
          <w:numId w:val="91"/>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“Change of Control” of the Company is defined as:</w:t>
      </w:r>
    </w:p>
    <w:p>
      <w:pPr>
        <w:spacing w:after="0" w:line="233" w:lineRule="exact"/>
        <w:rPr>
          <w:rFonts w:ascii="Arial" w:cs="Arial" w:eastAsia="Arial" w:hAnsi="Arial"/>
          <w:sz w:val="22"/>
          <w:szCs w:val="22"/>
          <w:color w:val="010000"/>
        </w:rPr>
      </w:pPr>
    </w:p>
    <w:p>
      <w:pPr>
        <w:jc w:val="both"/>
        <w:ind w:firstLine="1953"/>
        <w:spacing w:after="0" w:line="262" w:lineRule="auto"/>
        <w:tabs>
          <w:tab w:leader="none" w:pos="2450" w:val="left"/>
        </w:tabs>
        <w:numPr>
          <w:ilvl w:val="1"/>
          <w:numId w:val="91"/>
        </w:numPr>
        <w:rPr>
          <w:rFonts w:ascii="Arial" w:cs="Arial" w:eastAsia="Arial" w:hAnsi="Arial"/>
          <w:sz w:val="21"/>
          <w:szCs w:val="21"/>
          <w:color w:val="010000"/>
        </w:rPr>
      </w:pPr>
      <w:r>
        <w:rPr>
          <w:rFonts w:ascii="Arial" w:cs="Arial" w:eastAsia="Arial" w:hAnsi="Arial"/>
          <w:sz w:val="21"/>
          <w:szCs w:val="21"/>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80" w:lineRule="exact"/>
        <w:rPr>
          <w:rFonts w:ascii="Arial" w:cs="Arial" w:eastAsia="Arial" w:hAnsi="Arial"/>
          <w:sz w:val="21"/>
          <w:szCs w:val="21"/>
          <w:color w:val="010000"/>
        </w:rPr>
      </w:pPr>
    </w:p>
    <w:p>
      <w:pPr>
        <w:jc w:val="both"/>
        <w:ind w:firstLine="1953"/>
        <w:spacing w:after="0" w:line="250" w:lineRule="auto"/>
        <w:tabs>
          <w:tab w:leader="none" w:pos="2443" w:val="left"/>
        </w:tabs>
        <w:numPr>
          <w:ilvl w:val="1"/>
          <w:numId w:val="91"/>
        </w:numPr>
        <w:rPr>
          <w:rFonts w:ascii="Arial" w:cs="Arial" w:eastAsia="Arial" w:hAnsi="Arial"/>
          <w:sz w:val="22"/>
          <w:szCs w:val="22"/>
          <w:color w:val="010000"/>
        </w:rPr>
      </w:pPr>
      <w:r>
        <w:rPr>
          <w:rFonts w:ascii="Arial" w:cs="Arial" w:eastAsia="Arial" w:hAnsi="Arial"/>
          <w:sz w:val="22"/>
          <w:szCs w:val="22"/>
          <w:color w:val="auto"/>
        </w:rPr>
        <w:t>a change in the composition of the Board occurring within a twelve (12)-month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8" w:lineRule="exact"/>
        <w:rPr>
          <w:rFonts w:ascii="Arial" w:cs="Arial" w:eastAsia="Arial" w:hAnsi="Arial"/>
          <w:sz w:val="22"/>
          <w:szCs w:val="22"/>
          <w:color w:val="010000"/>
        </w:rPr>
      </w:pPr>
    </w:p>
    <w:p>
      <w:pPr>
        <w:jc w:val="both"/>
        <w:ind w:firstLine="1953"/>
        <w:spacing w:after="0" w:line="297" w:lineRule="auto"/>
        <w:tabs>
          <w:tab w:leader="none" w:pos="2462" w:val="left"/>
        </w:tabs>
        <w:numPr>
          <w:ilvl w:val="1"/>
          <w:numId w:val="91"/>
        </w:numPr>
        <w:rPr>
          <w:rFonts w:ascii="Arial" w:cs="Arial" w:eastAsia="Arial" w:hAnsi="Arial"/>
          <w:sz w:val="19"/>
          <w:szCs w:val="19"/>
          <w:color w:val="010000"/>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46" w:lineRule="exact"/>
        <w:rPr>
          <w:rFonts w:ascii="Arial" w:cs="Arial" w:eastAsia="Arial" w:hAnsi="Arial"/>
          <w:sz w:val="19"/>
          <w:szCs w:val="19"/>
          <w:color w:val="010000"/>
        </w:rPr>
      </w:pPr>
    </w:p>
    <w:p>
      <w:pPr>
        <w:jc w:val="both"/>
        <w:ind w:firstLine="1953"/>
        <w:spacing w:after="0" w:line="250" w:lineRule="auto"/>
        <w:tabs>
          <w:tab w:leader="none" w:pos="2491" w:val="left"/>
        </w:tabs>
        <w:numPr>
          <w:ilvl w:val="1"/>
          <w:numId w:val="91"/>
        </w:numPr>
        <w:rPr>
          <w:rFonts w:ascii="Arial" w:cs="Arial" w:eastAsia="Arial" w:hAnsi="Arial"/>
          <w:sz w:val="22"/>
          <w:szCs w:val="22"/>
          <w:color w:val="010000"/>
        </w:rPr>
      </w:pPr>
      <w:r>
        <w:rPr>
          <w:rFonts w:ascii="Arial" w:cs="Arial" w:eastAsia="Arial" w:hAnsi="Arial"/>
          <w:sz w:val="22"/>
          <w:szCs w:val="22"/>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1" w:right="239" w:bottom="1440" w:gutter="0" w:footer="0" w:header="0"/>
        </w:sectPr>
      </w:pPr>
    </w:p>
    <w:bookmarkStart w:id="98" w:name="page99"/>
    <w:bookmarkEnd w:id="98"/>
    <w:p>
      <w:pPr>
        <w:jc w:val="both"/>
        <w:spacing w:after="0" w:line="259" w:lineRule="auto"/>
        <w:rPr>
          <w:sz w:val="20"/>
          <w:szCs w:val="20"/>
          <w:color w:val="auto"/>
        </w:rPr>
      </w:pPr>
      <w:r>
        <w:rPr>
          <w:rFonts w:ascii="Arial" w:cs="Arial" w:eastAsia="Arial" w:hAnsi="Arial"/>
          <w:sz w:val="21"/>
          <w:szCs w:val="21"/>
          <w:color w:val="auto"/>
        </w:rPr>
        <w:t>to an entity that is controlled by the Company’s stockholders immediately after the transfer; or (2) a transfer of assets by the Company to: (A) a stockholder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 Company, or the value of the assets being disposed of, determined without regard to any liabilities associated with such assets.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foregoing, a Company transaction that does not constitute a change in control event under Treasury Regulation 1.409A-3(i)(5)(v) or (vii) shall be not be considered a Change of Control.</w:t>
      </w:r>
    </w:p>
    <w:p>
      <w:pPr>
        <w:spacing w:after="0" w:line="175" w:lineRule="exact"/>
        <w:rPr>
          <w:sz w:val="20"/>
          <w:szCs w:val="20"/>
          <w:color w:val="auto"/>
        </w:rPr>
      </w:pPr>
    </w:p>
    <w:p>
      <w:pPr>
        <w:jc w:val="both"/>
        <w:ind w:firstLine="1305"/>
        <w:spacing w:after="0" w:line="248" w:lineRule="auto"/>
        <w:tabs>
          <w:tab w:leader="none" w:pos="1769" w:val="left"/>
        </w:tabs>
        <w:numPr>
          <w:ilvl w:val="0"/>
          <w:numId w:val="92"/>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“Disability”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1" w:lineRule="exact"/>
        <w:rPr>
          <w:rFonts w:ascii="Arial" w:cs="Arial" w:eastAsia="Arial" w:hAnsi="Arial"/>
          <w:sz w:val="22"/>
          <w:szCs w:val="22"/>
          <w:color w:val="010000"/>
        </w:rPr>
      </w:pPr>
    </w:p>
    <w:p>
      <w:pPr>
        <w:jc w:val="both"/>
        <w:ind w:firstLine="1305"/>
        <w:spacing w:after="0" w:line="287" w:lineRule="auto"/>
        <w:tabs>
          <w:tab w:leader="none" w:pos="1932" w:val="left"/>
        </w:tabs>
        <w:numPr>
          <w:ilvl w:val="0"/>
          <w:numId w:val="92"/>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1" w:right="239" w:bottom="1440" w:gutter="0" w:footer="0" w:header="0"/>
        </w:sectPr>
      </w:pPr>
    </w:p>
    <w:bookmarkStart w:id="99" w:name="page100"/>
    <w:bookmarkEnd w:id="99"/>
    <w:p>
      <w:pPr>
        <w:jc w:val="both"/>
        <w:spacing w:after="0" w:line="250" w:lineRule="auto"/>
        <w:rPr>
          <w:sz w:val="20"/>
          <w:szCs w:val="20"/>
          <w:color w:val="auto"/>
        </w:rPr>
      </w:pPr>
      <w:r>
        <w:rPr>
          <w:rFonts w:ascii="Arial" w:cs="Arial" w:eastAsia="Arial" w:hAnsi="Arial"/>
          <w:sz w:val="22"/>
          <w:szCs w:val="22"/>
          <w:color w:val="auto"/>
        </w:rPr>
        <w:t>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188" w:lineRule="exact"/>
        <w:rPr>
          <w:sz w:val="20"/>
          <w:szCs w:val="20"/>
          <w:color w:val="auto"/>
        </w:rPr>
      </w:pPr>
    </w:p>
    <w:p>
      <w:pPr>
        <w:ind w:left="1000" w:hanging="344"/>
        <w:spacing w:after="0"/>
        <w:tabs>
          <w:tab w:leader="none" w:pos="1000" w:val="left"/>
        </w:tabs>
        <w:numPr>
          <w:ilvl w:val="0"/>
          <w:numId w:val="93"/>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62" w:lineRule="auto"/>
        <w:tabs>
          <w:tab w:leader="none" w:pos="1892" w:val="left"/>
        </w:tabs>
        <w:numPr>
          <w:ilvl w:val="1"/>
          <w:numId w:val="93"/>
        </w:numPr>
        <w:rPr>
          <w:rFonts w:ascii="Arial" w:cs="Arial" w:eastAsia="Arial" w:hAnsi="Arial"/>
          <w:sz w:val="21"/>
          <w:szCs w:val="21"/>
          <w:color w:val="010000"/>
        </w:rPr>
      </w:pPr>
      <w:r>
        <w:rPr>
          <w:rFonts w:ascii="Arial" w:cs="Arial" w:eastAsia="Arial" w:hAnsi="Arial"/>
          <w:sz w:val="21"/>
          <w:szCs w:val="21"/>
          <w:u w:val="single" w:color="auto"/>
          <w:color w:val="auto"/>
        </w:rPr>
        <w:t>The 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pacing w:after="0" w:line="180" w:lineRule="exact"/>
        <w:rPr>
          <w:rFonts w:ascii="Arial" w:cs="Arial" w:eastAsia="Arial" w:hAnsi="Arial"/>
          <w:sz w:val="21"/>
          <w:szCs w:val="21"/>
          <w:color w:val="010000"/>
        </w:rPr>
      </w:pPr>
    </w:p>
    <w:p>
      <w:pPr>
        <w:jc w:val="both"/>
        <w:ind w:firstLine="1305"/>
        <w:spacing w:after="0" w:line="260" w:lineRule="auto"/>
        <w:tabs>
          <w:tab w:leader="none" w:pos="1796" w:val="left"/>
        </w:tabs>
        <w:numPr>
          <w:ilvl w:val="1"/>
          <w:numId w:val="93"/>
        </w:numPr>
        <w:rPr>
          <w:rFonts w:ascii="Arial" w:cs="Arial" w:eastAsia="Arial" w:hAnsi="Arial"/>
          <w:sz w:val="22"/>
          <w:szCs w:val="22"/>
          <w:color w:val="010000"/>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93"/>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300" w:lineRule="auto"/>
        <w:tabs>
          <w:tab w:leader="none" w:pos="1743" w:val="left"/>
        </w:tabs>
        <w:numPr>
          <w:ilvl w:val="1"/>
          <w:numId w:val="93"/>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47" w:lineRule="exact"/>
        <w:rPr>
          <w:rFonts w:ascii="Arial" w:cs="Arial" w:eastAsia="Arial" w:hAnsi="Arial"/>
          <w:sz w:val="19"/>
          <w:szCs w:val="19"/>
          <w:color w:val="010000"/>
        </w:rPr>
      </w:pPr>
    </w:p>
    <w:p>
      <w:pPr>
        <w:jc w:val="both"/>
        <w:ind w:firstLine="1305"/>
        <w:spacing w:after="0" w:line="248" w:lineRule="auto"/>
        <w:tabs>
          <w:tab w:leader="none" w:pos="1769" w:val="left"/>
        </w:tabs>
        <w:numPr>
          <w:ilvl w:val="1"/>
          <w:numId w:val="93"/>
        </w:numPr>
        <w:rPr>
          <w:rFonts w:ascii="Arial" w:cs="Arial" w:eastAsia="Arial" w:hAnsi="Arial"/>
          <w:sz w:val="22"/>
          <w:szCs w:val="22"/>
          <w:color w:val="010000"/>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1" w:lineRule="exact"/>
        <w:rPr>
          <w:rFonts w:ascii="Arial" w:cs="Arial" w:eastAsia="Arial" w:hAnsi="Arial"/>
          <w:sz w:val="22"/>
          <w:szCs w:val="22"/>
          <w:color w:val="010000"/>
        </w:rPr>
      </w:pPr>
    </w:p>
    <w:p>
      <w:pPr>
        <w:ind w:firstLine="656"/>
        <w:spacing w:after="0" w:line="276" w:lineRule="auto"/>
        <w:tabs>
          <w:tab w:leader="none" w:pos="1017" w:val="left"/>
        </w:tabs>
        <w:numPr>
          <w:ilvl w:val="0"/>
          <w:numId w:val="93"/>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have a term of five (5) years commencing on the Effective Date, which shall not be subject to renewal, unless a Change of Control occurs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31" w:right="239" w:bottom="1440" w:gutter="0" w:footer="0" w:header="0"/>
        </w:sectPr>
      </w:pPr>
    </w:p>
    <w:bookmarkStart w:id="100" w:name="page101"/>
    <w:bookmarkEnd w:id="100"/>
    <w:p>
      <w:pPr>
        <w:spacing w:after="0" w:line="263" w:lineRule="auto"/>
        <w:rPr>
          <w:sz w:val="20"/>
          <w:szCs w:val="20"/>
          <w:color w:val="auto"/>
        </w:rPr>
      </w:pPr>
      <w:r>
        <w:rPr>
          <w:rFonts w:ascii="Arial" w:cs="Arial" w:eastAsia="Arial" w:hAnsi="Arial"/>
          <w:sz w:val="22"/>
          <w:szCs w:val="22"/>
          <w:color w:val="auto"/>
        </w:rPr>
        <w:t>during such five (5)-year period, in which case this Agreement will continue until all payments and benefits, if any, have been made to Executive.</w:t>
      </w:r>
    </w:p>
    <w:p>
      <w:pPr>
        <w:spacing w:after="0" w:line="175" w:lineRule="exact"/>
        <w:rPr>
          <w:sz w:val="20"/>
          <w:szCs w:val="20"/>
          <w:color w:val="auto"/>
        </w:rPr>
      </w:pPr>
    </w:p>
    <w:p>
      <w:pPr>
        <w:ind w:left="1000" w:hanging="344"/>
        <w:spacing w:after="0"/>
        <w:tabs>
          <w:tab w:leader="none" w:pos="1000" w:val="left"/>
        </w:tabs>
        <w:numPr>
          <w:ilvl w:val="0"/>
          <w:numId w:val="94"/>
        </w:numPr>
        <w:rPr>
          <w:rFonts w:ascii="Arial" w:cs="Arial" w:eastAsia="Arial" w:hAnsi="Arial"/>
          <w:sz w:val="22"/>
          <w:szCs w:val="22"/>
          <w:color w:val="010000"/>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92" w:lineRule="auto"/>
        <w:tabs>
          <w:tab w:leader="none" w:pos="1946" w:val="left"/>
        </w:tabs>
        <w:numPr>
          <w:ilvl w:val="1"/>
          <w:numId w:val="94"/>
        </w:numPr>
        <w:rPr>
          <w:rFonts w:ascii="Arial" w:cs="Arial" w:eastAsia="Arial" w:hAnsi="Arial"/>
          <w:sz w:val="19"/>
          <w:szCs w:val="19"/>
          <w:color w:val="010000"/>
        </w:rPr>
      </w:pPr>
      <w:r>
        <w:rPr>
          <w:rFonts w:ascii="Arial" w:cs="Arial" w:eastAsia="Arial" w:hAnsi="Arial"/>
          <w:sz w:val="19"/>
          <w:szCs w:val="19"/>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 the American Arbitration Association (the “Rules”), except that each of Company and Executive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55" w:lineRule="exact"/>
        <w:rPr>
          <w:rFonts w:ascii="Arial" w:cs="Arial" w:eastAsia="Arial" w:hAnsi="Arial"/>
          <w:sz w:val="19"/>
          <w:szCs w:val="19"/>
          <w:color w:val="010000"/>
        </w:rPr>
      </w:pPr>
    </w:p>
    <w:p>
      <w:pPr>
        <w:jc w:val="both"/>
        <w:ind w:firstLine="1305"/>
        <w:spacing w:after="0" w:line="307" w:lineRule="auto"/>
        <w:tabs>
          <w:tab w:leader="none" w:pos="1756" w:val="left"/>
        </w:tabs>
        <w:numPr>
          <w:ilvl w:val="1"/>
          <w:numId w:val="94"/>
        </w:numPr>
        <w:rPr>
          <w:rFonts w:ascii="Arial" w:cs="Arial" w:eastAsia="Arial" w:hAnsi="Arial"/>
          <w:sz w:val="19"/>
          <w:szCs w:val="19"/>
          <w:color w:val="010000"/>
        </w:rPr>
      </w:pPr>
      <w:r>
        <w:rPr>
          <w:rFonts w:ascii="Arial" w:cs="Arial" w:eastAsia="Arial" w:hAnsi="Arial"/>
          <w:sz w:val="19"/>
          <w:szCs w:val="19"/>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Executive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38" w:lineRule="exact"/>
        <w:rPr>
          <w:rFonts w:ascii="Arial" w:cs="Arial" w:eastAsia="Arial" w:hAnsi="Arial"/>
          <w:sz w:val="19"/>
          <w:szCs w:val="19"/>
          <w:color w:val="010000"/>
        </w:rPr>
      </w:pPr>
    </w:p>
    <w:p>
      <w:pPr>
        <w:jc w:val="both"/>
        <w:ind w:firstLine="1305"/>
        <w:spacing w:after="0" w:line="261" w:lineRule="auto"/>
        <w:tabs>
          <w:tab w:leader="none" w:pos="1730" w:val="left"/>
        </w:tabs>
        <w:numPr>
          <w:ilvl w:val="1"/>
          <w:numId w:val="94"/>
        </w:numPr>
        <w:rPr>
          <w:rFonts w:ascii="Arial" w:cs="Arial" w:eastAsia="Arial" w:hAnsi="Arial"/>
          <w:sz w:val="21"/>
          <w:szCs w:val="21"/>
          <w:color w:val="010000"/>
        </w:rPr>
      </w:pPr>
      <w:r>
        <w:rPr>
          <w:rFonts w:ascii="Arial" w:cs="Arial" w:eastAsia="Arial" w:hAnsi="Arial"/>
          <w:sz w:val="21"/>
          <w:szCs w:val="21"/>
          <w:color w:val="auto"/>
        </w:rPr>
        <w:t xml:space="preserve">To the fullest extent permitted by law, Executive and the Company agree that no class or collective actions can be asserted in arbitration or otherwise. All claims, whether in arbitration or otherwise, must be brought solely in Executive’s or the Company’s individual capacity, and not as a plaintiff or class member in any purported class or collective proceeding. Nothing in this Section 9, however, restricts Executive’s right, if any, to file in court a representative action under applicable law, including California Labor Code Sections 2698, </w:t>
      </w:r>
      <w:r>
        <w:rPr>
          <w:rFonts w:ascii="Arial" w:cs="Arial" w:eastAsia="Arial" w:hAnsi="Arial"/>
          <w:sz w:val="21"/>
          <w:szCs w:val="21"/>
          <w:i w:val="1"/>
          <w:iCs w:val="1"/>
          <w:color w:val="auto"/>
        </w:rPr>
        <w:t>et seq.</w:t>
      </w:r>
      <w:r>
        <w:rPr>
          <w:rFonts w:ascii="Arial" w:cs="Arial" w:eastAsia="Arial" w:hAnsi="Arial"/>
          <w:sz w:val="21"/>
          <w:szCs w:val="21"/>
          <w:color w:val="auto"/>
        </w:rPr>
        <w:t xml:space="preserve"> Further, this Section 9 does not restrict Executive’s right to file administrative claims Executive may bring before any government agency where, as a matter of law, the parties may not restrict the Executive’s ability to file such claims (including, but not limited to, the National Labor Relations Board, the Equal Employment Opportunity Commission and the Department of Labor).</w:t>
      </w:r>
    </w:p>
    <w:p>
      <w:pPr>
        <w:spacing w:after="0" w:line="181" w:lineRule="exact"/>
        <w:rPr>
          <w:rFonts w:ascii="Arial" w:cs="Arial" w:eastAsia="Arial" w:hAnsi="Arial"/>
          <w:sz w:val="21"/>
          <w:szCs w:val="21"/>
          <w:color w:val="010000"/>
        </w:rPr>
      </w:pPr>
    </w:p>
    <w:p>
      <w:pPr>
        <w:ind w:firstLine="1305"/>
        <w:spacing w:after="0" w:line="276" w:lineRule="auto"/>
        <w:tabs>
          <w:tab w:leader="none" w:pos="1864" w:val="left"/>
        </w:tabs>
        <w:numPr>
          <w:ilvl w:val="1"/>
          <w:numId w:val="94"/>
        </w:numPr>
        <w:rPr>
          <w:rFonts w:ascii="Arial" w:cs="Arial" w:eastAsia="Arial" w:hAnsi="Arial"/>
          <w:sz w:val="22"/>
          <w:szCs w:val="22"/>
          <w:color w:val="010000"/>
        </w:rPr>
      </w:pPr>
      <w:r>
        <w:rPr>
          <w:rFonts w:ascii="Arial" w:cs="Arial" w:eastAsia="Arial" w:hAnsi="Arial"/>
          <w:sz w:val="22"/>
          <w:szCs w:val="22"/>
          <w:color w:val="auto"/>
        </w:rPr>
        <w:t>Executive understands that nothing in this Section modifies Executive’s at-will employment status. Either Executive or the Company can terminate the employment relationship at any time, with or without Cause.</w:t>
      </w:r>
    </w:p>
    <w:p>
      <w:pPr>
        <w:spacing w:after="0" w:line="160" w:lineRule="exact"/>
        <w:rPr>
          <w:rFonts w:ascii="Arial" w:cs="Arial" w:eastAsia="Arial" w:hAnsi="Arial"/>
          <w:sz w:val="22"/>
          <w:szCs w:val="22"/>
          <w:color w:val="010000"/>
        </w:rPr>
      </w:pPr>
    </w:p>
    <w:p>
      <w:pPr>
        <w:jc w:val="both"/>
        <w:ind w:firstLine="1305"/>
        <w:spacing w:after="0" w:line="250" w:lineRule="auto"/>
        <w:tabs>
          <w:tab w:leader="none" w:pos="1743" w:val="left"/>
        </w:tabs>
        <w:numPr>
          <w:ilvl w:val="1"/>
          <w:numId w:val="94"/>
        </w:numPr>
        <w:rPr>
          <w:rFonts w:ascii="Arial" w:cs="Arial" w:eastAsia="Arial" w:hAnsi="Arial"/>
          <w:sz w:val="22"/>
          <w:szCs w:val="22"/>
          <w:color w:val="010000"/>
        </w:rPr>
      </w:pPr>
      <w:r>
        <w:rPr>
          <w:rFonts w:ascii="Arial" w:cs="Arial" w:eastAsia="Arial" w:hAnsi="Arial"/>
          <w:sz w:val="22"/>
          <w:szCs w:val="22"/>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 TO THE RESOLUTION OF ALL DISPUTES RELATING TO ALL ASPECTS OF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31"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EMPLOYER/EMPLOYEE RELATIONSHIP, INCLUDING BUT NOT LIMITED TO, THE FOLLOWING CLAIMS:</w:t>
      </w:r>
    </w:p>
    <w:p>
      <w:pPr>
        <w:spacing w:after="0" w:line="220" w:lineRule="exact"/>
        <w:rPr>
          <w:sz w:val="20"/>
          <w:szCs w:val="20"/>
          <w:color w:val="auto"/>
        </w:rPr>
      </w:pPr>
    </w:p>
    <w:p>
      <w:pPr>
        <w:jc w:val="both"/>
        <w:ind w:firstLine="1953"/>
        <w:spacing w:after="0" w:line="251" w:lineRule="auto"/>
        <w:tabs>
          <w:tab w:leader="none" w:pos="2464"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9" w:lineRule="exact"/>
        <w:rPr>
          <w:rFonts w:ascii="Arial" w:cs="Arial" w:eastAsia="Arial" w:hAnsi="Arial"/>
          <w:sz w:val="22"/>
          <w:szCs w:val="22"/>
          <w:color w:val="010000"/>
        </w:rPr>
      </w:pPr>
    </w:p>
    <w:p>
      <w:pPr>
        <w:jc w:val="both"/>
        <w:ind w:firstLine="1953"/>
        <w:spacing w:after="0" w:line="251" w:lineRule="auto"/>
        <w:tabs>
          <w:tab w:leader="none" w:pos="2605"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 xml:space="preserve">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189" w:lineRule="exact"/>
        <w:rPr>
          <w:rFonts w:ascii="Arial" w:cs="Arial" w:eastAsia="Arial" w:hAnsi="Arial"/>
          <w:sz w:val="22"/>
          <w:szCs w:val="22"/>
          <w:color w:val="010000"/>
        </w:rPr>
      </w:pPr>
    </w:p>
    <w:p>
      <w:pPr>
        <w:ind w:firstLine="1953"/>
        <w:spacing w:after="0" w:line="276" w:lineRule="auto"/>
        <w:tabs>
          <w:tab w:leader="none" w:pos="2665"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ANY AND ALL CLAIMS ARISING OUT OF ANY OTHER LAWS AND REGULATIONS RELATING TO EMPLOYMENT OR EMPLOYMENT DISCRIMINATION (INCLUDING HARASSMENT).</w:t>
      </w:r>
    </w:p>
    <w:p>
      <w:pPr>
        <w:spacing w:after="0" w:line="160" w:lineRule="exact"/>
        <w:rPr>
          <w:rFonts w:ascii="Arial" w:cs="Arial" w:eastAsia="Arial" w:hAnsi="Arial"/>
          <w:sz w:val="22"/>
          <w:szCs w:val="22"/>
          <w:color w:val="010000"/>
        </w:rPr>
      </w:pPr>
    </w:p>
    <w:p>
      <w:pPr>
        <w:ind w:firstLine="1953"/>
        <w:spacing w:after="0" w:line="276" w:lineRule="auto"/>
        <w:tabs>
          <w:tab w:leader="none" w:pos="2437" w:val="left"/>
        </w:tabs>
        <w:numPr>
          <w:ilvl w:val="2"/>
          <w:numId w:val="95"/>
        </w:numPr>
        <w:rPr>
          <w:rFonts w:ascii="Arial" w:cs="Arial" w:eastAsia="Arial" w:hAnsi="Arial"/>
          <w:sz w:val="22"/>
          <w:szCs w:val="22"/>
          <w:color w:val="010000"/>
        </w:rPr>
      </w:pPr>
      <w:r>
        <w:rPr>
          <w:rFonts w:ascii="Arial" w:cs="Arial" w:eastAsia="Arial" w:hAnsi="Arial"/>
          <w:sz w:val="22"/>
          <w:szCs w:val="22"/>
          <w:color w:val="auto"/>
        </w:rPr>
        <w:t>If, for any reason, any term of this Section 9 is held to be invalid or unenforceable, all other valid terms and conditions herein shall be severable in nature, and remain fully enforceable.</w:t>
      </w:r>
    </w:p>
    <w:p>
      <w:pPr>
        <w:spacing w:after="0" w:line="160" w:lineRule="exact"/>
        <w:rPr>
          <w:rFonts w:ascii="Arial" w:cs="Arial" w:eastAsia="Arial" w:hAnsi="Arial"/>
          <w:sz w:val="22"/>
          <w:szCs w:val="22"/>
          <w:color w:val="010000"/>
        </w:rPr>
      </w:pPr>
    </w:p>
    <w:p>
      <w:pPr>
        <w:ind w:left="1100" w:hanging="444"/>
        <w:spacing w:after="0"/>
        <w:tabs>
          <w:tab w:leader="none" w:pos="1100" w:val="left"/>
        </w:tabs>
        <w:numPr>
          <w:ilvl w:val="0"/>
          <w:numId w:val="96"/>
        </w:numPr>
        <w:rPr>
          <w:rFonts w:ascii="Arial" w:cs="Arial" w:eastAsia="Arial" w:hAnsi="Arial"/>
          <w:sz w:val="22"/>
          <w:szCs w:val="22"/>
          <w:color w:val="010000"/>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0" w:firstLine="1305"/>
        <w:spacing w:after="0" w:line="358" w:lineRule="auto"/>
        <w:tabs>
          <w:tab w:leader="none" w:pos="1770" w:val="left"/>
        </w:tabs>
        <w:numPr>
          <w:ilvl w:val="1"/>
          <w:numId w:val="96"/>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90" w:lineRule="exact"/>
        <w:rPr>
          <w:rFonts w:ascii="Arial" w:cs="Arial" w:eastAsia="Arial" w:hAnsi="Arial"/>
          <w:sz w:val="19"/>
          <w:szCs w:val="19"/>
          <w:color w:val="010000"/>
        </w:rPr>
      </w:pPr>
    </w:p>
    <w:p>
      <w:pPr>
        <w:jc w:val="both"/>
        <w:ind w:firstLine="1305"/>
        <w:spacing w:after="0" w:line="307" w:lineRule="auto"/>
        <w:tabs>
          <w:tab w:leader="none" w:pos="1728" w:val="left"/>
        </w:tabs>
        <w:numPr>
          <w:ilvl w:val="1"/>
          <w:numId w:val="96"/>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38" w:lineRule="exact"/>
        <w:rPr>
          <w:rFonts w:ascii="Arial" w:cs="Arial" w:eastAsia="Arial" w:hAnsi="Arial"/>
          <w:sz w:val="19"/>
          <w:szCs w:val="19"/>
          <w:color w:val="010000"/>
        </w:rPr>
      </w:pPr>
    </w:p>
    <w:p>
      <w:pPr>
        <w:ind w:firstLine="1305"/>
        <w:spacing w:after="0" w:line="276" w:lineRule="auto"/>
        <w:tabs>
          <w:tab w:leader="none" w:pos="1757" w:val="left"/>
        </w:tabs>
        <w:numPr>
          <w:ilvl w:val="1"/>
          <w:numId w:val="96"/>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010000"/>
        </w:rPr>
      </w:pPr>
    </w:p>
    <w:p>
      <w:pPr>
        <w:jc w:val="both"/>
        <w:ind w:firstLine="1305"/>
        <w:spacing w:after="0" w:line="320" w:lineRule="auto"/>
        <w:tabs>
          <w:tab w:leader="none" w:pos="1810" w:val="left"/>
        </w:tabs>
        <w:numPr>
          <w:ilvl w:val="1"/>
          <w:numId w:val="96"/>
        </w:numPr>
        <w:rPr>
          <w:rFonts w:ascii="Arial" w:cs="Arial" w:eastAsia="Arial" w:hAnsi="Arial"/>
          <w:sz w:val="19"/>
          <w:szCs w:val="19"/>
          <w:color w:val="010000"/>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hereto with respect to the subject matter described herein, and supersedes the Prior Agreement in its entirety. Executive acknowledges and agrees that this Agreement encompasses all the rights of Executive to any acceleration of Award vesting or severance pay based on termination 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31" w:right="239" w:bottom="1440" w:gutter="0" w:footer="0" w:header="0"/>
        </w:sectPr>
      </w:pPr>
    </w:p>
    <w:bookmarkStart w:id="102" w:name="page103"/>
    <w:bookmarkEnd w:id="102"/>
    <w:p>
      <w:pPr>
        <w:jc w:val="both"/>
        <w:spacing w:after="0" w:line="253" w:lineRule="auto"/>
        <w:rPr>
          <w:sz w:val="20"/>
          <w:szCs w:val="20"/>
          <w:color w:val="auto"/>
        </w:rPr>
      </w:pPr>
      <w:r>
        <w:rPr>
          <w:rFonts w:ascii="Arial" w:cs="Arial" w:eastAsia="Arial" w:hAnsi="Arial"/>
          <w:sz w:val="22"/>
          <w:szCs w:val="22"/>
          <w:color w:val="auto"/>
        </w:rPr>
        <w:t>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86" w:lineRule="exact"/>
        <w:rPr>
          <w:sz w:val="20"/>
          <w:szCs w:val="20"/>
          <w:color w:val="auto"/>
        </w:rPr>
      </w:pPr>
    </w:p>
    <w:p>
      <w:pPr>
        <w:ind w:right="20" w:firstLine="1305"/>
        <w:spacing w:after="0" w:line="276" w:lineRule="auto"/>
        <w:tabs>
          <w:tab w:leader="none" w:pos="1757" w:val="left"/>
        </w:tabs>
        <w:numPr>
          <w:ilvl w:val="0"/>
          <w:numId w:val="97"/>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will be governed by the laws of the State of California (with the exception of its conflict of laws provisions).</w:t>
      </w:r>
    </w:p>
    <w:p>
      <w:pPr>
        <w:spacing w:after="0" w:line="160" w:lineRule="exact"/>
        <w:rPr>
          <w:rFonts w:ascii="Arial" w:cs="Arial" w:eastAsia="Arial" w:hAnsi="Arial"/>
          <w:sz w:val="22"/>
          <w:szCs w:val="22"/>
          <w:color w:val="010000"/>
        </w:rPr>
      </w:pPr>
    </w:p>
    <w:p>
      <w:pPr>
        <w:ind w:firstLine="1305"/>
        <w:spacing w:after="0" w:line="276" w:lineRule="auto"/>
        <w:tabs>
          <w:tab w:leader="none" w:pos="1706" w:val="left"/>
        </w:tabs>
        <w:numPr>
          <w:ilvl w:val="0"/>
          <w:numId w:val="97"/>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60" w:lineRule="exact"/>
        <w:rPr>
          <w:rFonts w:ascii="Arial" w:cs="Arial" w:eastAsia="Arial" w:hAnsi="Arial"/>
          <w:sz w:val="22"/>
          <w:szCs w:val="22"/>
          <w:color w:val="010000"/>
        </w:rPr>
      </w:pPr>
    </w:p>
    <w:p>
      <w:pPr>
        <w:ind w:firstLine="1305"/>
        <w:spacing w:after="0" w:line="276" w:lineRule="auto"/>
        <w:tabs>
          <w:tab w:leader="none" w:pos="1850" w:val="left"/>
        </w:tabs>
        <w:numPr>
          <w:ilvl w:val="0"/>
          <w:numId w:val="97"/>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and employment taxes.</w:t>
      </w:r>
    </w:p>
    <w:p>
      <w:pPr>
        <w:spacing w:after="0" w:line="160" w:lineRule="exact"/>
        <w:rPr>
          <w:rFonts w:ascii="Arial" w:cs="Arial" w:eastAsia="Arial" w:hAnsi="Arial"/>
          <w:sz w:val="22"/>
          <w:szCs w:val="22"/>
          <w:color w:val="010000"/>
        </w:rPr>
      </w:pPr>
    </w:p>
    <w:p>
      <w:pPr>
        <w:ind w:firstLine="1305"/>
        <w:spacing w:after="0" w:line="276" w:lineRule="auto"/>
        <w:tabs>
          <w:tab w:leader="none" w:pos="1756" w:val="left"/>
        </w:tabs>
        <w:numPr>
          <w:ilvl w:val="0"/>
          <w:numId w:val="97"/>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31" w:right="239" w:bottom="1440" w:gutter="0" w:footer="0" w:header="0"/>
        </w:sectPr>
      </w:pPr>
    </w:p>
    <w:bookmarkStart w:id="103" w:name="page104"/>
    <w:bookmarkEnd w:id="103"/>
    <w:p>
      <w:pPr>
        <w:ind w:firstLine="648"/>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17" w:lineRule="exact"/>
        <w:rPr>
          <w:sz w:val="20"/>
          <w:szCs w:val="20"/>
          <w:color w:val="auto"/>
        </w:rPr>
      </w:pPr>
    </w:p>
    <w:tbl>
      <w:tblPr>
        <w:tblLayout w:type="fixed"/>
        <w:tblInd w:w="480" w:type="dxa"/>
        <w:tblCellMar>
          <w:top w:w="0" w:type="dxa"/>
          <w:left w:w="0" w:type="dxa"/>
          <w:bottom w:w="0" w:type="dxa"/>
          <w:right w:w="0" w:type="dxa"/>
        </w:tblCellMar>
      </w:tblPr>
      <w:tr>
        <w:trPr>
          <w:trHeight w:val="281"/>
        </w:trPr>
        <w:tc>
          <w:tcPr>
            <w:tcW w:w="302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4120" w:type="dxa"/>
            <w:vAlign w:val="bottom"/>
          </w:tcPr>
          <w:p>
            <w:pPr>
              <w:ind w:left="1720"/>
              <w:spacing w:after="0"/>
              <w:rPr>
                <w:sz w:val="20"/>
                <w:szCs w:val="20"/>
                <w:color w:val="auto"/>
              </w:rPr>
            </w:pPr>
            <w:r>
              <w:rPr>
                <w:rFonts w:ascii="Arial" w:cs="Arial" w:eastAsia="Arial" w:hAnsi="Arial"/>
                <w:sz w:val="22"/>
                <w:szCs w:val="22"/>
                <w:b w:val="1"/>
                <w:bCs w:val="1"/>
                <w:color w:val="auto"/>
              </w:rPr>
              <w:t>FORTINET, INC.</w:t>
            </w:r>
          </w:p>
        </w:tc>
        <w:tc>
          <w:tcPr>
            <w:tcW w:w="3360" w:type="dxa"/>
            <w:vAlign w:val="bottom"/>
          </w:tcPr>
          <w:p>
            <w:pPr>
              <w:spacing w:after="0"/>
              <w:rPr>
                <w:sz w:val="24"/>
                <w:szCs w:val="24"/>
                <w:color w:val="auto"/>
              </w:rPr>
            </w:pPr>
          </w:p>
        </w:tc>
      </w:tr>
      <w:tr>
        <w:trPr>
          <w:trHeight w:val="956"/>
        </w:trPr>
        <w:tc>
          <w:tcPr>
            <w:tcW w:w="3020" w:type="dxa"/>
            <w:vAlign w:val="bottom"/>
          </w:tcPr>
          <w:p>
            <w:pPr>
              <w:spacing w:after="0"/>
              <w:rPr>
                <w:sz w:val="24"/>
                <w:szCs w:val="24"/>
                <w:color w:val="auto"/>
              </w:rPr>
            </w:pPr>
          </w:p>
        </w:tc>
        <w:tc>
          <w:tcPr>
            <w:tcW w:w="4120" w:type="dxa"/>
            <w:vAlign w:val="bottom"/>
          </w:tcPr>
          <w:p>
            <w:pPr>
              <w:ind w:left="1720"/>
              <w:spacing w:after="0"/>
              <w:rPr>
                <w:sz w:val="20"/>
                <w:szCs w:val="20"/>
                <w:color w:val="auto"/>
              </w:rPr>
            </w:pPr>
            <w:r>
              <w:rPr>
                <w:rFonts w:ascii="Arial" w:cs="Arial" w:eastAsia="Arial" w:hAnsi="Arial"/>
                <w:sz w:val="22"/>
                <w:szCs w:val="22"/>
                <w:color w:val="auto"/>
              </w:rPr>
              <w:t>By:</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Whittle</w:t>
            </w:r>
          </w:p>
        </w:tc>
      </w:tr>
      <w:tr>
        <w:trPr>
          <w:trHeight w:val="280"/>
        </w:trPr>
        <w:tc>
          <w:tcPr>
            <w:tcW w:w="3020" w:type="dxa"/>
            <w:vAlign w:val="bottom"/>
          </w:tcPr>
          <w:p>
            <w:pPr>
              <w:spacing w:after="0"/>
              <w:rPr>
                <w:sz w:val="24"/>
                <w:szCs w:val="24"/>
                <w:color w:val="auto"/>
              </w:rPr>
            </w:pPr>
          </w:p>
        </w:tc>
        <w:tc>
          <w:tcPr>
            <w:tcW w:w="4120" w:type="dxa"/>
            <w:vAlign w:val="bottom"/>
          </w:tcPr>
          <w:p>
            <w:pPr>
              <w:ind w:left="1720"/>
              <w:spacing w:after="0"/>
              <w:rPr>
                <w:sz w:val="20"/>
                <w:szCs w:val="20"/>
                <w:color w:val="auto"/>
              </w:rPr>
            </w:pPr>
            <w:r>
              <w:rPr>
                <w:rFonts w:ascii="Arial" w:cs="Arial" w:eastAsia="Arial" w:hAnsi="Arial"/>
                <w:sz w:val="22"/>
                <w:szCs w:val="22"/>
                <w:color w:val="auto"/>
              </w:rPr>
              <w:t>Name:</w:t>
            </w:r>
          </w:p>
        </w:tc>
        <w:tc>
          <w:tcPr>
            <w:tcW w:w="3360" w:type="dxa"/>
            <w:vAlign w:val="bottom"/>
          </w:tcPr>
          <w:p>
            <w:pPr>
              <w:ind w:left="20"/>
              <w:spacing w:after="0"/>
              <w:rPr>
                <w:sz w:val="20"/>
                <w:szCs w:val="20"/>
                <w:color w:val="auto"/>
              </w:rPr>
            </w:pPr>
            <w:r>
              <w:rPr>
                <w:rFonts w:ascii="Arial" w:cs="Arial" w:eastAsia="Arial" w:hAnsi="Arial"/>
                <w:sz w:val="22"/>
                <w:szCs w:val="22"/>
                <w:color w:val="auto"/>
              </w:rPr>
              <w:t>John Whittle</w:t>
            </w:r>
          </w:p>
        </w:tc>
      </w:tr>
      <w:tr>
        <w:trPr>
          <w:trHeight w:val="603"/>
        </w:trPr>
        <w:tc>
          <w:tcPr>
            <w:tcW w:w="3020" w:type="dxa"/>
            <w:vAlign w:val="bottom"/>
          </w:tcPr>
          <w:p>
            <w:pPr>
              <w:spacing w:after="0"/>
              <w:rPr>
                <w:sz w:val="24"/>
                <w:szCs w:val="24"/>
                <w:color w:val="auto"/>
              </w:rPr>
            </w:pPr>
          </w:p>
        </w:tc>
        <w:tc>
          <w:tcPr>
            <w:tcW w:w="4120" w:type="dxa"/>
            <w:vAlign w:val="bottom"/>
          </w:tcPr>
          <w:p>
            <w:pPr>
              <w:ind w:left="1720"/>
              <w:spacing w:after="0"/>
              <w:rPr>
                <w:sz w:val="20"/>
                <w:szCs w:val="20"/>
                <w:color w:val="auto"/>
              </w:rPr>
            </w:pPr>
            <w:r>
              <w:rPr>
                <w:rFonts w:ascii="Arial" w:cs="Arial" w:eastAsia="Arial" w:hAnsi="Arial"/>
                <w:sz w:val="22"/>
                <w:szCs w:val="22"/>
                <w:color w:val="auto"/>
              </w:rPr>
              <w:t>Title:</w:t>
            </w:r>
          </w:p>
        </w:tc>
        <w:tc>
          <w:tcPr>
            <w:tcW w:w="3360" w:type="dxa"/>
            <w:vAlign w:val="bottom"/>
          </w:tcPr>
          <w:p>
            <w:pPr>
              <w:ind w:left="20"/>
              <w:spacing w:after="0"/>
              <w:rPr>
                <w:sz w:val="20"/>
                <w:szCs w:val="20"/>
                <w:color w:val="auto"/>
              </w:rPr>
            </w:pPr>
            <w:r>
              <w:rPr>
                <w:rFonts w:ascii="Arial" w:cs="Arial" w:eastAsia="Arial" w:hAnsi="Arial"/>
                <w:sz w:val="22"/>
                <w:szCs w:val="22"/>
                <w:color w:val="auto"/>
                <w:w w:val="99"/>
              </w:rPr>
              <w:t>Executive Vice President, General</w:t>
            </w:r>
          </w:p>
        </w:tc>
      </w:tr>
      <w:tr>
        <w:trPr>
          <w:trHeight w:val="275"/>
        </w:trPr>
        <w:tc>
          <w:tcPr>
            <w:tcW w:w="30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3360" w:type="dxa"/>
            <w:vAlign w:val="bottom"/>
          </w:tcPr>
          <w:p>
            <w:pPr>
              <w:ind w:left="20"/>
              <w:spacing w:after="0"/>
              <w:rPr>
                <w:sz w:val="20"/>
                <w:szCs w:val="20"/>
                <w:color w:val="auto"/>
              </w:rPr>
            </w:pPr>
            <w:r>
              <w:rPr>
                <w:rFonts w:ascii="Arial" w:cs="Arial" w:eastAsia="Arial" w:hAnsi="Arial"/>
                <w:sz w:val="22"/>
                <w:szCs w:val="22"/>
                <w:color w:val="auto"/>
              </w:rPr>
              <w:t>Counsel and Corporate Secretary</w:t>
            </w:r>
          </w:p>
        </w:tc>
      </w:tr>
      <w:tr>
        <w:trPr>
          <w:trHeight w:val="848"/>
        </w:trPr>
        <w:tc>
          <w:tcPr>
            <w:tcW w:w="302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4120" w:type="dxa"/>
            <w:vAlign w:val="bottom"/>
          </w:tcPr>
          <w:p>
            <w:pPr>
              <w:ind w:left="1720"/>
              <w:spacing w:after="0"/>
              <w:rPr>
                <w:sz w:val="20"/>
                <w:szCs w:val="20"/>
                <w:color w:val="auto"/>
              </w:rPr>
            </w:pPr>
            <w:r>
              <w:rPr>
                <w:rFonts w:ascii="Arial" w:cs="Arial" w:eastAsia="Arial" w:hAnsi="Arial"/>
                <w:sz w:val="22"/>
                <w:szCs w:val="22"/>
                <w:color w:val="auto"/>
              </w:rPr>
              <w:t>By:</w:t>
            </w:r>
          </w:p>
        </w:tc>
        <w:tc>
          <w:tcPr>
            <w:tcW w:w="33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 Xie</w:t>
            </w:r>
          </w:p>
        </w:tc>
      </w:tr>
      <w:tr>
        <w:trPr>
          <w:trHeight w:val="280"/>
        </w:trPr>
        <w:tc>
          <w:tcPr>
            <w:tcW w:w="3020" w:type="dxa"/>
            <w:vAlign w:val="bottom"/>
          </w:tcPr>
          <w:p>
            <w:pPr>
              <w:spacing w:after="0"/>
              <w:rPr>
                <w:sz w:val="24"/>
                <w:szCs w:val="24"/>
                <w:color w:val="auto"/>
              </w:rPr>
            </w:pPr>
          </w:p>
        </w:tc>
        <w:tc>
          <w:tcPr>
            <w:tcW w:w="4120" w:type="dxa"/>
            <w:vAlign w:val="bottom"/>
          </w:tcPr>
          <w:p>
            <w:pPr>
              <w:ind w:left="1720"/>
              <w:spacing w:after="0"/>
              <w:rPr>
                <w:sz w:val="20"/>
                <w:szCs w:val="20"/>
                <w:color w:val="auto"/>
              </w:rPr>
            </w:pPr>
            <w:r>
              <w:rPr>
                <w:rFonts w:ascii="Arial" w:cs="Arial" w:eastAsia="Arial" w:hAnsi="Arial"/>
                <w:sz w:val="22"/>
                <w:szCs w:val="22"/>
                <w:color w:val="auto"/>
              </w:rPr>
              <w:t>Name:</w:t>
            </w:r>
          </w:p>
        </w:tc>
        <w:tc>
          <w:tcPr>
            <w:tcW w:w="3360" w:type="dxa"/>
            <w:vAlign w:val="bottom"/>
          </w:tcPr>
          <w:p>
            <w:pPr>
              <w:ind w:left="20"/>
              <w:spacing w:after="0"/>
              <w:rPr>
                <w:sz w:val="20"/>
                <w:szCs w:val="20"/>
                <w:color w:val="auto"/>
              </w:rPr>
            </w:pPr>
            <w:r>
              <w:rPr>
                <w:rFonts w:ascii="Arial" w:cs="Arial" w:eastAsia="Arial" w:hAnsi="Arial"/>
                <w:sz w:val="22"/>
                <w:szCs w:val="22"/>
                <w:color w:val="auto"/>
              </w:rPr>
              <w:t>Ken Xie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88"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10.3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Amended and Restated Change of Control Severance Agreement (the “Agreement”) is made and entered into by and between Michael Xie (“Executive”) and Fortinet, Inc. (the “Company”), effective as of August 7, 2019 (the “Effective Date”) and supersedes the Amended and Restated Change of Control Severance Agreement, between Executive and the Company (the “Prior Agreement”), effective as of February 4, 2016.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47" w:lineRule="auto"/>
        <w:tabs>
          <w:tab w:leader="none" w:pos="1038" w:val="left"/>
        </w:tabs>
        <w:numPr>
          <w:ilvl w:val="0"/>
          <w:numId w:val="98"/>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93" w:lineRule="exact"/>
        <w:rPr>
          <w:rFonts w:ascii="Arial" w:cs="Arial" w:eastAsia="Arial" w:hAnsi="Arial"/>
          <w:sz w:val="22"/>
          <w:szCs w:val="22"/>
          <w:color w:val="auto"/>
        </w:rPr>
      </w:pPr>
    </w:p>
    <w:p>
      <w:pPr>
        <w:jc w:val="both"/>
        <w:ind w:firstLine="656"/>
        <w:spacing w:after="0" w:line="253" w:lineRule="auto"/>
        <w:tabs>
          <w:tab w:leader="none" w:pos="1101"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01"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firstLine="656"/>
        <w:spacing w:after="0" w:line="253" w:lineRule="auto"/>
        <w:tabs>
          <w:tab w:leader="none" w:pos="1459" w:val="left"/>
        </w:tabs>
        <w:numPr>
          <w:ilvl w:val="0"/>
          <w:numId w:val="99"/>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85" w:lineRule="exact"/>
        <w:rPr>
          <w:rFonts w:ascii="Arial" w:cs="Arial" w:eastAsia="Arial" w:hAnsi="Arial"/>
          <w:sz w:val="22"/>
          <w:szCs w:val="22"/>
          <w:color w:val="010000"/>
        </w:rPr>
      </w:pPr>
    </w:p>
    <w:p>
      <w:pPr>
        <w:jc w:val="both"/>
        <w:ind w:firstLine="656"/>
        <w:spacing w:after="0" w:line="248" w:lineRule="auto"/>
        <w:tabs>
          <w:tab w:leader="none" w:pos="1459"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will continue to be at-will, as defined under applicable law. If Executive’s employment terminates for any reason, including (without limitation) any termination prior to or twelve (12) months following a Change of Control, Executive will not be entitled to any acceleration of any Award (as defined herein) vesting or severance pay based on termination of employment other than as provided by this Agreement.</w:t>
      </w:r>
    </w:p>
    <w:p>
      <w:pPr>
        <w:sectPr>
          <w:pgSz w:w="11900" w:h="16838" w:orient="portrait"/>
          <w:cols w:equalWidth="0" w:num="1">
            <w:col w:w="11420"/>
          </w:cols>
          <w:pgMar w:left="240" w:top="841" w:right="239" w:bottom="1440" w:gutter="0" w:footer="0" w:header="0"/>
        </w:sectPr>
      </w:pPr>
    </w:p>
    <w:bookmarkStart w:id="105" w:name="page106"/>
    <w:bookmarkEnd w:id="105"/>
    <w:p>
      <w:pPr>
        <w:ind w:left="1460" w:hanging="804"/>
        <w:spacing w:after="0"/>
        <w:tabs>
          <w:tab w:leader="none" w:pos="1460"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300" w:lineRule="auto"/>
        <w:tabs>
          <w:tab w:leader="none" w:pos="1757" w:val="left"/>
        </w:tabs>
        <w:numPr>
          <w:ilvl w:val="2"/>
          <w:numId w:val="100"/>
        </w:numPr>
        <w:rPr>
          <w:rFonts w:ascii="Arial" w:cs="Arial" w:eastAsia="Arial" w:hAnsi="Arial"/>
          <w:sz w:val="19"/>
          <w:szCs w:val="19"/>
          <w:color w:val="010000"/>
        </w:rPr>
      </w:pPr>
      <w:r>
        <w:rPr>
          <w:rFonts w:ascii="Arial" w:cs="Arial" w:eastAsia="Arial" w:hAnsi="Arial"/>
          <w:sz w:val="19"/>
          <w:szCs w:val="19"/>
          <w:u w:val="single" w:color="auto"/>
          <w:color w:val="auto"/>
        </w:rPr>
        <w:t>Involuntary Termination Prior to, or Absent, a Change of Control or After 12 Months Following a Change of Control</w:t>
      </w:r>
      <w:r>
        <w:rPr>
          <w:rFonts w:ascii="Arial" w:cs="Arial" w:eastAsia="Arial" w:hAnsi="Arial"/>
          <w:sz w:val="19"/>
          <w:szCs w:val="19"/>
          <w:color w:val="auto"/>
        </w:rPr>
        <w:t>. If prior to, or absent, a Change of Control or after twelve (12) months following a Change of Control, (i) the Company (or any parent or subsidiary of the Company) terminates Executive’s employment without Cause (as defined herein) or (ii) Executive terminates Executive’s employment with the Company (or any parent or subsidiary of the Company) for Good Reason (as defined herein), then, subject to Sections 3(c) and (d) below, Executive will receive the following severance from the Company:</w:t>
      </w:r>
    </w:p>
    <w:p>
      <w:pPr>
        <w:spacing w:after="0" w:line="147" w:lineRule="exact"/>
        <w:rPr>
          <w:rFonts w:ascii="Arial" w:cs="Arial" w:eastAsia="Arial" w:hAnsi="Arial"/>
          <w:sz w:val="19"/>
          <w:szCs w:val="19"/>
          <w:color w:val="010000"/>
        </w:rPr>
      </w:pPr>
    </w:p>
    <w:p>
      <w:pPr>
        <w:ind w:left="2340" w:hanging="387"/>
        <w:spacing w:after="0"/>
        <w:tabs>
          <w:tab w:leader="none" w:pos="2340" w:val="left"/>
        </w:tabs>
        <w:numPr>
          <w:ilvl w:val="3"/>
          <w:numId w:val="100"/>
        </w:numPr>
        <w:rPr>
          <w:rFonts w:ascii="Arial" w:cs="Arial" w:eastAsia="Arial" w:hAnsi="Arial"/>
          <w:sz w:val="19"/>
          <w:szCs w:val="19"/>
          <w:color w:val="010000"/>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Executive will receive continuing payments of severance pay for a period of twelve</w:t>
      </w:r>
    </w:p>
    <w:p>
      <w:pPr>
        <w:spacing w:after="0" w:line="56" w:lineRule="exact"/>
        <w:rPr>
          <w:rFonts w:ascii="Arial" w:cs="Arial" w:eastAsia="Arial" w:hAnsi="Arial"/>
          <w:sz w:val="19"/>
          <w:szCs w:val="19"/>
          <w:color w:val="010000"/>
        </w:rPr>
      </w:pPr>
    </w:p>
    <w:p>
      <w:pPr>
        <w:ind w:firstLine="8"/>
        <w:spacing w:after="0" w:line="259" w:lineRule="auto"/>
        <w:tabs>
          <w:tab w:leader="none" w:pos="43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months from the date of such termination equal to Executive’s base salary rate as in effect immediately prior to Executive’s termination.</w:t>
      </w:r>
    </w:p>
    <w:p>
      <w:pPr>
        <w:spacing w:after="0" w:line="178" w:lineRule="exact"/>
        <w:rPr>
          <w:rFonts w:ascii="Arial" w:cs="Arial" w:eastAsia="Arial" w:hAnsi="Arial"/>
          <w:sz w:val="22"/>
          <w:szCs w:val="22"/>
          <w:color w:val="auto"/>
        </w:rPr>
      </w:pPr>
    </w:p>
    <w:p>
      <w:pPr>
        <w:jc w:val="both"/>
        <w:ind w:firstLine="1953"/>
        <w:spacing w:after="0" w:line="251" w:lineRule="auto"/>
        <w:tabs>
          <w:tab w:leader="none" w:pos="2537" w:val="left"/>
        </w:tabs>
        <w:numPr>
          <w:ilvl w:val="3"/>
          <w:numId w:val="101"/>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If Executive holds unvested equity awards (“Awards”) at the time of Executive’s termination, then the unvested portion of such Awards that would have otherwise vested over a twelve (12) month period following such termination pursuant to the vesting schedule set forth in the award agreement will immediately vest as of Executive’s termination date. The Awards will remain exercisable following the termination for the period prescribed in the respective stock plan and agreement for each award.</w:t>
      </w:r>
    </w:p>
    <w:p>
      <w:pPr>
        <w:spacing w:after="0" w:line="189" w:lineRule="exact"/>
        <w:rPr>
          <w:rFonts w:ascii="Arial" w:cs="Arial" w:eastAsia="Arial" w:hAnsi="Arial"/>
          <w:sz w:val="22"/>
          <w:szCs w:val="22"/>
          <w:color w:val="010000"/>
        </w:rPr>
      </w:pPr>
    </w:p>
    <w:p>
      <w:pPr>
        <w:ind w:left="2520" w:hanging="567"/>
        <w:spacing w:after="0"/>
        <w:tabs>
          <w:tab w:leader="none" w:pos="2520" w:val="left"/>
        </w:tabs>
        <w:numPr>
          <w:ilvl w:val="3"/>
          <w:numId w:val="101"/>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w:t>
      </w:r>
    </w:p>
    <w:p>
      <w:pPr>
        <w:spacing w:after="0" w:line="56" w:lineRule="exact"/>
        <w:rPr>
          <w:rFonts w:ascii="Arial" w:cs="Arial" w:eastAsia="Arial" w:hAnsi="Arial"/>
          <w:sz w:val="19"/>
          <w:szCs w:val="19"/>
          <w:color w:val="010000"/>
        </w:rPr>
      </w:pPr>
    </w:p>
    <w:p>
      <w:pPr>
        <w:ind w:left="420" w:hanging="412"/>
        <w:spacing w:after="0"/>
        <w:tabs>
          <w:tab w:leader="none" w:pos="420" w:val="left"/>
        </w:tabs>
        <w:numPr>
          <w:ilvl w:val="0"/>
          <w:numId w:val="102"/>
        </w:numPr>
        <w:rPr>
          <w:rFonts w:ascii="Arial" w:cs="Arial" w:eastAsia="Arial" w:hAnsi="Arial"/>
          <w:sz w:val="21"/>
          <w:szCs w:val="21"/>
          <w:color w:val="auto"/>
        </w:rPr>
      </w:pPr>
      <w:r>
        <w:rPr>
          <w:rFonts w:ascii="Arial" w:cs="Arial" w:eastAsia="Arial" w:hAnsi="Arial"/>
          <w:sz w:val="21"/>
          <w:szCs w:val="21"/>
          <w:color w:val="auto"/>
        </w:rPr>
        <w:t>months for Executive and Executive’s eligible dependents under the Company’s Benefit Plans (as defined herein).</w:t>
      </w:r>
    </w:p>
    <w:p>
      <w:pPr>
        <w:spacing w:after="0" w:line="226" w:lineRule="exact"/>
        <w:rPr>
          <w:rFonts w:ascii="Arial" w:cs="Arial" w:eastAsia="Arial" w:hAnsi="Arial"/>
          <w:sz w:val="21"/>
          <w:szCs w:val="21"/>
          <w:color w:val="auto"/>
        </w:rPr>
      </w:pPr>
    </w:p>
    <w:p>
      <w:pPr>
        <w:jc w:val="both"/>
        <w:ind w:firstLine="1305"/>
        <w:spacing w:after="0" w:line="251" w:lineRule="auto"/>
        <w:tabs>
          <w:tab w:leader="none" w:pos="1864" w:val="left"/>
        </w:tabs>
        <w:numPr>
          <w:ilvl w:val="2"/>
          <w:numId w:val="102"/>
        </w:numPr>
        <w:rPr>
          <w:rFonts w:ascii="Arial" w:cs="Arial" w:eastAsia="Arial" w:hAnsi="Arial"/>
          <w:sz w:val="22"/>
          <w:szCs w:val="22"/>
          <w:color w:val="010000"/>
        </w:rPr>
      </w:pPr>
      <w:r>
        <w:rPr>
          <w:rFonts w:ascii="Arial" w:cs="Arial" w:eastAsia="Arial" w:hAnsi="Arial"/>
          <w:sz w:val="22"/>
          <w:szCs w:val="22"/>
          <w:u w:val="single" w:color="auto"/>
          <w:color w:val="auto"/>
        </w:rPr>
        <w:t>Involuntary Termination within 12 Months Following a Change of Control</w:t>
      </w:r>
      <w:r>
        <w:rPr>
          <w:rFonts w:ascii="Arial" w:cs="Arial" w:eastAsia="Arial" w:hAnsi="Arial"/>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89" w:lineRule="exact"/>
        <w:rPr>
          <w:rFonts w:ascii="Arial" w:cs="Arial" w:eastAsia="Arial" w:hAnsi="Arial"/>
          <w:sz w:val="22"/>
          <w:szCs w:val="22"/>
          <w:color w:val="010000"/>
        </w:rPr>
      </w:pPr>
    </w:p>
    <w:p>
      <w:pPr>
        <w:ind w:left="2340" w:hanging="387"/>
        <w:spacing w:after="0"/>
        <w:tabs>
          <w:tab w:leader="none" w:pos="2340" w:val="left"/>
        </w:tabs>
        <w:numPr>
          <w:ilvl w:val="3"/>
          <w:numId w:val="102"/>
        </w:numPr>
        <w:rPr>
          <w:rFonts w:ascii="Arial" w:cs="Arial" w:eastAsia="Arial" w:hAnsi="Arial"/>
          <w:sz w:val="19"/>
          <w:szCs w:val="19"/>
          <w:color w:val="010000"/>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Executive will receive continuing payments of severance pay for a period of twelve</w:t>
      </w:r>
    </w:p>
    <w:p>
      <w:pPr>
        <w:spacing w:after="0" w:line="56" w:lineRule="exact"/>
        <w:rPr>
          <w:rFonts w:ascii="Arial" w:cs="Arial" w:eastAsia="Arial" w:hAnsi="Arial"/>
          <w:sz w:val="19"/>
          <w:szCs w:val="19"/>
          <w:color w:val="010000"/>
        </w:rPr>
      </w:pPr>
    </w:p>
    <w:p>
      <w:pPr>
        <w:ind w:firstLine="8"/>
        <w:spacing w:after="0" w:line="259" w:lineRule="auto"/>
        <w:tabs>
          <w:tab w:leader="none" w:pos="41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months from the date of such termination equal to Executive’s base salary rate as in effect immediately prior to (A) the Change of Control, or (B) Executive’s termination, whichever is greater.</w:t>
      </w:r>
    </w:p>
    <w:p>
      <w:pPr>
        <w:spacing w:after="0" w:line="178" w:lineRule="exact"/>
        <w:rPr>
          <w:rFonts w:ascii="Arial" w:cs="Arial" w:eastAsia="Arial" w:hAnsi="Arial"/>
          <w:sz w:val="22"/>
          <w:szCs w:val="22"/>
          <w:color w:val="auto"/>
        </w:rPr>
      </w:pPr>
    </w:p>
    <w:p>
      <w:pPr>
        <w:jc w:val="both"/>
        <w:ind w:firstLine="1953"/>
        <w:spacing w:after="0" w:line="294" w:lineRule="auto"/>
        <w:tabs>
          <w:tab w:leader="none" w:pos="2470" w:val="left"/>
        </w:tabs>
        <w:numPr>
          <w:ilvl w:val="3"/>
          <w:numId w:val="103"/>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If Executive holds Awards at the time of Executive’s termination, then one hundred percent (100%) of the then- unvested shares subject to such Awards will immediately vest as of Executive’s termination date. For the sake of clarity, Executive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 The Awards will remain exercisable, to the extent applicable,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06" w:name="page107"/>
    <w:bookmarkEnd w:id="106"/>
    <w:p>
      <w:pPr>
        <w:spacing w:after="0"/>
        <w:rPr>
          <w:sz w:val="20"/>
          <w:szCs w:val="20"/>
          <w:color w:val="auto"/>
        </w:rPr>
      </w:pPr>
      <w:r>
        <w:rPr>
          <w:rFonts w:ascii="Arial" w:cs="Arial" w:eastAsia="Arial" w:hAnsi="Arial"/>
          <w:sz w:val="22"/>
          <w:szCs w:val="22"/>
          <w:color w:val="auto"/>
        </w:rPr>
        <w:t>following the termination for the period prescribed in the respective stock plan and agreement for each Award.</w:t>
      </w:r>
    </w:p>
    <w:p>
      <w:pPr>
        <w:spacing w:after="0" w:line="220" w:lineRule="exact"/>
        <w:rPr>
          <w:sz w:val="20"/>
          <w:szCs w:val="20"/>
          <w:color w:val="auto"/>
        </w:rPr>
      </w:pPr>
    </w:p>
    <w:p>
      <w:pPr>
        <w:ind w:left="2520" w:hanging="567"/>
        <w:spacing w:after="0"/>
        <w:tabs>
          <w:tab w:leader="none" w:pos="2520" w:val="left"/>
        </w:tabs>
        <w:numPr>
          <w:ilvl w:val="2"/>
          <w:numId w:val="104"/>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w:t>
      </w:r>
    </w:p>
    <w:p>
      <w:pPr>
        <w:spacing w:after="0" w:line="56" w:lineRule="exact"/>
        <w:rPr>
          <w:rFonts w:ascii="Arial" w:cs="Arial" w:eastAsia="Arial" w:hAnsi="Arial"/>
          <w:sz w:val="19"/>
          <w:szCs w:val="19"/>
          <w:color w:val="010000"/>
        </w:rPr>
      </w:pPr>
    </w:p>
    <w:p>
      <w:pPr>
        <w:ind w:left="420" w:hanging="412"/>
        <w:spacing w:after="0"/>
        <w:tabs>
          <w:tab w:leader="none" w:pos="4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months for Executive and Executive’s eligible dependents under the Company’s Benefit Plans.</w:t>
      </w:r>
    </w:p>
    <w:p>
      <w:pPr>
        <w:spacing w:after="0" w:line="215" w:lineRule="exact"/>
        <w:rPr>
          <w:rFonts w:ascii="Arial" w:cs="Arial" w:eastAsia="Arial" w:hAnsi="Arial"/>
          <w:sz w:val="22"/>
          <w:szCs w:val="22"/>
          <w:color w:val="auto"/>
        </w:rPr>
      </w:pPr>
    </w:p>
    <w:p>
      <w:pPr>
        <w:ind w:left="1740" w:hanging="435"/>
        <w:spacing w:after="0"/>
        <w:tabs>
          <w:tab w:leader="none" w:pos="1740" w:val="left"/>
        </w:tabs>
        <w:numPr>
          <w:ilvl w:val="1"/>
          <w:numId w:val="105"/>
        </w:numPr>
        <w:rPr>
          <w:rFonts w:ascii="Arial" w:cs="Arial" w:eastAsia="Arial" w:hAnsi="Arial"/>
          <w:sz w:val="19"/>
          <w:szCs w:val="19"/>
          <w:color w:val="010000"/>
        </w:rPr>
      </w:pPr>
      <w:r>
        <w:rPr>
          <w:rFonts w:ascii="Arial" w:cs="Arial" w:eastAsia="Arial" w:hAnsi="Arial"/>
          <w:sz w:val="19"/>
          <w:szCs w:val="19"/>
          <w:u w:val="single" w:color="auto"/>
          <w:color w:val="auto"/>
        </w:rPr>
        <w:t>Release of Claims Agreement</w:t>
      </w:r>
      <w:r>
        <w:rPr>
          <w:rFonts w:ascii="Arial" w:cs="Arial" w:eastAsia="Arial" w:hAnsi="Arial"/>
          <w:sz w:val="19"/>
          <w:szCs w:val="19"/>
          <w:color w:val="auto"/>
        </w:rPr>
        <w:t>. The receipt of any severance pay or other benefits pursuant to Sections 3(a) and</w:t>
      </w:r>
    </w:p>
    <w:p>
      <w:pPr>
        <w:spacing w:after="0" w:line="56" w:lineRule="exact"/>
        <w:rPr>
          <w:rFonts w:ascii="Arial" w:cs="Arial" w:eastAsia="Arial" w:hAnsi="Arial"/>
          <w:sz w:val="19"/>
          <w:szCs w:val="19"/>
          <w:color w:val="010000"/>
        </w:rPr>
      </w:pPr>
    </w:p>
    <w:p>
      <w:pPr>
        <w:jc w:val="both"/>
        <w:spacing w:after="0" w:line="245" w:lineRule="auto"/>
        <w:rPr>
          <w:rFonts w:ascii="Arial" w:cs="Arial" w:eastAsia="Arial" w:hAnsi="Arial"/>
          <w:sz w:val="19"/>
          <w:szCs w:val="19"/>
          <w:color w:val="010000"/>
        </w:rPr>
      </w:pPr>
      <w:r>
        <w:rPr>
          <w:rFonts w:ascii="Arial" w:cs="Arial" w:eastAsia="Arial" w:hAnsi="Arial"/>
          <w:sz w:val="22"/>
          <w:szCs w:val="22"/>
          <w:color w:val="auto"/>
        </w:rPr>
        <w:t>(b)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the later of (i) the fifteenth day of the third month after the end of the Company’s fiscal year in which such termination of employment occurs, or (ii) March 15 of the calendar year following the calendar year in which such termination of employment occurs. No such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effective date of such release.</w:t>
      </w:r>
    </w:p>
    <w:p>
      <w:pPr>
        <w:spacing w:after="0" w:line="198" w:lineRule="exact"/>
        <w:rPr>
          <w:rFonts w:ascii="Arial" w:cs="Arial" w:eastAsia="Arial" w:hAnsi="Arial"/>
          <w:sz w:val="19"/>
          <w:szCs w:val="19"/>
          <w:color w:val="010000"/>
        </w:rPr>
      </w:pPr>
    </w:p>
    <w:p>
      <w:pPr>
        <w:jc w:val="both"/>
        <w:ind w:firstLine="1305"/>
        <w:spacing w:after="0" w:line="259" w:lineRule="auto"/>
        <w:tabs>
          <w:tab w:leader="none" w:pos="1769" w:val="left"/>
        </w:tabs>
        <w:numPr>
          <w:ilvl w:val="1"/>
          <w:numId w:val="105"/>
        </w:numPr>
        <w:rPr>
          <w:rFonts w:ascii="Arial" w:cs="Arial" w:eastAsia="Arial" w:hAnsi="Arial"/>
          <w:sz w:val="21"/>
          <w:szCs w:val="21"/>
          <w:color w:val="010000"/>
        </w:rPr>
      </w:pPr>
      <w:r>
        <w:rPr>
          <w:rFonts w:ascii="Arial" w:cs="Arial" w:eastAsia="Arial" w:hAnsi="Arial"/>
          <w:sz w:val="21"/>
          <w:szCs w:val="21"/>
          <w:u w:val="single" w:color="auto"/>
          <w:color w:val="auto"/>
        </w:rPr>
        <w:t>Non-solicitation and Non-competition</w:t>
      </w:r>
      <w:r>
        <w:rPr>
          <w:rFonts w:ascii="Arial" w:cs="Arial" w:eastAsia="Arial" w:hAnsi="Arial"/>
          <w:sz w:val="21"/>
          <w:szCs w:val="21"/>
          <w:color w:val="auto"/>
        </w:rPr>
        <w:t>. Executive agrees, to the extent permitted by applicable law, that in the event Executive receives severance pay or other benefits pursuant to Sections 3(a) and (b) above, for the twelve (12) consecutive month period immediately following the date of Executive’s termination, Executive, as a condition to receipt of severance pay and benefits under Sections 3(a) and (b), will not (i) either directly or indirectly, solicit, induce, recruit, encourage any employee of the Company to leave his employment either for Executive or for any other entity or person, or (ii) without the express 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covenants contained in this Section 3(d)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3(d).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3(d) are deemed to exceed the time, geographic or scope limitations permitted by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07" w:name="page108"/>
    <w:bookmarkEnd w:id="107"/>
    <w:p>
      <w:pPr>
        <w:spacing w:after="0" w:line="263" w:lineRule="auto"/>
        <w:rPr>
          <w:sz w:val="20"/>
          <w:szCs w:val="20"/>
          <w:color w:val="auto"/>
        </w:rPr>
      </w:pPr>
      <w:r>
        <w:rPr>
          <w:rFonts w:ascii="Arial" w:cs="Arial" w:eastAsia="Arial" w:hAnsi="Arial"/>
          <w:sz w:val="22"/>
          <w:szCs w:val="22"/>
          <w:color w:val="auto"/>
        </w:rPr>
        <w:t>applicable law, then such provisions shall be reformed to the maximum time, geographic or scope limitations, as the case may be, permitted by applicable law.</w:t>
      </w:r>
    </w:p>
    <w:p>
      <w:pPr>
        <w:spacing w:after="0" w:line="175" w:lineRule="exact"/>
        <w:rPr>
          <w:sz w:val="20"/>
          <w:szCs w:val="20"/>
          <w:color w:val="auto"/>
        </w:rPr>
      </w:pPr>
    </w:p>
    <w:p>
      <w:pPr>
        <w:jc w:val="both"/>
        <w:ind w:firstLine="1305"/>
        <w:spacing w:after="0" w:line="251" w:lineRule="auto"/>
        <w:tabs>
          <w:tab w:leader="none" w:pos="1824" w:val="left"/>
        </w:tabs>
        <w:numPr>
          <w:ilvl w:val="1"/>
          <w:numId w:val="106"/>
        </w:numPr>
        <w:rPr>
          <w:rFonts w:ascii="Arial" w:cs="Arial" w:eastAsia="Arial" w:hAnsi="Arial"/>
          <w:sz w:val="22"/>
          <w:szCs w:val="22"/>
          <w:color w:val="010000"/>
        </w:rPr>
      </w:pP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 3(c),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9" w:lineRule="exact"/>
        <w:rPr>
          <w:rFonts w:ascii="Arial" w:cs="Arial" w:eastAsia="Arial" w:hAnsi="Arial"/>
          <w:sz w:val="22"/>
          <w:szCs w:val="22"/>
          <w:color w:val="010000"/>
        </w:rPr>
      </w:pPr>
    </w:p>
    <w:p>
      <w:pPr>
        <w:jc w:val="both"/>
        <w:ind w:firstLine="1305"/>
        <w:spacing w:after="0" w:line="299" w:lineRule="auto"/>
        <w:tabs>
          <w:tab w:leader="none" w:pos="1773" w:val="left"/>
        </w:tabs>
        <w:numPr>
          <w:ilvl w:val="1"/>
          <w:numId w:val="106"/>
        </w:numPr>
        <w:rPr>
          <w:rFonts w:ascii="Arial" w:cs="Arial" w:eastAsia="Arial" w:hAnsi="Arial"/>
          <w:sz w:val="19"/>
          <w:szCs w:val="19"/>
          <w:color w:val="010000"/>
        </w:rPr>
      </w:pPr>
      <w:r>
        <w:rPr>
          <w:rFonts w:ascii="Arial" w:cs="Arial" w:eastAsia="Arial" w:hAnsi="Arial"/>
          <w:sz w:val="19"/>
          <w:szCs w:val="19"/>
          <w:u w:val="single" w:color="auto"/>
          <w:color w:val="auto"/>
        </w:rPr>
        <w:t>Voluntary Resignation; Termination For Cause</w:t>
      </w:r>
      <w:r>
        <w:rPr>
          <w:rFonts w:ascii="Arial" w:cs="Arial" w:eastAsia="Arial" w:hAnsi="Arial"/>
          <w:sz w:val="19"/>
          <w:szCs w:val="19"/>
          <w:color w:val="auto"/>
        </w:rPr>
        <w:t>. If Executive’s employment with the Company terminates (i) voluntarily by Executive (except upon a termination for Good Reason within twelve (12) months following a Change of Control) or</w:t>
      </w:r>
    </w:p>
    <w:p>
      <w:pPr>
        <w:jc w:val="both"/>
        <w:ind w:firstLine="8"/>
        <w:spacing w:after="0" w:line="302" w:lineRule="auto"/>
        <w:tabs>
          <w:tab w:leader="none" w:pos="35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43" w:lineRule="exact"/>
        <w:rPr>
          <w:rFonts w:ascii="Arial" w:cs="Arial" w:eastAsia="Arial" w:hAnsi="Arial"/>
          <w:sz w:val="19"/>
          <w:szCs w:val="19"/>
          <w:color w:val="auto"/>
        </w:rPr>
      </w:pPr>
    </w:p>
    <w:p>
      <w:pPr>
        <w:jc w:val="both"/>
        <w:ind w:firstLine="1305"/>
        <w:spacing w:after="0" w:line="307" w:lineRule="auto"/>
        <w:tabs>
          <w:tab w:leader="none" w:pos="1756" w:val="left"/>
        </w:tabs>
        <w:numPr>
          <w:ilvl w:val="1"/>
          <w:numId w:val="107"/>
        </w:numPr>
        <w:rPr>
          <w:rFonts w:ascii="Arial" w:cs="Arial" w:eastAsia="Arial" w:hAnsi="Arial"/>
          <w:sz w:val="19"/>
          <w:szCs w:val="19"/>
          <w:color w:val="010000"/>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38" w:lineRule="exact"/>
        <w:rPr>
          <w:rFonts w:ascii="Arial" w:cs="Arial" w:eastAsia="Arial" w:hAnsi="Arial"/>
          <w:sz w:val="19"/>
          <w:szCs w:val="19"/>
          <w:color w:val="010000"/>
        </w:rPr>
      </w:pPr>
    </w:p>
    <w:p>
      <w:pPr>
        <w:jc w:val="both"/>
        <w:ind w:firstLine="1305"/>
        <w:spacing w:after="0" w:line="300" w:lineRule="auto"/>
        <w:tabs>
          <w:tab w:leader="none" w:pos="1756" w:val="left"/>
        </w:tabs>
        <w:numPr>
          <w:ilvl w:val="1"/>
          <w:numId w:val="107"/>
        </w:numPr>
        <w:rPr>
          <w:rFonts w:ascii="Arial" w:cs="Arial" w:eastAsia="Arial" w:hAnsi="Arial"/>
          <w:sz w:val="19"/>
          <w:szCs w:val="19"/>
          <w:color w:val="010000"/>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In the event of a termination of Executive’s employment with the Company (or any parent or subsidiary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47" w:lineRule="exact"/>
        <w:rPr>
          <w:rFonts w:ascii="Arial" w:cs="Arial" w:eastAsia="Arial" w:hAnsi="Arial"/>
          <w:sz w:val="19"/>
          <w:szCs w:val="19"/>
          <w:color w:val="010000"/>
        </w:rPr>
      </w:pPr>
    </w:p>
    <w:p>
      <w:pPr>
        <w:jc w:val="both"/>
        <w:ind w:firstLine="1305"/>
        <w:spacing w:after="0" w:line="290" w:lineRule="auto"/>
        <w:tabs>
          <w:tab w:leader="none" w:pos="1721" w:val="left"/>
        </w:tabs>
        <w:numPr>
          <w:ilvl w:val="1"/>
          <w:numId w:val="107"/>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 “specified employee” within the meaning of Section 409A at the time of Executive’s termination (other than due to death), then the Deferred Compensation Separation Benefits that are payable within the first six (6) months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08" w:name="page109"/>
    <w:bookmarkEnd w:id="108"/>
    <w:p>
      <w:pPr>
        <w:jc w:val="both"/>
        <w:spacing w:after="0" w:line="266" w:lineRule="auto"/>
        <w:rPr>
          <w:sz w:val="20"/>
          <w:szCs w:val="20"/>
          <w:color w:val="auto"/>
        </w:rPr>
      </w:pPr>
      <w:r>
        <w:rPr>
          <w:rFonts w:ascii="Arial" w:cs="Arial" w:eastAsia="Arial" w:hAnsi="Arial"/>
          <w:sz w:val="20"/>
          <w:szCs w:val="20"/>
          <w:color w:val="auto"/>
        </w:rPr>
        <w:t>following Executive’s separation from service, will become payable in a lump sum (without interest)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sum (without interest)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For any Deferred Compensation Separation Benefits, the release of claim agreement under Section 3(c) hereof must become irrevocable within sixty (60) days of the date of termination and benefits shall commence upon the date provided in Section 3(e) hereof, provided, that if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termination of Executive’s employment with the Company falls in the calendar year following the calendar year containing the date of termination, the benefits will be made no earlier than the first business day of that following calendar year.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as provided herein.</w:t>
      </w:r>
    </w:p>
    <w:p>
      <w:pPr>
        <w:spacing w:after="0" w:line="179" w:lineRule="exact"/>
        <w:rPr>
          <w:sz w:val="20"/>
          <w:szCs w:val="20"/>
          <w:color w:val="auto"/>
        </w:rPr>
      </w:pPr>
    </w:p>
    <w:p>
      <w:pPr>
        <w:jc w:val="both"/>
        <w:ind w:firstLine="656"/>
        <w:spacing w:after="0" w:line="254" w:lineRule="auto"/>
        <w:tabs>
          <w:tab w:leader="none" w:pos="1017" w:val="left"/>
        </w:tabs>
        <w:numPr>
          <w:ilvl w:val="0"/>
          <w:numId w:val="108"/>
        </w:numPr>
        <w:rPr>
          <w:rFonts w:ascii="Arial" w:cs="Arial" w:eastAsia="Arial" w:hAnsi="Arial"/>
          <w:sz w:val="22"/>
          <w:szCs w:val="22"/>
          <w:color w:val="010000"/>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85" w:lineRule="exact"/>
        <w:rPr>
          <w:rFonts w:ascii="Arial" w:cs="Arial" w:eastAsia="Arial" w:hAnsi="Arial"/>
          <w:sz w:val="22"/>
          <w:szCs w:val="22"/>
          <w:color w:val="010000"/>
        </w:rPr>
      </w:pPr>
    </w:p>
    <w:p>
      <w:pPr>
        <w:ind w:left="1720" w:hanging="415"/>
        <w:spacing w:after="0"/>
        <w:tabs>
          <w:tab w:leader="none" w:pos="1720" w:val="left"/>
        </w:tabs>
        <w:numPr>
          <w:ilvl w:val="1"/>
          <w:numId w:val="108"/>
        </w:numPr>
        <w:rPr>
          <w:rFonts w:ascii="Arial" w:cs="Arial" w:eastAsia="Arial" w:hAnsi="Arial"/>
          <w:sz w:val="22"/>
          <w:szCs w:val="22"/>
          <w:color w:val="010000"/>
        </w:rPr>
      </w:pPr>
      <w:r>
        <w:rPr>
          <w:rFonts w:ascii="Arial" w:cs="Arial" w:eastAsia="Arial" w:hAnsi="Arial"/>
          <w:sz w:val="22"/>
          <w:szCs w:val="22"/>
          <w:color w:val="auto"/>
        </w:rPr>
        <w:t>delivered in full, or</w:t>
      </w:r>
    </w:p>
    <w:p>
      <w:pPr>
        <w:spacing w:after="0" w:line="233" w:lineRule="exact"/>
        <w:rPr>
          <w:rFonts w:ascii="Arial" w:cs="Arial" w:eastAsia="Arial" w:hAnsi="Arial"/>
          <w:sz w:val="22"/>
          <w:szCs w:val="22"/>
          <w:color w:val="010000"/>
        </w:rPr>
      </w:pPr>
    </w:p>
    <w:p>
      <w:pPr>
        <w:ind w:right="20" w:firstLine="1305"/>
        <w:spacing w:after="0" w:line="276" w:lineRule="auto"/>
        <w:tabs>
          <w:tab w:leader="none" w:pos="1756" w:val="left"/>
        </w:tabs>
        <w:numPr>
          <w:ilvl w:val="1"/>
          <w:numId w:val="108"/>
        </w:numPr>
        <w:rPr>
          <w:rFonts w:ascii="Arial" w:cs="Arial" w:eastAsia="Arial" w:hAnsi="Arial"/>
          <w:sz w:val="22"/>
          <w:szCs w:val="22"/>
          <w:color w:val="010000"/>
        </w:rPr>
      </w:pPr>
      <w:r>
        <w:rPr>
          <w:rFonts w:ascii="Arial" w:cs="Arial" w:eastAsia="Arial" w:hAnsi="Arial"/>
          <w:sz w:val="22"/>
          <w:szCs w:val="22"/>
          <w:color w:val="auto"/>
        </w:rPr>
        <w:t>delivered as to such lesser extent which would result in no portion of such severance benefits being subject to excise tax under Section 4999 of the Code,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09" w:name="page110"/>
    <w:bookmarkEnd w:id="109"/>
    <w:p>
      <w:pPr>
        <w:jc w:val="both"/>
        <w:spacing w:after="0" w:line="286" w:lineRule="auto"/>
        <w:rPr>
          <w:sz w:val="20"/>
          <w:szCs w:val="20"/>
          <w:color w:val="auto"/>
        </w:rPr>
      </w:pPr>
      <w:r>
        <w:rPr>
          <w:rFonts w:ascii="Arial" w:cs="Arial" w:eastAsia="Arial" w:hAnsi="Arial"/>
          <w:sz w:val="19"/>
          <w:szCs w:val="19"/>
          <w:color w:val="auto"/>
        </w:rPr>
        <w:t>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200" w:lineRule="exact"/>
        <w:rPr>
          <w:sz w:val="20"/>
          <w:szCs w:val="20"/>
          <w:color w:val="auto"/>
        </w:rPr>
      </w:pPr>
    </w:p>
    <w:p>
      <w:pPr>
        <w:spacing w:after="0" w:line="216" w:lineRule="exact"/>
        <w:rPr>
          <w:sz w:val="20"/>
          <w:szCs w:val="20"/>
          <w:color w:val="auto"/>
        </w:rPr>
      </w:pPr>
    </w:p>
    <w:p>
      <w:pPr>
        <w:ind w:left="1000" w:hanging="344"/>
        <w:spacing w:after="0"/>
        <w:tabs>
          <w:tab w:leader="none" w:pos="1000" w:val="left"/>
        </w:tabs>
        <w:numPr>
          <w:ilvl w:val="0"/>
          <w:numId w:val="109"/>
        </w:numPr>
        <w:rPr>
          <w:rFonts w:ascii="Arial" w:cs="Arial" w:eastAsia="Arial" w:hAnsi="Arial"/>
          <w:sz w:val="22"/>
          <w:szCs w:val="22"/>
          <w:color w:val="010000"/>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will have the following meanings:</w:t>
      </w:r>
    </w:p>
    <w:p>
      <w:pPr>
        <w:spacing w:after="0" w:line="233" w:lineRule="exact"/>
        <w:rPr>
          <w:rFonts w:ascii="Arial" w:cs="Arial" w:eastAsia="Arial" w:hAnsi="Arial"/>
          <w:sz w:val="22"/>
          <w:szCs w:val="22"/>
          <w:color w:val="010000"/>
        </w:rPr>
      </w:pPr>
    </w:p>
    <w:p>
      <w:pPr>
        <w:jc w:val="both"/>
        <w:ind w:firstLine="1305"/>
        <w:spacing w:after="0" w:line="288" w:lineRule="auto"/>
        <w:tabs>
          <w:tab w:leader="none" w:pos="1743" w:val="left"/>
        </w:tabs>
        <w:numPr>
          <w:ilvl w:val="1"/>
          <w:numId w:val="109"/>
        </w:numPr>
        <w:rPr>
          <w:rFonts w:ascii="Arial" w:cs="Arial" w:eastAsia="Arial" w:hAnsi="Arial"/>
          <w:sz w:val="19"/>
          <w:szCs w:val="19"/>
          <w:color w:val="010000"/>
        </w:rPr>
      </w:pP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 and Executive’s eligible dependents with equivalent coverage under a third party plan that is reasonably available to Executive and Executive’s eligible dependents.</w:t>
      </w:r>
    </w:p>
    <w:p>
      <w:pPr>
        <w:spacing w:after="0" w:line="156" w:lineRule="exact"/>
        <w:rPr>
          <w:rFonts w:ascii="Arial" w:cs="Arial" w:eastAsia="Arial" w:hAnsi="Arial"/>
          <w:sz w:val="19"/>
          <w:szCs w:val="19"/>
          <w:color w:val="010000"/>
        </w:rPr>
      </w:pPr>
    </w:p>
    <w:p>
      <w:pPr>
        <w:ind w:firstLine="1305"/>
        <w:spacing w:after="0" w:line="276" w:lineRule="auto"/>
        <w:tabs>
          <w:tab w:leader="none" w:pos="1864" w:val="left"/>
        </w:tabs>
        <w:numPr>
          <w:ilvl w:val="1"/>
          <w:numId w:val="109"/>
        </w:numPr>
        <w:rPr>
          <w:rFonts w:ascii="Arial" w:cs="Arial" w:eastAsia="Arial" w:hAnsi="Arial"/>
          <w:sz w:val="22"/>
          <w:szCs w:val="22"/>
          <w:color w:val="010000"/>
        </w:rPr>
      </w:pPr>
      <w:r>
        <w:rPr>
          <w:rFonts w:ascii="Arial" w:cs="Arial" w:eastAsia="Arial" w:hAnsi="Arial"/>
          <w:sz w:val="22"/>
          <w:szCs w:val="22"/>
          <w:u w:val="single" w:color="auto"/>
          <w:color w:val="auto"/>
        </w:rPr>
        <w:t>Cause</w:t>
      </w:r>
      <w:r>
        <w:rPr>
          <w:rFonts w:ascii="Arial" w:cs="Arial" w:eastAsia="Arial" w:hAnsi="Arial"/>
          <w:sz w:val="22"/>
          <w:szCs w:val="22"/>
          <w:color w:val="auto"/>
        </w:rPr>
        <w:t>. “Cause” is defined as (i) an act of dishonesty made by Executive in connection with Executive’s responsibilities as an employee that materially adversely affects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10" w:name="page111"/>
    <w:bookmarkEnd w:id="110"/>
    <w:p>
      <w:pPr>
        <w:jc w:val="both"/>
        <w:spacing w:after="0" w:line="294" w:lineRule="auto"/>
        <w:rPr>
          <w:sz w:val="20"/>
          <w:szCs w:val="20"/>
          <w:color w:val="auto"/>
        </w:rPr>
      </w:pPr>
      <w:r>
        <w:rPr>
          <w:rFonts w:ascii="Arial" w:cs="Arial" w:eastAsia="Arial" w:hAnsi="Arial"/>
          <w:sz w:val="19"/>
          <w:szCs w:val="19"/>
          <w:color w:val="auto"/>
        </w:rPr>
        <w:t>Company, (ii) Executive’s conviction of, or plea of nolo contendere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w:t>
      </w:r>
    </w:p>
    <w:p>
      <w:pPr>
        <w:spacing w:after="0" w:line="150" w:lineRule="exact"/>
        <w:rPr>
          <w:sz w:val="20"/>
          <w:szCs w:val="20"/>
          <w:color w:val="auto"/>
        </w:rPr>
      </w:pPr>
    </w:p>
    <w:p>
      <w:pPr>
        <w:ind w:left="1720" w:hanging="415"/>
        <w:spacing w:after="0"/>
        <w:tabs>
          <w:tab w:leader="none" w:pos="1720" w:val="left"/>
        </w:tabs>
        <w:numPr>
          <w:ilvl w:val="0"/>
          <w:numId w:val="110"/>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“Change of Control” of the Company is defined as:</w:t>
      </w:r>
    </w:p>
    <w:p>
      <w:pPr>
        <w:spacing w:after="0" w:line="233" w:lineRule="exact"/>
        <w:rPr>
          <w:rFonts w:ascii="Arial" w:cs="Arial" w:eastAsia="Arial" w:hAnsi="Arial"/>
          <w:sz w:val="22"/>
          <w:szCs w:val="22"/>
          <w:color w:val="010000"/>
        </w:rPr>
      </w:pPr>
    </w:p>
    <w:p>
      <w:pPr>
        <w:jc w:val="both"/>
        <w:ind w:firstLine="1953"/>
        <w:spacing w:after="0" w:line="262" w:lineRule="auto"/>
        <w:tabs>
          <w:tab w:leader="none" w:pos="2450" w:val="left"/>
        </w:tabs>
        <w:numPr>
          <w:ilvl w:val="1"/>
          <w:numId w:val="110"/>
        </w:numPr>
        <w:rPr>
          <w:rFonts w:ascii="Arial" w:cs="Arial" w:eastAsia="Arial" w:hAnsi="Arial"/>
          <w:sz w:val="21"/>
          <w:szCs w:val="21"/>
          <w:color w:val="010000"/>
        </w:rPr>
      </w:pPr>
      <w:r>
        <w:rPr>
          <w:rFonts w:ascii="Arial" w:cs="Arial" w:eastAsia="Arial" w:hAnsi="Arial"/>
          <w:sz w:val="21"/>
          <w:szCs w:val="21"/>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80" w:lineRule="exact"/>
        <w:rPr>
          <w:rFonts w:ascii="Arial" w:cs="Arial" w:eastAsia="Arial" w:hAnsi="Arial"/>
          <w:sz w:val="21"/>
          <w:szCs w:val="21"/>
          <w:color w:val="010000"/>
        </w:rPr>
      </w:pPr>
    </w:p>
    <w:p>
      <w:pPr>
        <w:jc w:val="both"/>
        <w:ind w:firstLine="1953"/>
        <w:spacing w:after="0" w:line="250" w:lineRule="auto"/>
        <w:tabs>
          <w:tab w:leader="none" w:pos="2443"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a change in the composition of the Board occurring within a twelve (12)-month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8" w:lineRule="exact"/>
        <w:rPr>
          <w:rFonts w:ascii="Arial" w:cs="Arial" w:eastAsia="Arial" w:hAnsi="Arial"/>
          <w:sz w:val="22"/>
          <w:szCs w:val="22"/>
          <w:color w:val="010000"/>
        </w:rPr>
      </w:pPr>
    </w:p>
    <w:p>
      <w:pPr>
        <w:jc w:val="both"/>
        <w:ind w:firstLine="1953"/>
        <w:spacing w:after="0" w:line="297" w:lineRule="auto"/>
        <w:tabs>
          <w:tab w:leader="none" w:pos="2462" w:val="left"/>
        </w:tabs>
        <w:numPr>
          <w:ilvl w:val="1"/>
          <w:numId w:val="110"/>
        </w:numPr>
        <w:rPr>
          <w:rFonts w:ascii="Arial" w:cs="Arial" w:eastAsia="Arial" w:hAnsi="Arial"/>
          <w:sz w:val="19"/>
          <w:szCs w:val="19"/>
          <w:color w:val="010000"/>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46" w:lineRule="exact"/>
        <w:rPr>
          <w:rFonts w:ascii="Arial" w:cs="Arial" w:eastAsia="Arial" w:hAnsi="Arial"/>
          <w:sz w:val="19"/>
          <w:szCs w:val="19"/>
          <w:color w:val="010000"/>
        </w:rPr>
      </w:pPr>
    </w:p>
    <w:p>
      <w:pPr>
        <w:jc w:val="both"/>
        <w:ind w:firstLine="1953"/>
        <w:spacing w:after="0" w:line="250" w:lineRule="auto"/>
        <w:tabs>
          <w:tab w:leader="none" w:pos="2491" w:val="left"/>
        </w:tabs>
        <w:numPr>
          <w:ilvl w:val="1"/>
          <w:numId w:val="110"/>
        </w:numPr>
        <w:rPr>
          <w:rFonts w:ascii="Arial" w:cs="Arial" w:eastAsia="Arial" w:hAnsi="Arial"/>
          <w:sz w:val="22"/>
          <w:szCs w:val="22"/>
          <w:color w:val="010000"/>
        </w:rPr>
      </w:pPr>
      <w:r>
        <w:rPr>
          <w:rFonts w:ascii="Arial" w:cs="Arial" w:eastAsia="Arial" w:hAnsi="Arial"/>
          <w:sz w:val="22"/>
          <w:szCs w:val="22"/>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11" w:name="page112"/>
    <w:bookmarkEnd w:id="111"/>
    <w:p>
      <w:pPr>
        <w:jc w:val="both"/>
        <w:spacing w:after="0" w:line="259" w:lineRule="auto"/>
        <w:rPr>
          <w:sz w:val="20"/>
          <w:szCs w:val="20"/>
          <w:color w:val="auto"/>
        </w:rPr>
      </w:pPr>
      <w:r>
        <w:rPr>
          <w:rFonts w:ascii="Arial" w:cs="Arial" w:eastAsia="Arial" w:hAnsi="Arial"/>
          <w:sz w:val="21"/>
          <w:szCs w:val="21"/>
          <w:color w:val="auto"/>
        </w:rPr>
        <w:t>to an entity that is controlled by the Company’s stockholders immediately after the transfer; or (2) a transfer of assets by the Company to: (A) a stockholder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 Company, or the value of the assets being disposed of, determined without regard to any liabilities associated with such assets.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foregoing, a Company transaction that does not constitute a change in control event under Treasury Regulation 1.409A-3(i)(5)(v) or (vii) shall be not be considered a Change of Control.</w:t>
      </w:r>
    </w:p>
    <w:p>
      <w:pPr>
        <w:spacing w:after="0" w:line="175" w:lineRule="exact"/>
        <w:rPr>
          <w:sz w:val="20"/>
          <w:szCs w:val="20"/>
          <w:color w:val="auto"/>
        </w:rPr>
      </w:pPr>
    </w:p>
    <w:p>
      <w:pPr>
        <w:jc w:val="both"/>
        <w:ind w:firstLine="1305"/>
        <w:spacing w:after="0" w:line="248" w:lineRule="auto"/>
        <w:tabs>
          <w:tab w:leader="none" w:pos="1769" w:val="left"/>
        </w:tabs>
        <w:numPr>
          <w:ilvl w:val="0"/>
          <w:numId w:val="111"/>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“Disability”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1" w:lineRule="exact"/>
        <w:rPr>
          <w:rFonts w:ascii="Arial" w:cs="Arial" w:eastAsia="Arial" w:hAnsi="Arial"/>
          <w:sz w:val="22"/>
          <w:szCs w:val="22"/>
          <w:color w:val="010000"/>
        </w:rPr>
      </w:pPr>
    </w:p>
    <w:p>
      <w:pPr>
        <w:jc w:val="both"/>
        <w:ind w:firstLine="1305"/>
        <w:spacing w:after="0" w:line="287" w:lineRule="auto"/>
        <w:tabs>
          <w:tab w:leader="none" w:pos="1932" w:val="left"/>
        </w:tabs>
        <w:numPr>
          <w:ilvl w:val="0"/>
          <w:numId w:val="111"/>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12" w:name="page113"/>
    <w:bookmarkEnd w:id="112"/>
    <w:p>
      <w:pPr>
        <w:jc w:val="both"/>
        <w:spacing w:after="0" w:line="250" w:lineRule="auto"/>
        <w:rPr>
          <w:sz w:val="20"/>
          <w:szCs w:val="20"/>
          <w:color w:val="auto"/>
        </w:rPr>
      </w:pPr>
      <w:r>
        <w:rPr>
          <w:rFonts w:ascii="Arial" w:cs="Arial" w:eastAsia="Arial" w:hAnsi="Arial"/>
          <w:sz w:val="22"/>
          <w:szCs w:val="22"/>
          <w:color w:val="auto"/>
        </w:rPr>
        <w:t>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188" w:lineRule="exact"/>
        <w:rPr>
          <w:sz w:val="20"/>
          <w:szCs w:val="20"/>
          <w:color w:val="auto"/>
        </w:rPr>
      </w:pPr>
    </w:p>
    <w:p>
      <w:pPr>
        <w:ind w:left="1000" w:hanging="344"/>
        <w:spacing w:after="0"/>
        <w:tabs>
          <w:tab w:leader="none" w:pos="1000" w:val="left"/>
        </w:tabs>
        <w:numPr>
          <w:ilvl w:val="0"/>
          <w:numId w:val="112"/>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62" w:lineRule="auto"/>
        <w:tabs>
          <w:tab w:leader="none" w:pos="1892" w:val="left"/>
        </w:tabs>
        <w:numPr>
          <w:ilvl w:val="1"/>
          <w:numId w:val="112"/>
        </w:numPr>
        <w:rPr>
          <w:rFonts w:ascii="Arial" w:cs="Arial" w:eastAsia="Arial" w:hAnsi="Arial"/>
          <w:sz w:val="21"/>
          <w:szCs w:val="21"/>
          <w:color w:val="010000"/>
        </w:rPr>
      </w:pPr>
      <w:r>
        <w:rPr>
          <w:rFonts w:ascii="Arial" w:cs="Arial" w:eastAsia="Arial" w:hAnsi="Arial"/>
          <w:sz w:val="21"/>
          <w:szCs w:val="21"/>
          <w:u w:val="single" w:color="auto"/>
          <w:color w:val="auto"/>
        </w:rPr>
        <w:t>The 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pacing w:after="0" w:line="180" w:lineRule="exact"/>
        <w:rPr>
          <w:rFonts w:ascii="Arial" w:cs="Arial" w:eastAsia="Arial" w:hAnsi="Arial"/>
          <w:sz w:val="21"/>
          <w:szCs w:val="21"/>
          <w:color w:val="010000"/>
        </w:rPr>
      </w:pPr>
    </w:p>
    <w:p>
      <w:pPr>
        <w:jc w:val="both"/>
        <w:ind w:firstLine="1305"/>
        <w:spacing w:after="0" w:line="260" w:lineRule="auto"/>
        <w:tabs>
          <w:tab w:leader="none" w:pos="1796" w:val="left"/>
        </w:tabs>
        <w:numPr>
          <w:ilvl w:val="1"/>
          <w:numId w:val="112"/>
        </w:numPr>
        <w:rPr>
          <w:rFonts w:ascii="Arial" w:cs="Arial" w:eastAsia="Arial" w:hAnsi="Arial"/>
          <w:sz w:val="22"/>
          <w:szCs w:val="22"/>
          <w:color w:val="010000"/>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112"/>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300" w:lineRule="auto"/>
        <w:tabs>
          <w:tab w:leader="none" w:pos="1743" w:val="left"/>
        </w:tabs>
        <w:numPr>
          <w:ilvl w:val="1"/>
          <w:numId w:val="112"/>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47" w:lineRule="exact"/>
        <w:rPr>
          <w:rFonts w:ascii="Arial" w:cs="Arial" w:eastAsia="Arial" w:hAnsi="Arial"/>
          <w:sz w:val="19"/>
          <w:szCs w:val="19"/>
          <w:color w:val="010000"/>
        </w:rPr>
      </w:pPr>
    </w:p>
    <w:p>
      <w:pPr>
        <w:jc w:val="both"/>
        <w:ind w:firstLine="1305"/>
        <w:spacing w:after="0" w:line="248" w:lineRule="auto"/>
        <w:tabs>
          <w:tab w:leader="none" w:pos="1769" w:val="left"/>
        </w:tabs>
        <w:numPr>
          <w:ilvl w:val="1"/>
          <w:numId w:val="112"/>
        </w:numPr>
        <w:rPr>
          <w:rFonts w:ascii="Arial" w:cs="Arial" w:eastAsia="Arial" w:hAnsi="Arial"/>
          <w:sz w:val="22"/>
          <w:szCs w:val="22"/>
          <w:color w:val="010000"/>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1" w:lineRule="exact"/>
        <w:rPr>
          <w:rFonts w:ascii="Arial" w:cs="Arial" w:eastAsia="Arial" w:hAnsi="Arial"/>
          <w:sz w:val="22"/>
          <w:szCs w:val="22"/>
          <w:color w:val="010000"/>
        </w:rPr>
      </w:pPr>
    </w:p>
    <w:p>
      <w:pPr>
        <w:ind w:firstLine="656"/>
        <w:spacing w:after="0" w:line="276" w:lineRule="auto"/>
        <w:tabs>
          <w:tab w:leader="none" w:pos="1017" w:val="left"/>
        </w:tabs>
        <w:numPr>
          <w:ilvl w:val="0"/>
          <w:numId w:val="112"/>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have a term of five (5) years commencing on the Effective Date, which shall not be subject to renewal, unless a Change of Control occurs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13" w:name="page114"/>
    <w:bookmarkEnd w:id="113"/>
    <w:p>
      <w:pPr>
        <w:spacing w:after="0" w:line="263" w:lineRule="auto"/>
        <w:rPr>
          <w:sz w:val="20"/>
          <w:szCs w:val="20"/>
          <w:color w:val="auto"/>
        </w:rPr>
      </w:pPr>
      <w:r>
        <w:rPr>
          <w:rFonts w:ascii="Arial" w:cs="Arial" w:eastAsia="Arial" w:hAnsi="Arial"/>
          <w:sz w:val="22"/>
          <w:szCs w:val="22"/>
          <w:color w:val="auto"/>
        </w:rPr>
        <w:t>during such five (5)-year period, in which case this Agreement will continue until all payments and benefits, if any, have been made to Executive.</w:t>
      </w:r>
    </w:p>
    <w:p>
      <w:pPr>
        <w:spacing w:after="0" w:line="175" w:lineRule="exact"/>
        <w:rPr>
          <w:sz w:val="20"/>
          <w:szCs w:val="20"/>
          <w:color w:val="auto"/>
        </w:rPr>
      </w:pPr>
    </w:p>
    <w:p>
      <w:pPr>
        <w:ind w:left="1000" w:hanging="344"/>
        <w:spacing w:after="0"/>
        <w:tabs>
          <w:tab w:leader="none" w:pos="1000" w:val="left"/>
        </w:tabs>
        <w:numPr>
          <w:ilvl w:val="0"/>
          <w:numId w:val="113"/>
        </w:numPr>
        <w:rPr>
          <w:rFonts w:ascii="Arial" w:cs="Arial" w:eastAsia="Arial" w:hAnsi="Arial"/>
          <w:sz w:val="22"/>
          <w:szCs w:val="22"/>
          <w:color w:val="010000"/>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92" w:lineRule="auto"/>
        <w:tabs>
          <w:tab w:leader="none" w:pos="1946" w:val="left"/>
        </w:tabs>
        <w:numPr>
          <w:ilvl w:val="1"/>
          <w:numId w:val="113"/>
        </w:numPr>
        <w:rPr>
          <w:rFonts w:ascii="Arial" w:cs="Arial" w:eastAsia="Arial" w:hAnsi="Arial"/>
          <w:sz w:val="19"/>
          <w:szCs w:val="19"/>
          <w:color w:val="010000"/>
        </w:rPr>
      </w:pPr>
      <w:r>
        <w:rPr>
          <w:rFonts w:ascii="Arial" w:cs="Arial" w:eastAsia="Arial" w:hAnsi="Arial"/>
          <w:sz w:val="19"/>
          <w:szCs w:val="19"/>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 the American Arbitration Association (the “Rules”), except that each of Company and Executive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55" w:lineRule="exact"/>
        <w:rPr>
          <w:rFonts w:ascii="Arial" w:cs="Arial" w:eastAsia="Arial" w:hAnsi="Arial"/>
          <w:sz w:val="19"/>
          <w:szCs w:val="19"/>
          <w:color w:val="010000"/>
        </w:rPr>
      </w:pPr>
    </w:p>
    <w:p>
      <w:pPr>
        <w:jc w:val="both"/>
        <w:ind w:firstLine="1305"/>
        <w:spacing w:after="0" w:line="307" w:lineRule="auto"/>
        <w:tabs>
          <w:tab w:leader="none" w:pos="1756" w:val="left"/>
        </w:tabs>
        <w:numPr>
          <w:ilvl w:val="1"/>
          <w:numId w:val="113"/>
        </w:numPr>
        <w:rPr>
          <w:rFonts w:ascii="Arial" w:cs="Arial" w:eastAsia="Arial" w:hAnsi="Arial"/>
          <w:sz w:val="19"/>
          <w:szCs w:val="19"/>
          <w:color w:val="010000"/>
        </w:rPr>
      </w:pPr>
      <w:r>
        <w:rPr>
          <w:rFonts w:ascii="Arial" w:cs="Arial" w:eastAsia="Arial" w:hAnsi="Arial"/>
          <w:sz w:val="19"/>
          <w:szCs w:val="19"/>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Executive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38" w:lineRule="exact"/>
        <w:rPr>
          <w:rFonts w:ascii="Arial" w:cs="Arial" w:eastAsia="Arial" w:hAnsi="Arial"/>
          <w:sz w:val="19"/>
          <w:szCs w:val="19"/>
          <w:color w:val="010000"/>
        </w:rPr>
      </w:pPr>
    </w:p>
    <w:p>
      <w:pPr>
        <w:jc w:val="both"/>
        <w:ind w:firstLine="1305"/>
        <w:spacing w:after="0" w:line="261" w:lineRule="auto"/>
        <w:tabs>
          <w:tab w:leader="none" w:pos="1730" w:val="left"/>
        </w:tabs>
        <w:numPr>
          <w:ilvl w:val="1"/>
          <w:numId w:val="113"/>
        </w:numPr>
        <w:rPr>
          <w:rFonts w:ascii="Arial" w:cs="Arial" w:eastAsia="Arial" w:hAnsi="Arial"/>
          <w:sz w:val="21"/>
          <w:szCs w:val="21"/>
          <w:color w:val="010000"/>
        </w:rPr>
      </w:pPr>
      <w:r>
        <w:rPr>
          <w:rFonts w:ascii="Arial" w:cs="Arial" w:eastAsia="Arial" w:hAnsi="Arial"/>
          <w:sz w:val="21"/>
          <w:szCs w:val="21"/>
          <w:color w:val="auto"/>
        </w:rPr>
        <w:t xml:space="preserve">To the fullest extent permitted by law, Executive and the Company agree that no class or collective actions can be asserted in arbitration or otherwise. All claims, whether in arbitration or otherwise, must be brought solely in Executive’s or the Company’s individual capacity, and not as a plaintiff or class member in any purported class or collective proceeding. Nothing in this Section 9, however, restricts Executive’s right, if any, to file in court a representative action under applicable law, including California Labor Code Sections 2698, </w:t>
      </w:r>
      <w:r>
        <w:rPr>
          <w:rFonts w:ascii="Arial" w:cs="Arial" w:eastAsia="Arial" w:hAnsi="Arial"/>
          <w:sz w:val="21"/>
          <w:szCs w:val="21"/>
          <w:i w:val="1"/>
          <w:iCs w:val="1"/>
          <w:color w:val="auto"/>
        </w:rPr>
        <w:t>et seq.</w:t>
      </w:r>
      <w:r>
        <w:rPr>
          <w:rFonts w:ascii="Arial" w:cs="Arial" w:eastAsia="Arial" w:hAnsi="Arial"/>
          <w:sz w:val="21"/>
          <w:szCs w:val="21"/>
          <w:color w:val="auto"/>
        </w:rPr>
        <w:t xml:space="preserve"> Further, this Section 9 does not restrict Executive’s right to file administrative claims Executive may bring before any government agency where, as a matter of law, the parties may not restrict the Executive’s ability to file such claims (including, but not limited to, the National Labor Relations Board, the Equal Employment Opportunity Commission and the Department of Labor).</w:t>
      </w:r>
    </w:p>
    <w:p>
      <w:pPr>
        <w:spacing w:after="0" w:line="181" w:lineRule="exact"/>
        <w:rPr>
          <w:rFonts w:ascii="Arial" w:cs="Arial" w:eastAsia="Arial" w:hAnsi="Arial"/>
          <w:sz w:val="21"/>
          <w:szCs w:val="21"/>
          <w:color w:val="010000"/>
        </w:rPr>
      </w:pPr>
    </w:p>
    <w:p>
      <w:pPr>
        <w:ind w:firstLine="1305"/>
        <w:spacing w:after="0" w:line="276" w:lineRule="auto"/>
        <w:tabs>
          <w:tab w:leader="none" w:pos="1864" w:val="left"/>
        </w:tabs>
        <w:numPr>
          <w:ilvl w:val="1"/>
          <w:numId w:val="113"/>
        </w:numPr>
        <w:rPr>
          <w:rFonts w:ascii="Arial" w:cs="Arial" w:eastAsia="Arial" w:hAnsi="Arial"/>
          <w:sz w:val="22"/>
          <w:szCs w:val="22"/>
          <w:color w:val="010000"/>
        </w:rPr>
      </w:pPr>
      <w:r>
        <w:rPr>
          <w:rFonts w:ascii="Arial" w:cs="Arial" w:eastAsia="Arial" w:hAnsi="Arial"/>
          <w:sz w:val="22"/>
          <w:szCs w:val="22"/>
          <w:color w:val="auto"/>
        </w:rPr>
        <w:t>Executive understands that nothing in this Section modifies Executive’s at-will employment status. Either Executive or the Company can terminate the employment relationship at any time, with or without Cause.</w:t>
      </w:r>
    </w:p>
    <w:p>
      <w:pPr>
        <w:spacing w:after="0" w:line="160" w:lineRule="exact"/>
        <w:rPr>
          <w:rFonts w:ascii="Arial" w:cs="Arial" w:eastAsia="Arial" w:hAnsi="Arial"/>
          <w:sz w:val="22"/>
          <w:szCs w:val="22"/>
          <w:color w:val="010000"/>
        </w:rPr>
      </w:pPr>
    </w:p>
    <w:p>
      <w:pPr>
        <w:jc w:val="both"/>
        <w:ind w:firstLine="1305"/>
        <w:spacing w:after="0" w:line="250" w:lineRule="auto"/>
        <w:tabs>
          <w:tab w:leader="none" w:pos="1743" w:val="left"/>
        </w:tabs>
        <w:numPr>
          <w:ilvl w:val="1"/>
          <w:numId w:val="113"/>
        </w:numPr>
        <w:rPr>
          <w:rFonts w:ascii="Arial" w:cs="Arial" w:eastAsia="Arial" w:hAnsi="Arial"/>
          <w:sz w:val="22"/>
          <w:szCs w:val="22"/>
          <w:color w:val="010000"/>
        </w:rPr>
      </w:pPr>
      <w:r>
        <w:rPr>
          <w:rFonts w:ascii="Arial" w:cs="Arial" w:eastAsia="Arial" w:hAnsi="Arial"/>
          <w:sz w:val="22"/>
          <w:szCs w:val="22"/>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 TO THE RESOLUTION OF ALL DISPUTES RELATING TO ALL ASPECTS OF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EMPLOYER/EMPLOYEE RELATIONSHIP, INCLUDING BUT NOT LIMITED TO, THE FOLLOWING CLAIMS:</w:t>
      </w:r>
    </w:p>
    <w:p>
      <w:pPr>
        <w:spacing w:after="0" w:line="220" w:lineRule="exact"/>
        <w:rPr>
          <w:sz w:val="20"/>
          <w:szCs w:val="20"/>
          <w:color w:val="auto"/>
        </w:rPr>
      </w:pPr>
    </w:p>
    <w:p>
      <w:pPr>
        <w:jc w:val="both"/>
        <w:ind w:firstLine="1953"/>
        <w:spacing w:after="0" w:line="251" w:lineRule="auto"/>
        <w:tabs>
          <w:tab w:leader="none" w:pos="2464" w:val="left"/>
        </w:tabs>
        <w:numPr>
          <w:ilvl w:val="2"/>
          <w:numId w:val="114"/>
        </w:numPr>
        <w:rPr>
          <w:rFonts w:ascii="Arial" w:cs="Arial" w:eastAsia="Arial" w:hAnsi="Arial"/>
          <w:sz w:val="22"/>
          <w:szCs w:val="22"/>
          <w:color w:val="010000"/>
        </w:rPr>
      </w:pPr>
      <w:r>
        <w:rPr>
          <w:rFonts w:ascii="Arial" w:cs="Arial" w:eastAsia="Arial" w:hAnsi="Arial"/>
          <w:sz w:val="22"/>
          <w:szCs w:val="22"/>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9" w:lineRule="exact"/>
        <w:rPr>
          <w:rFonts w:ascii="Arial" w:cs="Arial" w:eastAsia="Arial" w:hAnsi="Arial"/>
          <w:sz w:val="22"/>
          <w:szCs w:val="22"/>
          <w:color w:val="010000"/>
        </w:rPr>
      </w:pPr>
    </w:p>
    <w:p>
      <w:pPr>
        <w:jc w:val="both"/>
        <w:ind w:firstLine="1953"/>
        <w:spacing w:after="0" w:line="251" w:lineRule="auto"/>
        <w:tabs>
          <w:tab w:leader="none" w:pos="2605" w:val="left"/>
        </w:tabs>
        <w:numPr>
          <w:ilvl w:val="2"/>
          <w:numId w:val="114"/>
        </w:numPr>
        <w:rPr>
          <w:rFonts w:ascii="Arial" w:cs="Arial" w:eastAsia="Arial" w:hAnsi="Arial"/>
          <w:sz w:val="22"/>
          <w:szCs w:val="22"/>
          <w:color w:val="010000"/>
        </w:rPr>
      </w:pPr>
      <w:r>
        <w:rPr>
          <w:rFonts w:ascii="Arial" w:cs="Arial" w:eastAsia="Arial" w:hAnsi="Arial"/>
          <w:sz w:val="22"/>
          <w:szCs w:val="22"/>
          <w:color w:val="auto"/>
        </w:rPr>
        <w:t xml:space="preserve">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189" w:lineRule="exact"/>
        <w:rPr>
          <w:rFonts w:ascii="Arial" w:cs="Arial" w:eastAsia="Arial" w:hAnsi="Arial"/>
          <w:sz w:val="22"/>
          <w:szCs w:val="22"/>
          <w:color w:val="010000"/>
        </w:rPr>
      </w:pPr>
    </w:p>
    <w:p>
      <w:pPr>
        <w:ind w:firstLine="1953"/>
        <w:spacing w:after="0" w:line="276" w:lineRule="auto"/>
        <w:tabs>
          <w:tab w:leader="none" w:pos="2665" w:val="left"/>
        </w:tabs>
        <w:numPr>
          <w:ilvl w:val="2"/>
          <w:numId w:val="114"/>
        </w:numPr>
        <w:rPr>
          <w:rFonts w:ascii="Arial" w:cs="Arial" w:eastAsia="Arial" w:hAnsi="Arial"/>
          <w:sz w:val="22"/>
          <w:szCs w:val="22"/>
          <w:color w:val="010000"/>
        </w:rPr>
      </w:pPr>
      <w:r>
        <w:rPr>
          <w:rFonts w:ascii="Arial" w:cs="Arial" w:eastAsia="Arial" w:hAnsi="Arial"/>
          <w:sz w:val="22"/>
          <w:szCs w:val="22"/>
          <w:color w:val="auto"/>
        </w:rPr>
        <w:t>ANY AND ALL CLAIMS ARISING OUT OF ANY OTHER LAWS AND REGULATIONS RELATING TO EMPLOYMENT OR EMPLOYMENT DISCRIMINATION (INCLUDING HARASSMENT).</w:t>
      </w:r>
    </w:p>
    <w:p>
      <w:pPr>
        <w:spacing w:after="0" w:line="160" w:lineRule="exact"/>
        <w:rPr>
          <w:rFonts w:ascii="Arial" w:cs="Arial" w:eastAsia="Arial" w:hAnsi="Arial"/>
          <w:sz w:val="22"/>
          <w:szCs w:val="22"/>
          <w:color w:val="010000"/>
        </w:rPr>
      </w:pPr>
    </w:p>
    <w:p>
      <w:pPr>
        <w:ind w:firstLine="1953"/>
        <w:spacing w:after="0" w:line="276" w:lineRule="auto"/>
        <w:tabs>
          <w:tab w:leader="none" w:pos="2437" w:val="left"/>
        </w:tabs>
        <w:numPr>
          <w:ilvl w:val="2"/>
          <w:numId w:val="114"/>
        </w:numPr>
        <w:rPr>
          <w:rFonts w:ascii="Arial" w:cs="Arial" w:eastAsia="Arial" w:hAnsi="Arial"/>
          <w:sz w:val="22"/>
          <w:szCs w:val="22"/>
          <w:color w:val="010000"/>
        </w:rPr>
      </w:pPr>
      <w:r>
        <w:rPr>
          <w:rFonts w:ascii="Arial" w:cs="Arial" w:eastAsia="Arial" w:hAnsi="Arial"/>
          <w:sz w:val="22"/>
          <w:szCs w:val="22"/>
          <w:color w:val="auto"/>
        </w:rPr>
        <w:t>If, for any reason, any term of this Section 9 is held to be invalid or unenforceable, all other valid terms and conditions herein shall be severable in nature, and remain fully enforceable.</w:t>
      </w:r>
    </w:p>
    <w:p>
      <w:pPr>
        <w:spacing w:after="0" w:line="160" w:lineRule="exact"/>
        <w:rPr>
          <w:rFonts w:ascii="Arial" w:cs="Arial" w:eastAsia="Arial" w:hAnsi="Arial"/>
          <w:sz w:val="22"/>
          <w:szCs w:val="22"/>
          <w:color w:val="010000"/>
        </w:rPr>
      </w:pPr>
    </w:p>
    <w:p>
      <w:pPr>
        <w:ind w:left="1100" w:hanging="444"/>
        <w:spacing w:after="0"/>
        <w:tabs>
          <w:tab w:leader="none" w:pos="1100" w:val="left"/>
        </w:tabs>
        <w:numPr>
          <w:ilvl w:val="0"/>
          <w:numId w:val="115"/>
        </w:numPr>
        <w:rPr>
          <w:rFonts w:ascii="Arial" w:cs="Arial" w:eastAsia="Arial" w:hAnsi="Arial"/>
          <w:sz w:val="22"/>
          <w:szCs w:val="22"/>
          <w:color w:val="010000"/>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0" w:firstLine="1305"/>
        <w:spacing w:after="0" w:line="358" w:lineRule="auto"/>
        <w:tabs>
          <w:tab w:leader="none" w:pos="1770" w:val="left"/>
        </w:tabs>
        <w:numPr>
          <w:ilvl w:val="1"/>
          <w:numId w:val="115"/>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90" w:lineRule="exact"/>
        <w:rPr>
          <w:rFonts w:ascii="Arial" w:cs="Arial" w:eastAsia="Arial" w:hAnsi="Arial"/>
          <w:sz w:val="19"/>
          <w:szCs w:val="19"/>
          <w:color w:val="010000"/>
        </w:rPr>
      </w:pPr>
    </w:p>
    <w:p>
      <w:pPr>
        <w:jc w:val="both"/>
        <w:ind w:firstLine="1305"/>
        <w:spacing w:after="0" w:line="307" w:lineRule="auto"/>
        <w:tabs>
          <w:tab w:leader="none" w:pos="1728" w:val="left"/>
        </w:tabs>
        <w:numPr>
          <w:ilvl w:val="1"/>
          <w:numId w:val="115"/>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38" w:lineRule="exact"/>
        <w:rPr>
          <w:rFonts w:ascii="Arial" w:cs="Arial" w:eastAsia="Arial" w:hAnsi="Arial"/>
          <w:sz w:val="19"/>
          <w:szCs w:val="19"/>
          <w:color w:val="010000"/>
        </w:rPr>
      </w:pPr>
    </w:p>
    <w:p>
      <w:pPr>
        <w:ind w:firstLine="1305"/>
        <w:spacing w:after="0" w:line="276" w:lineRule="auto"/>
        <w:tabs>
          <w:tab w:leader="none" w:pos="1757" w:val="left"/>
        </w:tabs>
        <w:numPr>
          <w:ilvl w:val="1"/>
          <w:numId w:val="115"/>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010000"/>
        </w:rPr>
      </w:pPr>
    </w:p>
    <w:p>
      <w:pPr>
        <w:jc w:val="both"/>
        <w:ind w:firstLine="1305"/>
        <w:spacing w:after="0" w:line="320" w:lineRule="auto"/>
        <w:tabs>
          <w:tab w:leader="none" w:pos="1810" w:val="left"/>
        </w:tabs>
        <w:numPr>
          <w:ilvl w:val="1"/>
          <w:numId w:val="115"/>
        </w:numPr>
        <w:rPr>
          <w:rFonts w:ascii="Arial" w:cs="Arial" w:eastAsia="Arial" w:hAnsi="Arial"/>
          <w:sz w:val="19"/>
          <w:szCs w:val="19"/>
          <w:color w:val="010000"/>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hereto with respect to the subject matter described herein, and supersedes the Prior Agreement in its entirety. Executive acknowledges and agrees that this Agreement encompasses all the rights of Executive to any acceleration of Award vesting or severance pay based on termination 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15" w:name="page116"/>
    <w:bookmarkEnd w:id="115"/>
    <w:p>
      <w:pPr>
        <w:jc w:val="both"/>
        <w:spacing w:after="0" w:line="253" w:lineRule="auto"/>
        <w:rPr>
          <w:sz w:val="20"/>
          <w:szCs w:val="20"/>
          <w:color w:val="auto"/>
        </w:rPr>
      </w:pPr>
      <w:r>
        <w:rPr>
          <w:rFonts w:ascii="Arial" w:cs="Arial" w:eastAsia="Arial" w:hAnsi="Arial"/>
          <w:sz w:val="22"/>
          <w:szCs w:val="22"/>
          <w:color w:val="auto"/>
        </w:rPr>
        <w:t>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86" w:lineRule="exact"/>
        <w:rPr>
          <w:sz w:val="20"/>
          <w:szCs w:val="20"/>
          <w:color w:val="auto"/>
        </w:rPr>
      </w:pPr>
    </w:p>
    <w:p>
      <w:pPr>
        <w:ind w:right="20" w:firstLine="1305"/>
        <w:spacing w:after="0" w:line="276" w:lineRule="auto"/>
        <w:tabs>
          <w:tab w:leader="none" w:pos="1757" w:val="left"/>
        </w:tabs>
        <w:numPr>
          <w:ilvl w:val="0"/>
          <w:numId w:val="116"/>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will be governed by the laws of the State of California (with the exception of its conflict of laws provisions).</w:t>
      </w:r>
    </w:p>
    <w:p>
      <w:pPr>
        <w:spacing w:after="0" w:line="160" w:lineRule="exact"/>
        <w:rPr>
          <w:rFonts w:ascii="Arial" w:cs="Arial" w:eastAsia="Arial" w:hAnsi="Arial"/>
          <w:sz w:val="22"/>
          <w:szCs w:val="22"/>
          <w:color w:val="010000"/>
        </w:rPr>
      </w:pPr>
    </w:p>
    <w:p>
      <w:pPr>
        <w:ind w:firstLine="1305"/>
        <w:spacing w:after="0" w:line="276" w:lineRule="auto"/>
        <w:tabs>
          <w:tab w:leader="none" w:pos="1706" w:val="left"/>
        </w:tabs>
        <w:numPr>
          <w:ilvl w:val="0"/>
          <w:numId w:val="116"/>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60" w:lineRule="exact"/>
        <w:rPr>
          <w:rFonts w:ascii="Arial" w:cs="Arial" w:eastAsia="Arial" w:hAnsi="Arial"/>
          <w:sz w:val="22"/>
          <w:szCs w:val="22"/>
          <w:color w:val="010000"/>
        </w:rPr>
      </w:pPr>
    </w:p>
    <w:p>
      <w:pPr>
        <w:ind w:firstLine="1305"/>
        <w:spacing w:after="0" w:line="276" w:lineRule="auto"/>
        <w:tabs>
          <w:tab w:leader="none" w:pos="1850" w:val="left"/>
        </w:tabs>
        <w:numPr>
          <w:ilvl w:val="0"/>
          <w:numId w:val="116"/>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and employment taxes.</w:t>
      </w:r>
    </w:p>
    <w:p>
      <w:pPr>
        <w:spacing w:after="0" w:line="160" w:lineRule="exact"/>
        <w:rPr>
          <w:rFonts w:ascii="Arial" w:cs="Arial" w:eastAsia="Arial" w:hAnsi="Arial"/>
          <w:sz w:val="22"/>
          <w:szCs w:val="22"/>
          <w:color w:val="010000"/>
        </w:rPr>
      </w:pPr>
    </w:p>
    <w:p>
      <w:pPr>
        <w:ind w:firstLine="1305"/>
        <w:spacing w:after="0" w:line="276" w:lineRule="auto"/>
        <w:tabs>
          <w:tab w:leader="none" w:pos="1756" w:val="left"/>
        </w:tabs>
        <w:numPr>
          <w:ilvl w:val="0"/>
          <w:numId w:val="116"/>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16" w:name="page117"/>
    <w:bookmarkEnd w:id="116"/>
    <w:p>
      <w:pPr>
        <w:ind w:firstLine="648"/>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17" w:lineRule="exact"/>
        <w:rPr>
          <w:sz w:val="20"/>
          <w:szCs w:val="20"/>
          <w:color w:val="auto"/>
        </w:rPr>
      </w:pPr>
    </w:p>
    <w:tbl>
      <w:tblPr>
        <w:tblLayout w:type="fixed"/>
        <w:tblInd w:w="480" w:type="dxa"/>
        <w:tblCellMar>
          <w:top w:w="0" w:type="dxa"/>
          <w:left w:w="0" w:type="dxa"/>
          <w:bottom w:w="0" w:type="dxa"/>
          <w:right w:w="0" w:type="dxa"/>
        </w:tblCellMar>
      </w:tblPr>
      <w:tr>
        <w:trPr>
          <w:trHeight w:val="281"/>
        </w:trPr>
        <w:tc>
          <w:tcPr>
            <w:tcW w:w="300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4340" w:type="dxa"/>
            <w:vAlign w:val="bottom"/>
          </w:tcPr>
          <w:p>
            <w:pPr>
              <w:ind w:left="1740"/>
              <w:spacing w:after="0"/>
              <w:rPr>
                <w:sz w:val="20"/>
                <w:szCs w:val="20"/>
                <w:color w:val="auto"/>
              </w:rPr>
            </w:pPr>
            <w:r>
              <w:rPr>
                <w:rFonts w:ascii="Arial" w:cs="Arial" w:eastAsia="Arial" w:hAnsi="Arial"/>
                <w:sz w:val="22"/>
                <w:szCs w:val="22"/>
                <w:b w:val="1"/>
                <w:bCs w:val="1"/>
                <w:color w:val="auto"/>
              </w:rPr>
              <w:t>FORTINET, INC.</w:t>
            </w:r>
          </w:p>
        </w:tc>
        <w:tc>
          <w:tcPr>
            <w:tcW w:w="3160" w:type="dxa"/>
            <w:vAlign w:val="bottom"/>
          </w:tcPr>
          <w:p>
            <w:pPr>
              <w:spacing w:after="0"/>
              <w:rPr>
                <w:sz w:val="24"/>
                <w:szCs w:val="24"/>
                <w:color w:val="auto"/>
              </w:rPr>
            </w:pPr>
          </w:p>
        </w:tc>
      </w:tr>
      <w:tr>
        <w:trPr>
          <w:trHeight w:val="956"/>
        </w:trPr>
        <w:tc>
          <w:tcPr>
            <w:tcW w:w="3000" w:type="dxa"/>
            <w:vAlign w:val="bottom"/>
          </w:tcPr>
          <w:p>
            <w:pPr>
              <w:spacing w:after="0"/>
              <w:rPr>
                <w:sz w:val="24"/>
                <w:szCs w:val="24"/>
                <w:color w:val="auto"/>
              </w:rPr>
            </w:pPr>
          </w:p>
        </w:tc>
        <w:tc>
          <w:tcPr>
            <w:tcW w:w="4340" w:type="dxa"/>
            <w:vAlign w:val="bottom"/>
          </w:tcPr>
          <w:p>
            <w:pPr>
              <w:ind w:left="1740"/>
              <w:spacing w:after="0"/>
              <w:rPr>
                <w:sz w:val="20"/>
                <w:szCs w:val="20"/>
                <w:color w:val="auto"/>
              </w:rPr>
            </w:pPr>
            <w:r>
              <w:rPr>
                <w:rFonts w:ascii="Arial" w:cs="Arial" w:eastAsia="Arial" w:hAnsi="Arial"/>
                <w:sz w:val="22"/>
                <w:szCs w:val="22"/>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Whittle</w:t>
            </w:r>
          </w:p>
        </w:tc>
      </w:tr>
      <w:tr>
        <w:trPr>
          <w:trHeight w:val="280"/>
        </w:trPr>
        <w:tc>
          <w:tcPr>
            <w:tcW w:w="3000" w:type="dxa"/>
            <w:vAlign w:val="bottom"/>
          </w:tcPr>
          <w:p>
            <w:pPr>
              <w:spacing w:after="0"/>
              <w:rPr>
                <w:sz w:val="24"/>
                <w:szCs w:val="24"/>
                <w:color w:val="auto"/>
              </w:rPr>
            </w:pPr>
          </w:p>
        </w:tc>
        <w:tc>
          <w:tcPr>
            <w:tcW w:w="4340" w:type="dxa"/>
            <w:vAlign w:val="bottom"/>
          </w:tcPr>
          <w:p>
            <w:pPr>
              <w:ind w:left="1740"/>
              <w:spacing w:after="0"/>
              <w:rPr>
                <w:sz w:val="20"/>
                <w:szCs w:val="20"/>
                <w:color w:val="auto"/>
              </w:rPr>
            </w:pPr>
            <w:r>
              <w:rPr>
                <w:rFonts w:ascii="Arial" w:cs="Arial" w:eastAsia="Arial" w:hAnsi="Arial"/>
                <w:sz w:val="22"/>
                <w:szCs w:val="22"/>
                <w:color w:val="auto"/>
              </w:rPr>
              <w:t>Name:</w:t>
            </w:r>
          </w:p>
        </w:tc>
        <w:tc>
          <w:tcPr>
            <w:tcW w:w="3160" w:type="dxa"/>
            <w:vAlign w:val="bottom"/>
          </w:tcPr>
          <w:p>
            <w:pPr>
              <w:ind w:left="20"/>
              <w:spacing w:after="0"/>
              <w:rPr>
                <w:sz w:val="20"/>
                <w:szCs w:val="20"/>
                <w:color w:val="auto"/>
              </w:rPr>
            </w:pPr>
            <w:r>
              <w:rPr>
                <w:rFonts w:ascii="Arial" w:cs="Arial" w:eastAsia="Arial" w:hAnsi="Arial"/>
                <w:sz w:val="22"/>
                <w:szCs w:val="22"/>
                <w:color w:val="auto"/>
              </w:rPr>
              <w:t>John Whittle</w:t>
            </w:r>
          </w:p>
        </w:tc>
      </w:tr>
      <w:tr>
        <w:trPr>
          <w:trHeight w:val="603"/>
        </w:trPr>
        <w:tc>
          <w:tcPr>
            <w:tcW w:w="3000" w:type="dxa"/>
            <w:vAlign w:val="bottom"/>
          </w:tcPr>
          <w:p>
            <w:pPr>
              <w:spacing w:after="0"/>
              <w:rPr>
                <w:sz w:val="24"/>
                <w:szCs w:val="24"/>
                <w:color w:val="auto"/>
              </w:rPr>
            </w:pPr>
          </w:p>
        </w:tc>
        <w:tc>
          <w:tcPr>
            <w:tcW w:w="4340" w:type="dxa"/>
            <w:vAlign w:val="bottom"/>
          </w:tcPr>
          <w:p>
            <w:pPr>
              <w:ind w:left="1740"/>
              <w:spacing w:after="0"/>
              <w:rPr>
                <w:sz w:val="20"/>
                <w:szCs w:val="20"/>
                <w:color w:val="auto"/>
              </w:rPr>
            </w:pPr>
            <w:r>
              <w:rPr>
                <w:rFonts w:ascii="Arial" w:cs="Arial" w:eastAsia="Arial" w:hAnsi="Arial"/>
                <w:sz w:val="22"/>
                <w:szCs w:val="22"/>
                <w:color w:val="auto"/>
              </w:rPr>
              <w:t>Title:</w:t>
            </w:r>
          </w:p>
        </w:tc>
        <w:tc>
          <w:tcPr>
            <w:tcW w:w="3160" w:type="dxa"/>
            <w:vAlign w:val="bottom"/>
          </w:tcPr>
          <w:p>
            <w:pPr>
              <w:ind w:left="20"/>
              <w:spacing w:after="0"/>
              <w:rPr>
                <w:sz w:val="20"/>
                <w:szCs w:val="20"/>
                <w:color w:val="auto"/>
              </w:rPr>
            </w:pPr>
            <w:r>
              <w:rPr>
                <w:rFonts w:ascii="Arial" w:cs="Arial" w:eastAsia="Arial" w:hAnsi="Arial"/>
                <w:sz w:val="22"/>
                <w:szCs w:val="22"/>
                <w:color w:val="auto"/>
                <w:w w:val="93"/>
              </w:rPr>
              <w:t>Executive Vice President, General</w:t>
            </w:r>
          </w:p>
        </w:tc>
      </w:tr>
      <w:tr>
        <w:trPr>
          <w:trHeight w:val="275"/>
        </w:trPr>
        <w:tc>
          <w:tcPr>
            <w:tcW w:w="30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3160" w:type="dxa"/>
            <w:vAlign w:val="bottom"/>
          </w:tcPr>
          <w:p>
            <w:pPr>
              <w:ind w:left="20"/>
              <w:spacing w:after="0"/>
              <w:rPr>
                <w:sz w:val="20"/>
                <w:szCs w:val="20"/>
                <w:color w:val="auto"/>
              </w:rPr>
            </w:pPr>
            <w:r>
              <w:rPr>
                <w:rFonts w:ascii="Arial" w:cs="Arial" w:eastAsia="Arial" w:hAnsi="Arial"/>
                <w:sz w:val="22"/>
                <w:szCs w:val="22"/>
                <w:color w:val="auto"/>
                <w:w w:val="95"/>
              </w:rPr>
              <w:t>Counsel and Corporate Secretary</w:t>
            </w:r>
          </w:p>
        </w:tc>
      </w:tr>
      <w:tr>
        <w:trPr>
          <w:trHeight w:val="848"/>
        </w:trPr>
        <w:tc>
          <w:tcPr>
            <w:tcW w:w="300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4340" w:type="dxa"/>
            <w:vAlign w:val="bottom"/>
          </w:tcPr>
          <w:p>
            <w:pPr>
              <w:ind w:left="1740"/>
              <w:spacing w:after="0"/>
              <w:rPr>
                <w:sz w:val="20"/>
                <w:szCs w:val="20"/>
                <w:color w:val="auto"/>
              </w:rPr>
            </w:pPr>
            <w:r>
              <w:rPr>
                <w:rFonts w:ascii="Arial" w:cs="Arial" w:eastAsia="Arial" w:hAnsi="Arial"/>
                <w:sz w:val="22"/>
                <w:szCs w:val="22"/>
                <w:color w:val="auto"/>
              </w:rPr>
              <w:t>By:</w:t>
            </w: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Xie</w:t>
            </w:r>
          </w:p>
        </w:tc>
      </w:tr>
      <w:tr>
        <w:trPr>
          <w:trHeight w:val="280"/>
        </w:trPr>
        <w:tc>
          <w:tcPr>
            <w:tcW w:w="3000" w:type="dxa"/>
            <w:vAlign w:val="bottom"/>
          </w:tcPr>
          <w:p>
            <w:pPr>
              <w:spacing w:after="0"/>
              <w:rPr>
                <w:sz w:val="24"/>
                <w:szCs w:val="24"/>
                <w:color w:val="auto"/>
              </w:rPr>
            </w:pPr>
          </w:p>
        </w:tc>
        <w:tc>
          <w:tcPr>
            <w:tcW w:w="4340" w:type="dxa"/>
            <w:vAlign w:val="bottom"/>
          </w:tcPr>
          <w:p>
            <w:pPr>
              <w:ind w:left="1740"/>
              <w:spacing w:after="0"/>
              <w:rPr>
                <w:sz w:val="20"/>
                <w:szCs w:val="20"/>
                <w:color w:val="auto"/>
              </w:rPr>
            </w:pPr>
            <w:r>
              <w:rPr>
                <w:rFonts w:ascii="Arial" w:cs="Arial" w:eastAsia="Arial" w:hAnsi="Arial"/>
                <w:sz w:val="22"/>
                <w:szCs w:val="22"/>
                <w:color w:val="auto"/>
              </w:rPr>
              <w:t>Name:</w:t>
            </w:r>
          </w:p>
        </w:tc>
        <w:tc>
          <w:tcPr>
            <w:tcW w:w="3160" w:type="dxa"/>
            <w:vAlign w:val="bottom"/>
          </w:tcPr>
          <w:p>
            <w:pPr>
              <w:ind w:left="20"/>
              <w:spacing w:after="0"/>
              <w:rPr>
                <w:sz w:val="20"/>
                <w:szCs w:val="20"/>
                <w:color w:val="auto"/>
              </w:rPr>
            </w:pPr>
            <w:r>
              <w:rPr>
                <w:rFonts w:ascii="Arial" w:cs="Arial" w:eastAsia="Arial" w:hAnsi="Arial"/>
                <w:sz w:val="22"/>
                <w:szCs w:val="22"/>
                <w:color w:val="auto"/>
              </w:rPr>
              <w:t>Michael Xie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8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10.4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Amended and Restated Change of Control Severance Agreement (the “Agreement”) is made and entered into by and between John Whittle (“Executive”) and Fortinet, Inc. (the “Company”), effective as of August 7, 2019 (the “Effective Date”) and supersedes the Amended and Restated Change of Control Severance Agreement, between Executive and the Company (the “Prior Agreement”), effective as of February 4, 2016.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47" w:lineRule="auto"/>
        <w:tabs>
          <w:tab w:leader="none" w:pos="103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93" w:lineRule="exact"/>
        <w:rPr>
          <w:rFonts w:ascii="Arial" w:cs="Arial" w:eastAsia="Arial" w:hAnsi="Arial"/>
          <w:sz w:val="22"/>
          <w:szCs w:val="22"/>
          <w:color w:val="auto"/>
        </w:rPr>
      </w:pPr>
    </w:p>
    <w:p>
      <w:pPr>
        <w:jc w:val="both"/>
        <w:ind w:firstLine="656"/>
        <w:spacing w:after="0" w:line="253" w:lineRule="auto"/>
        <w:tabs>
          <w:tab w:leader="none" w:pos="110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0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firstLine="656"/>
        <w:spacing w:after="0" w:line="253" w:lineRule="auto"/>
        <w:tabs>
          <w:tab w:leader="none" w:pos="1459" w:val="left"/>
        </w:tabs>
        <w:numPr>
          <w:ilvl w:val="0"/>
          <w:numId w:val="118"/>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85" w:lineRule="exact"/>
        <w:rPr>
          <w:rFonts w:ascii="Arial" w:cs="Arial" w:eastAsia="Arial" w:hAnsi="Arial"/>
          <w:sz w:val="22"/>
          <w:szCs w:val="22"/>
          <w:color w:val="010000"/>
        </w:rPr>
      </w:pPr>
    </w:p>
    <w:p>
      <w:pPr>
        <w:jc w:val="both"/>
        <w:ind w:firstLine="656"/>
        <w:spacing w:after="0" w:line="248" w:lineRule="auto"/>
        <w:tabs>
          <w:tab w:leader="none" w:pos="1459"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will continue to be at-will, as defined under applicable law. If Executive’s employment terminates for any reason, including (without limitation) any termination prior to or twelve (12) months following a Change of Control, Executive will not be entitled to any acceleration of any Award (as defined herein) vesting or severance pay based on termination of employment other than as provided by this Agreement.</w:t>
      </w:r>
    </w:p>
    <w:p>
      <w:pPr>
        <w:sectPr>
          <w:pgSz w:w="11900" w:h="16838" w:orient="portrait"/>
          <w:cols w:equalWidth="0" w:num="1">
            <w:col w:w="11420"/>
          </w:cols>
          <w:pgMar w:left="240" w:top="841" w:right="239" w:bottom="1440" w:gutter="0" w:footer="0" w:header="0"/>
        </w:sectPr>
      </w:pPr>
    </w:p>
    <w:bookmarkStart w:id="118" w:name="page119"/>
    <w:bookmarkEnd w:id="118"/>
    <w:p>
      <w:pPr>
        <w:ind w:left="1460" w:hanging="804"/>
        <w:spacing w:after="0"/>
        <w:tabs>
          <w:tab w:leader="none" w:pos="1460"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300" w:lineRule="auto"/>
        <w:tabs>
          <w:tab w:leader="none" w:pos="1757" w:val="left"/>
        </w:tabs>
        <w:numPr>
          <w:ilvl w:val="2"/>
          <w:numId w:val="119"/>
        </w:numPr>
        <w:rPr>
          <w:rFonts w:ascii="Arial" w:cs="Arial" w:eastAsia="Arial" w:hAnsi="Arial"/>
          <w:sz w:val="19"/>
          <w:szCs w:val="19"/>
          <w:color w:val="010000"/>
        </w:rPr>
      </w:pPr>
      <w:r>
        <w:rPr>
          <w:rFonts w:ascii="Arial" w:cs="Arial" w:eastAsia="Arial" w:hAnsi="Arial"/>
          <w:sz w:val="19"/>
          <w:szCs w:val="19"/>
          <w:u w:val="single" w:color="auto"/>
          <w:color w:val="auto"/>
        </w:rPr>
        <w:t>Involuntary Termination Prior to, or Absent, a Change of Control or After 12 Months Following a Change of Control</w:t>
      </w:r>
      <w:r>
        <w:rPr>
          <w:rFonts w:ascii="Arial" w:cs="Arial" w:eastAsia="Arial" w:hAnsi="Arial"/>
          <w:sz w:val="19"/>
          <w:szCs w:val="19"/>
          <w:color w:val="auto"/>
        </w:rPr>
        <w:t>. If prior to, or absent, a Change of Control or after twelve (12) months following a Change of Control, (i) the Company (or any parent or subsidiary of the Company) terminates Executive’s employment without Cause (as defined herein) or (ii) Executive terminates Executive’s employment with the Company (or any parent or subsidiary of the Company) for Good Reason (as defined herein), then, subject to Sections 3(c) and (d) below, Executive will receive the following severance from the Company:</w:t>
      </w:r>
    </w:p>
    <w:p>
      <w:pPr>
        <w:spacing w:after="0" w:line="147" w:lineRule="exact"/>
        <w:rPr>
          <w:rFonts w:ascii="Arial" w:cs="Arial" w:eastAsia="Arial" w:hAnsi="Arial"/>
          <w:sz w:val="19"/>
          <w:szCs w:val="19"/>
          <w:color w:val="010000"/>
        </w:rPr>
      </w:pPr>
    </w:p>
    <w:p>
      <w:pPr>
        <w:ind w:left="2340" w:hanging="387"/>
        <w:spacing w:after="0"/>
        <w:tabs>
          <w:tab w:leader="none" w:pos="2340" w:val="left"/>
        </w:tabs>
        <w:numPr>
          <w:ilvl w:val="3"/>
          <w:numId w:val="119"/>
        </w:numPr>
        <w:rPr>
          <w:rFonts w:ascii="Arial" w:cs="Arial" w:eastAsia="Arial" w:hAnsi="Arial"/>
          <w:sz w:val="19"/>
          <w:szCs w:val="19"/>
          <w:color w:val="010000"/>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Executive will receive continuing payments of severance pay for a period of twelve</w:t>
      </w:r>
    </w:p>
    <w:p>
      <w:pPr>
        <w:spacing w:after="0" w:line="56" w:lineRule="exact"/>
        <w:rPr>
          <w:rFonts w:ascii="Arial" w:cs="Arial" w:eastAsia="Arial" w:hAnsi="Arial"/>
          <w:sz w:val="19"/>
          <w:szCs w:val="19"/>
          <w:color w:val="010000"/>
        </w:rPr>
      </w:pPr>
    </w:p>
    <w:p>
      <w:pPr>
        <w:ind w:firstLine="8"/>
        <w:spacing w:after="0" w:line="259" w:lineRule="auto"/>
        <w:tabs>
          <w:tab w:leader="none" w:pos="43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months from the date of such termination equal to Executive’s base salary rate as in effect immediately prior to Executive’s termination.</w:t>
      </w:r>
    </w:p>
    <w:p>
      <w:pPr>
        <w:spacing w:after="0" w:line="178" w:lineRule="exact"/>
        <w:rPr>
          <w:rFonts w:ascii="Arial" w:cs="Arial" w:eastAsia="Arial" w:hAnsi="Arial"/>
          <w:sz w:val="22"/>
          <w:szCs w:val="22"/>
          <w:color w:val="auto"/>
        </w:rPr>
      </w:pPr>
    </w:p>
    <w:p>
      <w:pPr>
        <w:jc w:val="both"/>
        <w:ind w:firstLine="1953"/>
        <w:spacing w:after="0" w:line="251" w:lineRule="auto"/>
        <w:tabs>
          <w:tab w:leader="none" w:pos="2537" w:val="left"/>
        </w:tabs>
        <w:numPr>
          <w:ilvl w:val="3"/>
          <w:numId w:val="120"/>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If Executive holds unvested equity awards (“Awards”) at the time of Executive’s termination, then the unvested portion of such Awards that would have otherwise vested over a twelve (12) month period following such termination pursuant to the vesting schedule set forth in the award agreement will immediately vest as of Executive’s termination date. The Awards will remain exercisable following the termination for the period prescribed in the respective stock plan and agreement for each award.</w:t>
      </w:r>
    </w:p>
    <w:p>
      <w:pPr>
        <w:spacing w:after="0" w:line="189" w:lineRule="exact"/>
        <w:rPr>
          <w:rFonts w:ascii="Arial" w:cs="Arial" w:eastAsia="Arial" w:hAnsi="Arial"/>
          <w:sz w:val="22"/>
          <w:szCs w:val="22"/>
          <w:color w:val="010000"/>
        </w:rPr>
      </w:pPr>
    </w:p>
    <w:p>
      <w:pPr>
        <w:ind w:left="2520" w:hanging="567"/>
        <w:spacing w:after="0"/>
        <w:tabs>
          <w:tab w:leader="none" w:pos="2520" w:val="left"/>
        </w:tabs>
        <w:numPr>
          <w:ilvl w:val="3"/>
          <w:numId w:val="120"/>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w:t>
      </w:r>
    </w:p>
    <w:p>
      <w:pPr>
        <w:spacing w:after="0" w:line="56" w:lineRule="exact"/>
        <w:rPr>
          <w:rFonts w:ascii="Arial" w:cs="Arial" w:eastAsia="Arial" w:hAnsi="Arial"/>
          <w:sz w:val="19"/>
          <w:szCs w:val="19"/>
          <w:color w:val="010000"/>
        </w:rPr>
      </w:pPr>
    </w:p>
    <w:p>
      <w:pPr>
        <w:ind w:left="420" w:hanging="412"/>
        <w:spacing w:after="0"/>
        <w:tabs>
          <w:tab w:leader="none" w:pos="42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months for Executive and Executive’s eligible dependents under the Company’s Benefit Plans (as defined herein).</w:t>
      </w:r>
    </w:p>
    <w:p>
      <w:pPr>
        <w:spacing w:after="0" w:line="226" w:lineRule="exact"/>
        <w:rPr>
          <w:rFonts w:ascii="Arial" w:cs="Arial" w:eastAsia="Arial" w:hAnsi="Arial"/>
          <w:sz w:val="21"/>
          <w:szCs w:val="21"/>
          <w:color w:val="auto"/>
        </w:rPr>
      </w:pPr>
    </w:p>
    <w:p>
      <w:pPr>
        <w:jc w:val="both"/>
        <w:ind w:firstLine="1305"/>
        <w:spacing w:after="0" w:line="251" w:lineRule="auto"/>
        <w:tabs>
          <w:tab w:leader="none" w:pos="1864" w:val="left"/>
        </w:tabs>
        <w:numPr>
          <w:ilvl w:val="2"/>
          <w:numId w:val="121"/>
        </w:numPr>
        <w:rPr>
          <w:rFonts w:ascii="Arial" w:cs="Arial" w:eastAsia="Arial" w:hAnsi="Arial"/>
          <w:sz w:val="22"/>
          <w:szCs w:val="22"/>
          <w:color w:val="010000"/>
        </w:rPr>
      </w:pPr>
      <w:r>
        <w:rPr>
          <w:rFonts w:ascii="Arial" w:cs="Arial" w:eastAsia="Arial" w:hAnsi="Arial"/>
          <w:sz w:val="22"/>
          <w:szCs w:val="22"/>
          <w:u w:val="single" w:color="auto"/>
          <w:color w:val="auto"/>
        </w:rPr>
        <w:t>Involuntary Termination within 12 Months Following a Change of Control</w:t>
      </w:r>
      <w:r>
        <w:rPr>
          <w:rFonts w:ascii="Arial" w:cs="Arial" w:eastAsia="Arial" w:hAnsi="Arial"/>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89" w:lineRule="exact"/>
        <w:rPr>
          <w:rFonts w:ascii="Arial" w:cs="Arial" w:eastAsia="Arial" w:hAnsi="Arial"/>
          <w:sz w:val="22"/>
          <w:szCs w:val="22"/>
          <w:color w:val="010000"/>
        </w:rPr>
      </w:pPr>
    </w:p>
    <w:p>
      <w:pPr>
        <w:ind w:left="2340" w:hanging="387"/>
        <w:spacing w:after="0"/>
        <w:tabs>
          <w:tab w:leader="none" w:pos="2340" w:val="left"/>
        </w:tabs>
        <w:numPr>
          <w:ilvl w:val="3"/>
          <w:numId w:val="121"/>
        </w:numPr>
        <w:rPr>
          <w:rFonts w:ascii="Arial" w:cs="Arial" w:eastAsia="Arial" w:hAnsi="Arial"/>
          <w:sz w:val="19"/>
          <w:szCs w:val="19"/>
          <w:color w:val="010000"/>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Executive will receive continuing payments of severance pay for a period of twelve</w:t>
      </w:r>
    </w:p>
    <w:p>
      <w:pPr>
        <w:spacing w:after="0" w:line="56" w:lineRule="exact"/>
        <w:rPr>
          <w:rFonts w:ascii="Arial" w:cs="Arial" w:eastAsia="Arial" w:hAnsi="Arial"/>
          <w:sz w:val="19"/>
          <w:szCs w:val="19"/>
          <w:color w:val="010000"/>
        </w:rPr>
      </w:pPr>
    </w:p>
    <w:p>
      <w:pPr>
        <w:ind w:firstLine="8"/>
        <w:spacing w:after="0" w:line="259" w:lineRule="auto"/>
        <w:tabs>
          <w:tab w:leader="none" w:pos="41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months from the date of such termination equal to Executive’s base salary rate as in effect immediately prior to (A) the Change of Control, or (B) Executive’s termination, whichever is greater.</w:t>
      </w:r>
    </w:p>
    <w:p>
      <w:pPr>
        <w:spacing w:after="0" w:line="178" w:lineRule="exact"/>
        <w:rPr>
          <w:rFonts w:ascii="Arial" w:cs="Arial" w:eastAsia="Arial" w:hAnsi="Arial"/>
          <w:sz w:val="22"/>
          <w:szCs w:val="22"/>
          <w:color w:val="auto"/>
        </w:rPr>
      </w:pPr>
    </w:p>
    <w:p>
      <w:pPr>
        <w:jc w:val="both"/>
        <w:ind w:firstLine="1953"/>
        <w:spacing w:after="0" w:line="294" w:lineRule="auto"/>
        <w:tabs>
          <w:tab w:leader="none" w:pos="2470" w:val="left"/>
        </w:tabs>
        <w:numPr>
          <w:ilvl w:val="3"/>
          <w:numId w:val="122"/>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If Executive holds Awards at the time of Executive’s termination, then one hundred percent (100%) of the then- unvested shares subject to such Awards will immediately vest as of Executive’s termination date. For the sake of clarity, Executive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 The Awards will remain exercisable, to the extent applicable,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following the termination for the period prescribed in the respective stock plan and agreement for each Award.</w:t>
      </w:r>
    </w:p>
    <w:p>
      <w:pPr>
        <w:spacing w:after="0" w:line="220" w:lineRule="exact"/>
        <w:rPr>
          <w:sz w:val="20"/>
          <w:szCs w:val="20"/>
          <w:color w:val="auto"/>
        </w:rPr>
      </w:pPr>
    </w:p>
    <w:p>
      <w:pPr>
        <w:ind w:left="2520" w:hanging="567"/>
        <w:spacing w:after="0"/>
        <w:tabs>
          <w:tab w:leader="none" w:pos="2520" w:val="left"/>
        </w:tabs>
        <w:numPr>
          <w:ilvl w:val="2"/>
          <w:numId w:val="123"/>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w:t>
      </w:r>
    </w:p>
    <w:p>
      <w:pPr>
        <w:spacing w:after="0" w:line="56" w:lineRule="exact"/>
        <w:rPr>
          <w:rFonts w:ascii="Arial" w:cs="Arial" w:eastAsia="Arial" w:hAnsi="Arial"/>
          <w:sz w:val="19"/>
          <w:szCs w:val="19"/>
          <w:color w:val="010000"/>
        </w:rPr>
      </w:pPr>
    </w:p>
    <w:p>
      <w:pPr>
        <w:ind w:left="420" w:hanging="412"/>
        <w:spacing w:after="0"/>
        <w:tabs>
          <w:tab w:leader="none" w:pos="4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months for Executive and Executive’s eligible dependents under the Company’s Benefit Plans.</w:t>
      </w:r>
    </w:p>
    <w:p>
      <w:pPr>
        <w:spacing w:after="0" w:line="215" w:lineRule="exact"/>
        <w:rPr>
          <w:rFonts w:ascii="Arial" w:cs="Arial" w:eastAsia="Arial" w:hAnsi="Arial"/>
          <w:sz w:val="22"/>
          <w:szCs w:val="22"/>
          <w:color w:val="auto"/>
        </w:rPr>
      </w:pPr>
    </w:p>
    <w:p>
      <w:pPr>
        <w:ind w:left="1740" w:hanging="435"/>
        <w:spacing w:after="0"/>
        <w:tabs>
          <w:tab w:leader="none" w:pos="1740" w:val="left"/>
        </w:tabs>
        <w:numPr>
          <w:ilvl w:val="1"/>
          <w:numId w:val="124"/>
        </w:numPr>
        <w:rPr>
          <w:rFonts w:ascii="Arial" w:cs="Arial" w:eastAsia="Arial" w:hAnsi="Arial"/>
          <w:sz w:val="19"/>
          <w:szCs w:val="19"/>
          <w:color w:val="010000"/>
        </w:rPr>
      </w:pPr>
      <w:r>
        <w:rPr>
          <w:rFonts w:ascii="Arial" w:cs="Arial" w:eastAsia="Arial" w:hAnsi="Arial"/>
          <w:sz w:val="19"/>
          <w:szCs w:val="19"/>
          <w:u w:val="single" w:color="auto"/>
          <w:color w:val="auto"/>
        </w:rPr>
        <w:t>Release of Claims Agreement</w:t>
      </w:r>
      <w:r>
        <w:rPr>
          <w:rFonts w:ascii="Arial" w:cs="Arial" w:eastAsia="Arial" w:hAnsi="Arial"/>
          <w:sz w:val="19"/>
          <w:szCs w:val="19"/>
          <w:color w:val="auto"/>
        </w:rPr>
        <w:t>. The receipt of any severance pay or other benefits pursuant to Sections 3(a) and</w:t>
      </w:r>
    </w:p>
    <w:p>
      <w:pPr>
        <w:spacing w:after="0" w:line="56" w:lineRule="exact"/>
        <w:rPr>
          <w:rFonts w:ascii="Arial" w:cs="Arial" w:eastAsia="Arial" w:hAnsi="Arial"/>
          <w:sz w:val="19"/>
          <w:szCs w:val="19"/>
          <w:color w:val="010000"/>
        </w:rPr>
      </w:pPr>
    </w:p>
    <w:p>
      <w:pPr>
        <w:jc w:val="both"/>
        <w:spacing w:after="0" w:line="245" w:lineRule="auto"/>
        <w:rPr>
          <w:rFonts w:ascii="Arial" w:cs="Arial" w:eastAsia="Arial" w:hAnsi="Arial"/>
          <w:sz w:val="19"/>
          <w:szCs w:val="19"/>
          <w:color w:val="010000"/>
        </w:rPr>
      </w:pPr>
      <w:r>
        <w:rPr>
          <w:rFonts w:ascii="Arial" w:cs="Arial" w:eastAsia="Arial" w:hAnsi="Arial"/>
          <w:sz w:val="22"/>
          <w:szCs w:val="22"/>
          <w:color w:val="auto"/>
        </w:rPr>
        <w:t>(b)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the later of (i) the fifteenth day of the third month after the end of the Company’s fiscal year in which such termination of employment occurs, or (ii) March 15 of the calendar year following the calendar year in which such termination of employment occurs. No such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effective date of such release.</w:t>
      </w:r>
    </w:p>
    <w:p>
      <w:pPr>
        <w:spacing w:after="0" w:line="198" w:lineRule="exact"/>
        <w:rPr>
          <w:rFonts w:ascii="Arial" w:cs="Arial" w:eastAsia="Arial" w:hAnsi="Arial"/>
          <w:sz w:val="19"/>
          <w:szCs w:val="19"/>
          <w:color w:val="010000"/>
        </w:rPr>
      </w:pPr>
    </w:p>
    <w:p>
      <w:pPr>
        <w:jc w:val="both"/>
        <w:ind w:firstLine="1305"/>
        <w:spacing w:after="0" w:line="259" w:lineRule="auto"/>
        <w:tabs>
          <w:tab w:leader="none" w:pos="1769" w:val="left"/>
        </w:tabs>
        <w:numPr>
          <w:ilvl w:val="1"/>
          <w:numId w:val="124"/>
        </w:numPr>
        <w:rPr>
          <w:rFonts w:ascii="Arial" w:cs="Arial" w:eastAsia="Arial" w:hAnsi="Arial"/>
          <w:sz w:val="21"/>
          <w:szCs w:val="21"/>
          <w:color w:val="010000"/>
        </w:rPr>
      </w:pPr>
      <w:r>
        <w:rPr>
          <w:rFonts w:ascii="Arial" w:cs="Arial" w:eastAsia="Arial" w:hAnsi="Arial"/>
          <w:sz w:val="21"/>
          <w:szCs w:val="21"/>
          <w:u w:val="single" w:color="auto"/>
          <w:color w:val="auto"/>
        </w:rPr>
        <w:t>Non-solicitation and Non-competition</w:t>
      </w:r>
      <w:r>
        <w:rPr>
          <w:rFonts w:ascii="Arial" w:cs="Arial" w:eastAsia="Arial" w:hAnsi="Arial"/>
          <w:sz w:val="21"/>
          <w:szCs w:val="21"/>
          <w:color w:val="auto"/>
        </w:rPr>
        <w:t>. Executive agrees, to the extent permitted by applicable law, that in the event Executive receives severance pay or other benefits pursuant to Sections 3(a) and (b) above, for the twelve (12) consecutive month period immediately following the date of Executive’s termination, Executive, as a condition to receipt of severance pay and benefits under Sections 3(a) and (b), will not (i) either directly or indirectly, solicit, induce, recruit, encourage any employee of the Company to leave his employment either for Executive or for any other entity or person, or (ii) without the express 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covenants contained in this Section 3(d)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3(d).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3(d) are deemed to exceed the time, geographic or scope limitations permitted by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20" w:name="page121"/>
    <w:bookmarkEnd w:id="120"/>
    <w:p>
      <w:pPr>
        <w:spacing w:after="0" w:line="263" w:lineRule="auto"/>
        <w:rPr>
          <w:sz w:val="20"/>
          <w:szCs w:val="20"/>
          <w:color w:val="auto"/>
        </w:rPr>
      </w:pPr>
      <w:r>
        <w:rPr>
          <w:rFonts w:ascii="Arial" w:cs="Arial" w:eastAsia="Arial" w:hAnsi="Arial"/>
          <w:sz w:val="22"/>
          <w:szCs w:val="22"/>
          <w:color w:val="auto"/>
        </w:rPr>
        <w:t>applicable law, then such provisions shall be reformed to the maximum time, geographic or scope limitations, as the case may be, permitted by applicable law.</w:t>
      </w:r>
    </w:p>
    <w:p>
      <w:pPr>
        <w:spacing w:after="0" w:line="175" w:lineRule="exact"/>
        <w:rPr>
          <w:sz w:val="20"/>
          <w:szCs w:val="20"/>
          <w:color w:val="auto"/>
        </w:rPr>
      </w:pPr>
    </w:p>
    <w:p>
      <w:pPr>
        <w:jc w:val="both"/>
        <w:ind w:firstLine="1305"/>
        <w:spacing w:after="0" w:line="251" w:lineRule="auto"/>
        <w:tabs>
          <w:tab w:leader="none" w:pos="1824" w:val="left"/>
        </w:tabs>
        <w:numPr>
          <w:ilvl w:val="1"/>
          <w:numId w:val="125"/>
        </w:numPr>
        <w:rPr>
          <w:rFonts w:ascii="Arial" w:cs="Arial" w:eastAsia="Arial" w:hAnsi="Arial"/>
          <w:sz w:val="22"/>
          <w:szCs w:val="22"/>
          <w:color w:val="010000"/>
        </w:rPr>
      </w:pP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 3(c),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9" w:lineRule="exact"/>
        <w:rPr>
          <w:rFonts w:ascii="Arial" w:cs="Arial" w:eastAsia="Arial" w:hAnsi="Arial"/>
          <w:sz w:val="22"/>
          <w:szCs w:val="22"/>
          <w:color w:val="010000"/>
        </w:rPr>
      </w:pPr>
    </w:p>
    <w:p>
      <w:pPr>
        <w:jc w:val="both"/>
        <w:ind w:firstLine="1305"/>
        <w:spacing w:after="0" w:line="299" w:lineRule="auto"/>
        <w:tabs>
          <w:tab w:leader="none" w:pos="1773" w:val="left"/>
        </w:tabs>
        <w:numPr>
          <w:ilvl w:val="1"/>
          <w:numId w:val="125"/>
        </w:numPr>
        <w:rPr>
          <w:rFonts w:ascii="Arial" w:cs="Arial" w:eastAsia="Arial" w:hAnsi="Arial"/>
          <w:sz w:val="19"/>
          <w:szCs w:val="19"/>
          <w:color w:val="010000"/>
        </w:rPr>
      </w:pPr>
      <w:r>
        <w:rPr>
          <w:rFonts w:ascii="Arial" w:cs="Arial" w:eastAsia="Arial" w:hAnsi="Arial"/>
          <w:sz w:val="19"/>
          <w:szCs w:val="19"/>
          <w:u w:val="single" w:color="auto"/>
          <w:color w:val="auto"/>
        </w:rPr>
        <w:t>Voluntary Resignation; Termination For Cause</w:t>
      </w:r>
      <w:r>
        <w:rPr>
          <w:rFonts w:ascii="Arial" w:cs="Arial" w:eastAsia="Arial" w:hAnsi="Arial"/>
          <w:sz w:val="19"/>
          <w:szCs w:val="19"/>
          <w:color w:val="auto"/>
        </w:rPr>
        <w:t>. If Executive’s employment with the Company terminates (i) voluntarily by Executive (except upon a termination for Good Reason within twelve (12) months following a Change of Control) or</w:t>
      </w:r>
    </w:p>
    <w:p>
      <w:pPr>
        <w:jc w:val="both"/>
        <w:ind w:firstLine="8"/>
        <w:spacing w:after="0" w:line="302" w:lineRule="auto"/>
        <w:tabs>
          <w:tab w:leader="none" w:pos="35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43" w:lineRule="exact"/>
        <w:rPr>
          <w:rFonts w:ascii="Arial" w:cs="Arial" w:eastAsia="Arial" w:hAnsi="Arial"/>
          <w:sz w:val="19"/>
          <w:szCs w:val="19"/>
          <w:color w:val="auto"/>
        </w:rPr>
      </w:pPr>
    </w:p>
    <w:p>
      <w:pPr>
        <w:jc w:val="both"/>
        <w:ind w:firstLine="1305"/>
        <w:spacing w:after="0" w:line="307" w:lineRule="auto"/>
        <w:tabs>
          <w:tab w:leader="none" w:pos="1756" w:val="left"/>
        </w:tabs>
        <w:numPr>
          <w:ilvl w:val="1"/>
          <w:numId w:val="126"/>
        </w:numPr>
        <w:rPr>
          <w:rFonts w:ascii="Arial" w:cs="Arial" w:eastAsia="Arial" w:hAnsi="Arial"/>
          <w:sz w:val="19"/>
          <w:szCs w:val="19"/>
          <w:color w:val="010000"/>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38" w:lineRule="exact"/>
        <w:rPr>
          <w:rFonts w:ascii="Arial" w:cs="Arial" w:eastAsia="Arial" w:hAnsi="Arial"/>
          <w:sz w:val="19"/>
          <w:szCs w:val="19"/>
          <w:color w:val="010000"/>
        </w:rPr>
      </w:pPr>
    </w:p>
    <w:p>
      <w:pPr>
        <w:jc w:val="both"/>
        <w:ind w:firstLine="1305"/>
        <w:spacing w:after="0" w:line="300" w:lineRule="auto"/>
        <w:tabs>
          <w:tab w:leader="none" w:pos="1756" w:val="left"/>
        </w:tabs>
        <w:numPr>
          <w:ilvl w:val="1"/>
          <w:numId w:val="126"/>
        </w:numPr>
        <w:rPr>
          <w:rFonts w:ascii="Arial" w:cs="Arial" w:eastAsia="Arial" w:hAnsi="Arial"/>
          <w:sz w:val="19"/>
          <w:szCs w:val="19"/>
          <w:color w:val="010000"/>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In the event of a termination of Executive’s employment with the Company (or any parent or subsidiary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47" w:lineRule="exact"/>
        <w:rPr>
          <w:rFonts w:ascii="Arial" w:cs="Arial" w:eastAsia="Arial" w:hAnsi="Arial"/>
          <w:sz w:val="19"/>
          <w:szCs w:val="19"/>
          <w:color w:val="010000"/>
        </w:rPr>
      </w:pPr>
    </w:p>
    <w:p>
      <w:pPr>
        <w:jc w:val="both"/>
        <w:ind w:firstLine="1305"/>
        <w:spacing w:after="0" w:line="290" w:lineRule="auto"/>
        <w:tabs>
          <w:tab w:leader="none" w:pos="1721" w:val="left"/>
        </w:tabs>
        <w:numPr>
          <w:ilvl w:val="1"/>
          <w:numId w:val="126"/>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 “specified employee” within the meaning of Section 409A at the time of Executive’s termination (other than due to death), then the Deferred Compensation Separation Benefits that are payable within the first six (6) months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21" w:name="page122"/>
    <w:bookmarkEnd w:id="121"/>
    <w:p>
      <w:pPr>
        <w:jc w:val="both"/>
        <w:spacing w:after="0" w:line="266" w:lineRule="auto"/>
        <w:rPr>
          <w:sz w:val="20"/>
          <w:szCs w:val="20"/>
          <w:color w:val="auto"/>
        </w:rPr>
      </w:pPr>
      <w:r>
        <w:rPr>
          <w:rFonts w:ascii="Arial" w:cs="Arial" w:eastAsia="Arial" w:hAnsi="Arial"/>
          <w:sz w:val="20"/>
          <w:szCs w:val="20"/>
          <w:color w:val="auto"/>
        </w:rPr>
        <w:t>following Executive’s separation from service, will become payable in a lump sum (without interest)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sum (without interest)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For any Deferred Compensation Separation Benefits, the release of claim agreement under Section 3(c) hereof must become irrevocable within sixty (60) days of the date of termination and benefits shall commence upon the date provided in Section 3(e) hereof, provided, that if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termination of Executive’s employment with the Company falls in the calendar year following the calendar year containing the date of termination, the benefits will be made no earlier than the first business day of that following calendar year.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as provided herein.</w:t>
      </w:r>
    </w:p>
    <w:p>
      <w:pPr>
        <w:spacing w:after="0" w:line="179" w:lineRule="exact"/>
        <w:rPr>
          <w:sz w:val="20"/>
          <w:szCs w:val="20"/>
          <w:color w:val="auto"/>
        </w:rPr>
      </w:pPr>
    </w:p>
    <w:p>
      <w:pPr>
        <w:jc w:val="both"/>
        <w:ind w:firstLine="656"/>
        <w:spacing w:after="0" w:line="254" w:lineRule="auto"/>
        <w:tabs>
          <w:tab w:leader="none" w:pos="1017" w:val="left"/>
        </w:tabs>
        <w:numPr>
          <w:ilvl w:val="0"/>
          <w:numId w:val="127"/>
        </w:numPr>
        <w:rPr>
          <w:rFonts w:ascii="Arial" w:cs="Arial" w:eastAsia="Arial" w:hAnsi="Arial"/>
          <w:sz w:val="22"/>
          <w:szCs w:val="22"/>
          <w:color w:val="010000"/>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85" w:lineRule="exact"/>
        <w:rPr>
          <w:rFonts w:ascii="Arial" w:cs="Arial" w:eastAsia="Arial" w:hAnsi="Arial"/>
          <w:sz w:val="22"/>
          <w:szCs w:val="22"/>
          <w:color w:val="010000"/>
        </w:rPr>
      </w:pPr>
    </w:p>
    <w:p>
      <w:pPr>
        <w:ind w:left="1720" w:hanging="415"/>
        <w:spacing w:after="0"/>
        <w:tabs>
          <w:tab w:leader="none" w:pos="1720" w:val="left"/>
        </w:tabs>
        <w:numPr>
          <w:ilvl w:val="1"/>
          <w:numId w:val="127"/>
        </w:numPr>
        <w:rPr>
          <w:rFonts w:ascii="Arial" w:cs="Arial" w:eastAsia="Arial" w:hAnsi="Arial"/>
          <w:sz w:val="22"/>
          <w:szCs w:val="22"/>
          <w:color w:val="010000"/>
        </w:rPr>
      </w:pPr>
      <w:r>
        <w:rPr>
          <w:rFonts w:ascii="Arial" w:cs="Arial" w:eastAsia="Arial" w:hAnsi="Arial"/>
          <w:sz w:val="22"/>
          <w:szCs w:val="22"/>
          <w:color w:val="auto"/>
        </w:rPr>
        <w:t>delivered in full, or</w:t>
      </w:r>
    </w:p>
    <w:p>
      <w:pPr>
        <w:spacing w:after="0" w:line="233" w:lineRule="exact"/>
        <w:rPr>
          <w:rFonts w:ascii="Arial" w:cs="Arial" w:eastAsia="Arial" w:hAnsi="Arial"/>
          <w:sz w:val="22"/>
          <w:szCs w:val="22"/>
          <w:color w:val="010000"/>
        </w:rPr>
      </w:pPr>
    </w:p>
    <w:p>
      <w:pPr>
        <w:ind w:right="20" w:firstLine="1305"/>
        <w:spacing w:after="0" w:line="276" w:lineRule="auto"/>
        <w:tabs>
          <w:tab w:leader="none" w:pos="1756" w:val="left"/>
        </w:tabs>
        <w:numPr>
          <w:ilvl w:val="1"/>
          <w:numId w:val="127"/>
        </w:numPr>
        <w:rPr>
          <w:rFonts w:ascii="Arial" w:cs="Arial" w:eastAsia="Arial" w:hAnsi="Arial"/>
          <w:sz w:val="22"/>
          <w:szCs w:val="22"/>
          <w:color w:val="010000"/>
        </w:rPr>
      </w:pPr>
      <w:r>
        <w:rPr>
          <w:rFonts w:ascii="Arial" w:cs="Arial" w:eastAsia="Arial" w:hAnsi="Arial"/>
          <w:sz w:val="22"/>
          <w:szCs w:val="22"/>
          <w:color w:val="auto"/>
        </w:rPr>
        <w:t>delivered as to such lesser extent which would result in no portion of such severance benefits being subject to excise tax under Section 4999 of the Code,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22" w:name="page123"/>
    <w:bookmarkEnd w:id="122"/>
    <w:p>
      <w:pPr>
        <w:jc w:val="both"/>
        <w:spacing w:after="0" w:line="286" w:lineRule="auto"/>
        <w:rPr>
          <w:sz w:val="20"/>
          <w:szCs w:val="20"/>
          <w:color w:val="auto"/>
        </w:rPr>
      </w:pPr>
      <w:r>
        <w:rPr>
          <w:rFonts w:ascii="Arial" w:cs="Arial" w:eastAsia="Arial" w:hAnsi="Arial"/>
          <w:sz w:val="19"/>
          <w:szCs w:val="19"/>
          <w:color w:val="auto"/>
        </w:rPr>
        <w:t>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200" w:lineRule="exact"/>
        <w:rPr>
          <w:sz w:val="20"/>
          <w:szCs w:val="20"/>
          <w:color w:val="auto"/>
        </w:rPr>
      </w:pPr>
    </w:p>
    <w:p>
      <w:pPr>
        <w:spacing w:after="0" w:line="216" w:lineRule="exact"/>
        <w:rPr>
          <w:sz w:val="20"/>
          <w:szCs w:val="20"/>
          <w:color w:val="auto"/>
        </w:rPr>
      </w:pPr>
    </w:p>
    <w:p>
      <w:pPr>
        <w:ind w:left="1000" w:hanging="344"/>
        <w:spacing w:after="0"/>
        <w:tabs>
          <w:tab w:leader="none" w:pos="1000" w:val="left"/>
        </w:tabs>
        <w:numPr>
          <w:ilvl w:val="0"/>
          <w:numId w:val="128"/>
        </w:numPr>
        <w:rPr>
          <w:rFonts w:ascii="Arial" w:cs="Arial" w:eastAsia="Arial" w:hAnsi="Arial"/>
          <w:sz w:val="22"/>
          <w:szCs w:val="22"/>
          <w:color w:val="010000"/>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will have the following meanings:</w:t>
      </w:r>
    </w:p>
    <w:p>
      <w:pPr>
        <w:spacing w:after="0" w:line="233" w:lineRule="exact"/>
        <w:rPr>
          <w:rFonts w:ascii="Arial" w:cs="Arial" w:eastAsia="Arial" w:hAnsi="Arial"/>
          <w:sz w:val="22"/>
          <w:szCs w:val="22"/>
          <w:color w:val="010000"/>
        </w:rPr>
      </w:pPr>
    </w:p>
    <w:p>
      <w:pPr>
        <w:jc w:val="both"/>
        <w:ind w:firstLine="1305"/>
        <w:spacing w:after="0" w:line="288" w:lineRule="auto"/>
        <w:tabs>
          <w:tab w:leader="none" w:pos="1743" w:val="left"/>
        </w:tabs>
        <w:numPr>
          <w:ilvl w:val="1"/>
          <w:numId w:val="128"/>
        </w:numPr>
        <w:rPr>
          <w:rFonts w:ascii="Arial" w:cs="Arial" w:eastAsia="Arial" w:hAnsi="Arial"/>
          <w:sz w:val="19"/>
          <w:szCs w:val="19"/>
          <w:color w:val="010000"/>
        </w:rPr>
      </w:pP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 and Executive’s eligible dependents with equivalent coverage under a third party plan that is reasonably available to Executive and Executive’s eligible dependents.</w:t>
      </w:r>
    </w:p>
    <w:p>
      <w:pPr>
        <w:spacing w:after="0" w:line="156" w:lineRule="exact"/>
        <w:rPr>
          <w:rFonts w:ascii="Arial" w:cs="Arial" w:eastAsia="Arial" w:hAnsi="Arial"/>
          <w:sz w:val="19"/>
          <w:szCs w:val="19"/>
          <w:color w:val="010000"/>
        </w:rPr>
      </w:pPr>
    </w:p>
    <w:p>
      <w:pPr>
        <w:ind w:firstLine="1305"/>
        <w:spacing w:after="0" w:line="276" w:lineRule="auto"/>
        <w:tabs>
          <w:tab w:leader="none" w:pos="1864" w:val="left"/>
        </w:tabs>
        <w:numPr>
          <w:ilvl w:val="1"/>
          <w:numId w:val="128"/>
        </w:numPr>
        <w:rPr>
          <w:rFonts w:ascii="Arial" w:cs="Arial" w:eastAsia="Arial" w:hAnsi="Arial"/>
          <w:sz w:val="22"/>
          <w:szCs w:val="22"/>
          <w:color w:val="010000"/>
        </w:rPr>
      </w:pPr>
      <w:r>
        <w:rPr>
          <w:rFonts w:ascii="Arial" w:cs="Arial" w:eastAsia="Arial" w:hAnsi="Arial"/>
          <w:sz w:val="22"/>
          <w:szCs w:val="22"/>
          <w:u w:val="single" w:color="auto"/>
          <w:color w:val="auto"/>
        </w:rPr>
        <w:t>Cause</w:t>
      </w:r>
      <w:r>
        <w:rPr>
          <w:rFonts w:ascii="Arial" w:cs="Arial" w:eastAsia="Arial" w:hAnsi="Arial"/>
          <w:sz w:val="22"/>
          <w:szCs w:val="22"/>
          <w:color w:val="auto"/>
        </w:rPr>
        <w:t>. “Cause” is defined as (i) an act of dishonesty made by Executive in connection with Executive’s responsibilities as an employee that materially adversely affects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23" w:name="page124"/>
    <w:bookmarkEnd w:id="123"/>
    <w:p>
      <w:pPr>
        <w:jc w:val="both"/>
        <w:spacing w:after="0" w:line="294" w:lineRule="auto"/>
        <w:rPr>
          <w:sz w:val="20"/>
          <w:szCs w:val="20"/>
          <w:color w:val="auto"/>
        </w:rPr>
      </w:pPr>
      <w:r>
        <w:rPr>
          <w:rFonts w:ascii="Arial" w:cs="Arial" w:eastAsia="Arial" w:hAnsi="Arial"/>
          <w:sz w:val="19"/>
          <w:szCs w:val="19"/>
          <w:color w:val="auto"/>
        </w:rPr>
        <w:t>Company, (ii) Executive’s conviction of, or plea of nolo contendere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w:t>
      </w:r>
    </w:p>
    <w:p>
      <w:pPr>
        <w:spacing w:after="0" w:line="150" w:lineRule="exact"/>
        <w:rPr>
          <w:sz w:val="20"/>
          <w:szCs w:val="20"/>
          <w:color w:val="auto"/>
        </w:rPr>
      </w:pPr>
    </w:p>
    <w:p>
      <w:pPr>
        <w:ind w:left="1720" w:hanging="415"/>
        <w:spacing w:after="0"/>
        <w:tabs>
          <w:tab w:leader="none" w:pos="1720" w:val="left"/>
        </w:tabs>
        <w:numPr>
          <w:ilvl w:val="0"/>
          <w:numId w:val="129"/>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“Change of Control” of the Company is defined as:</w:t>
      </w:r>
    </w:p>
    <w:p>
      <w:pPr>
        <w:spacing w:after="0" w:line="233" w:lineRule="exact"/>
        <w:rPr>
          <w:rFonts w:ascii="Arial" w:cs="Arial" w:eastAsia="Arial" w:hAnsi="Arial"/>
          <w:sz w:val="22"/>
          <w:szCs w:val="22"/>
          <w:color w:val="010000"/>
        </w:rPr>
      </w:pPr>
    </w:p>
    <w:p>
      <w:pPr>
        <w:jc w:val="both"/>
        <w:ind w:firstLine="1953"/>
        <w:spacing w:after="0" w:line="262" w:lineRule="auto"/>
        <w:tabs>
          <w:tab w:leader="none" w:pos="2450" w:val="left"/>
        </w:tabs>
        <w:numPr>
          <w:ilvl w:val="1"/>
          <w:numId w:val="129"/>
        </w:numPr>
        <w:rPr>
          <w:rFonts w:ascii="Arial" w:cs="Arial" w:eastAsia="Arial" w:hAnsi="Arial"/>
          <w:sz w:val="21"/>
          <w:szCs w:val="21"/>
          <w:color w:val="010000"/>
        </w:rPr>
      </w:pPr>
      <w:r>
        <w:rPr>
          <w:rFonts w:ascii="Arial" w:cs="Arial" w:eastAsia="Arial" w:hAnsi="Arial"/>
          <w:sz w:val="21"/>
          <w:szCs w:val="21"/>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80" w:lineRule="exact"/>
        <w:rPr>
          <w:rFonts w:ascii="Arial" w:cs="Arial" w:eastAsia="Arial" w:hAnsi="Arial"/>
          <w:sz w:val="21"/>
          <w:szCs w:val="21"/>
          <w:color w:val="010000"/>
        </w:rPr>
      </w:pPr>
    </w:p>
    <w:p>
      <w:pPr>
        <w:jc w:val="both"/>
        <w:ind w:firstLine="1953"/>
        <w:spacing w:after="0" w:line="250" w:lineRule="auto"/>
        <w:tabs>
          <w:tab w:leader="none" w:pos="2443" w:val="left"/>
        </w:tabs>
        <w:numPr>
          <w:ilvl w:val="1"/>
          <w:numId w:val="129"/>
        </w:numPr>
        <w:rPr>
          <w:rFonts w:ascii="Arial" w:cs="Arial" w:eastAsia="Arial" w:hAnsi="Arial"/>
          <w:sz w:val="22"/>
          <w:szCs w:val="22"/>
          <w:color w:val="010000"/>
        </w:rPr>
      </w:pPr>
      <w:r>
        <w:rPr>
          <w:rFonts w:ascii="Arial" w:cs="Arial" w:eastAsia="Arial" w:hAnsi="Arial"/>
          <w:sz w:val="22"/>
          <w:szCs w:val="22"/>
          <w:color w:val="auto"/>
        </w:rPr>
        <w:t>a change in the composition of the Board occurring within a twelve (12)-month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8" w:lineRule="exact"/>
        <w:rPr>
          <w:rFonts w:ascii="Arial" w:cs="Arial" w:eastAsia="Arial" w:hAnsi="Arial"/>
          <w:sz w:val="22"/>
          <w:szCs w:val="22"/>
          <w:color w:val="010000"/>
        </w:rPr>
      </w:pPr>
    </w:p>
    <w:p>
      <w:pPr>
        <w:jc w:val="both"/>
        <w:ind w:firstLine="1953"/>
        <w:spacing w:after="0" w:line="297" w:lineRule="auto"/>
        <w:tabs>
          <w:tab w:leader="none" w:pos="2462" w:val="left"/>
        </w:tabs>
        <w:numPr>
          <w:ilvl w:val="1"/>
          <w:numId w:val="129"/>
        </w:numPr>
        <w:rPr>
          <w:rFonts w:ascii="Arial" w:cs="Arial" w:eastAsia="Arial" w:hAnsi="Arial"/>
          <w:sz w:val="19"/>
          <w:szCs w:val="19"/>
          <w:color w:val="010000"/>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46" w:lineRule="exact"/>
        <w:rPr>
          <w:rFonts w:ascii="Arial" w:cs="Arial" w:eastAsia="Arial" w:hAnsi="Arial"/>
          <w:sz w:val="19"/>
          <w:szCs w:val="19"/>
          <w:color w:val="010000"/>
        </w:rPr>
      </w:pPr>
    </w:p>
    <w:p>
      <w:pPr>
        <w:jc w:val="both"/>
        <w:ind w:firstLine="1953"/>
        <w:spacing w:after="0" w:line="250" w:lineRule="auto"/>
        <w:tabs>
          <w:tab w:leader="none" w:pos="2491" w:val="left"/>
        </w:tabs>
        <w:numPr>
          <w:ilvl w:val="1"/>
          <w:numId w:val="129"/>
        </w:numPr>
        <w:rPr>
          <w:rFonts w:ascii="Arial" w:cs="Arial" w:eastAsia="Arial" w:hAnsi="Arial"/>
          <w:sz w:val="22"/>
          <w:szCs w:val="22"/>
          <w:color w:val="010000"/>
        </w:rPr>
      </w:pPr>
      <w:r>
        <w:rPr>
          <w:rFonts w:ascii="Arial" w:cs="Arial" w:eastAsia="Arial" w:hAnsi="Arial"/>
          <w:sz w:val="22"/>
          <w:szCs w:val="22"/>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5(c)(iv), the following shall not constitute a change in the ownership of a substantial portion of the Company’s assets: (1) a transfer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24" w:name="page125"/>
    <w:bookmarkEnd w:id="124"/>
    <w:p>
      <w:pPr>
        <w:jc w:val="both"/>
        <w:spacing w:after="0" w:line="259" w:lineRule="auto"/>
        <w:rPr>
          <w:sz w:val="20"/>
          <w:szCs w:val="20"/>
          <w:color w:val="auto"/>
        </w:rPr>
      </w:pPr>
      <w:r>
        <w:rPr>
          <w:rFonts w:ascii="Arial" w:cs="Arial" w:eastAsia="Arial" w:hAnsi="Arial"/>
          <w:sz w:val="21"/>
          <w:szCs w:val="21"/>
          <w:color w:val="auto"/>
        </w:rPr>
        <w:t>to an entity that is controlled by the Company’s stockholders immediately after the transfer; or (2) a transfer of assets by the Company to: (A) a stockholder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 Company, or the value of the assets being disposed of, determined without regard to any liabilities associated with such assets.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foregoing, a Company transaction that does not constitute a change in control event under Treasury Regulation 1.409A-3(i)(5)(v) or (vii) shall be not be considered a Change of Control.</w:t>
      </w:r>
    </w:p>
    <w:p>
      <w:pPr>
        <w:spacing w:after="0" w:line="175" w:lineRule="exact"/>
        <w:rPr>
          <w:sz w:val="20"/>
          <w:szCs w:val="20"/>
          <w:color w:val="auto"/>
        </w:rPr>
      </w:pPr>
    </w:p>
    <w:p>
      <w:pPr>
        <w:jc w:val="both"/>
        <w:ind w:firstLine="1305"/>
        <w:spacing w:after="0" w:line="248" w:lineRule="auto"/>
        <w:tabs>
          <w:tab w:leader="none" w:pos="1769" w:val="left"/>
        </w:tabs>
        <w:numPr>
          <w:ilvl w:val="0"/>
          <w:numId w:val="130"/>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“Disability”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1" w:lineRule="exact"/>
        <w:rPr>
          <w:rFonts w:ascii="Arial" w:cs="Arial" w:eastAsia="Arial" w:hAnsi="Arial"/>
          <w:sz w:val="22"/>
          <w:szCs w:val="22"/>
          <w:color w:val="010000"/>
        </w:rPr>
      </w:pPr>
    </w:p>
    <w:p>
      <w:pPr>
        <w:jc w:val="both"/>
        <w:ind w:firstLine="1305"/>
        <w:spacing w:after="0" w:line="287" w:lineRule="auto"/>
        <w:tabs>
          <w:tab w:leader="none" w:pos="1932" w:val="left"/>
        </w:tabs>
        <w:numPr>
          <w:ilvl w:val="0"/>
          <w:numId w:val="130"/>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25" w:name="page126"/>
    <w:bookmarkEnd w:id="125"/>
    <w:p>
      <w:pPr>
        <w:jc w:val="both"/>
        <w:spacing w:after="0" w:line="250" w:lineRule="auto"/>
        <w:rPr>
          <w:sz w:val="20"/>
          <w:szCs w:val="20"/>
          <w:color w:val="auto"/>
        </w:rPr>
      </w:pPr>
      <w:r>
        <w:rPr>
          <w:rFonts w:ascii="Arial" w:cs="Arial" w:eastAsia="Arial" w:hAnsi="Arial"/>
          <w:sz w:val="22"/>
          <w:szCs w:val="22"/>
          <w:color w:val="auto"/>
        </w:rPr>
        <w:t>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188" w:lineRule="exact"/>
        <w:rPr>
          <w:sz w:val="20"/>
          <w:szCs w:val="20"/>
          <w:color w:val="auto"/>
        </w:rPr>
      </w:pPr>
    </w:p>
    <w:p>
      <w:pPr>
        <w:ind w:left="1000" w:hanging="344"/>
        <w:spacing w:after="0"/>
        <w:tabs>
          <w:tab w:leader="none" w:pos="1000" w:val="left"/>
        </w:tabs>
        <w:numPr>
          <w:ilvl w:val="0"/>
          <w:numId w:val="131"/>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62" w:lineRule="auto"/>
        <w:tabs>
          <w:tab w:leader="none" w:pos="1892" w:val="left"/>
        </w:tabs>
        <w:numPr>
          <w:ilvl w:val="1"/>
          <w:numId w:val="131"/>
        </w:numPr>
        <w:rPr>
          <w:rFonts w:ascii="Arial" w:cs="Arial" w:eastAsia="Arial" w:hAnsi="Arial"/>
          <w:sz w:val="21"/>
          <w:szCs w:val="21"/>
          <w:color w:val="010000"/>
        </w:rPr>
      </w:pPr>
      <w:r>
        <w:rPr>
          <w:rFonts w:ascii="Arial" w:cs="Arial" w:eastAsia="Arial" w:hAnsi="Arial"/>
          <w:sz w:val="21"/>
          <w:szCs w:val="21"/>
          <w:u w:val="single" w:color="auto"/>
          <w:color w:val="auto"/>
        </w:rPr>
        <w:t>The 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pacing w:after="0" w:line="180" w:lineRule="exact"/>
        <w:rPr>
          <w:rFonts w:ascii="Arial" w:cs="Arial" w:eastAsia="Arial" w:hAnsi="Arial"/>
          <w:sz w:val="21"/>
          <w:szCs w:val="21"/>
          <w:color w:val="010000"/>
        </w:rPr>
      </w:pPr>
    </w:p>
    <w:p>
      <w:pPr>
        <w:jc w:val="both"/>
        <w:ind w:firstLine="1305"/>
        <w:spacing w:after="0" w:line="260" w:lineRule="auto"/>
        <w:tabs>
          <w:tab w:leader="none" w:pos="1796" w:val="left"/>
        </w:tabs>
        <w:numPr>
          <w:ilvl w:val="1"/>
          <w:numId w:val="131"/>
        </w:numPr>
        <w:rPr>
          <w:rFonts w:ascii="Arial" w:cs="Arial" w:eastAsia="Arial" w:hAnsi="Arial"/>
          <w:sz w:val="22"/>
          <w:szCs w:val="22"/>
          <w:color w:val="010000"/>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131"/>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300" w:lineRule="auto"/>
        <w:tabs>
          <w:tab w:leader="none" w:pos="1743" w:val="left"/>
        </w:tabs>
        <w:numPr>
          <w:ilvl w:val="1"/>
          <w:numId w:val="131"/>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47" w:lineRule="exact"/>
        <w:rPr>
          <w:rFonts w:ascii="Arial" w:cs="Arial" w:eastAsia="Arial" w:hAnsi="Arial"/>
          <w:sz w:val="19"/>
          <w:szCs w:val="19"/>
          <w:color w:val="010000"/>
        </w:rPr>
      </w:pPr>
    </w:p>
    <w:p>
      <w:pPr>
        <w:jc w:val="both"/>
        <w:ind w:firstLine="1305"/>
        <w:spacing w:after="0" w:line="248" w:lineRule="auto"/>
        <w:tabs>
          <w:tab w:leader="none" w:pos="1769" w:val="left"/>
        </w:tabs>
        <w:numPr>
          <w:ilvl w:val="1"/>
          <w:numId w:val="131"/>
        </w:numPr>
        <w:rPr>
          <w:rFonts w:ascii="Arial" w:cs="Arial" w:eastAsia="Arial" w:hAnsi="Arial"/>
          <w:sz w:val="22"/>
          <w:szCs w:val="22"/>
          <w:color w:val="010000"/>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91" w:lineRule="exact"/>
        <w:rPr>
          <w:rFonts w:ascii="Arial" w:cs="Arial" w:eastAsia="Arial" w:hAnsi="Arial"/>
          <w:sz w:val="22"/>
          <w:szCs w:val="22"/>
          <w:color w:val="010000"/>
        </w:rPr>
      </w:pPr>
    </w:p>
    <w:p>
      <w:pPr>
        <w:ind w:firstLine="656"/>
        <w:spacing w:after="0" w:line="276" w:lineRule="auto"/>
        <w:tabs>
          <w:tab w:leader="none" w:pos="1017" w:val="left"/>
        </w:tabs>
        <w:numPr>
          <w:ilvl w:val="0"/>
          <w:numId w:val="131"/>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have a term of five (5) years commencing on the Effective Date, which shall not be subject to renewal, unless a Change of Control occurs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26" w:name="page127"/>
    <w:bookmarkEnd w:id="126"/>
    <w:p>
      <w:pPr>
        <w:spacing w:after="0" w:line="263" w:lineRule="auto"/>
        <w:rPr>
          <w:sz w:val="20"/>
          <w:szCs w:val="20"/>
          <w:color w:val="auto"/>
        </w:rPr>
      </w:pPr>
      <w:r>
        <w:rPr>
          <w:rFonts w:ascii="Arial" w:cs="Arial" w:eastAsia="Arial" w:hAnsi="Arial"/>
          <w:sz w:val="22"/>
          <w:szCs w:val="22"/>
          <w:color w:val="auto"/>
        </w:rPr>
        <w:t>during such five (5)-year period, in which case this Agreement will continue until all payments and benefits, if any, have been made to Executive.</w:t>
      </w:r>
    </w:p>
    <w:p>
      <w:pPr>
        <w:spacing w:after="0" w:line="175" w:lineRule="exact"/>
        <w:rPr>
          <w:sz w:val="20"/>
          <w:szCs w:val="20"/>
          <w:color w:val="auto"/>
        </w:rPr>
      </w:pPr>
    </w:p>
    <w:p>
      <w:pPr>
        <w:ind w:left="1000" w:hanging="344"/>
        <w:spacing w:after="0"/>
        <w:tabs>
          <w:tab w:leader="none" w:pos="1000" w:val="left"/>
        </w:tabs>
        <w:numPr>
          <w:ilvl w:val="0"/>
          <w:numId w:val="132"/>
        </w:numPr>
        <w:rPr>
          <w:rFonts w:ascii="Arial" w:cs="Arial" w:eastAsia="Arial" w:hAnsi="Arial"/>
          <w:sz w:val="22"/>
          <w:szCs w:val="22"/>
          <w:color w:val="010000"/>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92" w:lineRule="auto"/>
        <w:tabs>
          <w:tab w:leader="none" w:pos="1946" w:val="left"/>
        </w:tabs>
        <w:numPr>
          <w:ilvl w:val="1"/>
          <w:numId w:val="132"/>
        </w:numPr>
        <w:rPr>
          <w:rFonts w:ascii="Arial" w:cs="Arial" w:eastAsia="Arial" w:hAnsi="Arial"/>
          <w:sz w:val="19"/>
          <w:szCs w:val="19"/>
          <w:color w:val="010000"/>
        </w:rPr>
      </w:pPr>
      <w:r>
        <w:rPr>
          <w:rFonts w:ascii="Arial" w:cs="Arial" w:eastAsia="Arial" w:hAnsi="Arial"/>
          <w:sz w:val="19"/>
          <w:szCs w:val="19"/>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 the American Arbitration Association (the “Rules”), except that each of Company and Executive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55" w:lineRule="exact"/>
        <w:rPr>
          <w:rFonts w:ascii="Arial" w:cs="Arial" w:eastAsia="Arial" w:hAnsi="Arial"/>
          <w:sz w:val="19"/>
          <w:szCs w:val="19"/>
          <w:color w:val="010000"/>
        </w:rPr>
      </w:pPr>
    </w:p>
    <w:p>
      <w:pPr>
        <w:jc w:val="both"/>
        <w:ind w:firstLine="1305"/>
        <w:spacing w:after="0" w:line="307" w:lineRule="auto"/>
        <w:tabs>
          <w:tab w:leader="none" w:pos="1756" w:val="left"/>
        </w:tabs>
        <w:numPr>
          <w:ilvl w:val="1"/>
          <w:numId w:val="132"/>
        </w:numPr>
        <w:rPr>
          <w:rFonts w:ascii="Arial" w:cs="Arial" w:eastAsia="Arial" w:hAnsi="Arial"/>
          <w:sz w:val="19"/>
          <w:szCs w:val="19"/>
          <w:color w:val="010000"/>
        </w:rPr>
      </w:pPr>
      <w:r>
        <w:rPr>
          <w:rFonts w:ascii="Arial" w:cs="Arial" w:eastAsia="Arial" w:hAnsi="Arial"/>
          <w:sz w:val="19"/>
          <w:szCs w:val="19"/>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Executive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38" w:lineRule="exact"/>
        <w:rPr>
          <w:rFonts w:ascii="Arial" w:cs="Arial" w:eastAsia="Arial" w:hAnsi="Arial"/>
          <w:sz w:val="19"/>
          <w:szCs w:val="19"/>
          <w:color w:val="010000"/>
        </w:rPr>
      </w:pPr>
    </w:p>
    <w:p>
      <w:pPr>
        <w:jc w:val="both"/>
        <w:ind w:firstLine="1305"/>
        <w:spacing w:after="0" w:line="261" w:lineRule="auto"/>
        <w:tabs>
          <w:tab w:leader="none" w:pos="1730" w:val="left"/>
        </w:tabs>
        <w:numPr>
          <w:ilvl w:val="1"/>
          <w:numId w:val="132"/>
        </w:numPr>
        <w:rPr>
          <w:rFonts w:ascii="Arial" w:cs="Arial" w:eastAsia="Arial" w:hAnsi="Arial"/>
          <w:sz w:val="21"/>
          <w:szCs w:val="21"/>
          <w:color w:val="010000"/>
        </w:rPr>
      </w:pPr>
      <w:r>
        <w:rPr>
          <w:rFonts w:ascii="Arial" w:cs="Arial" w:eastAsia="Arial" w:hAnsi="Arial"/>
          <w:sz w:val="21"/>
          <w:szCs w:val="21"/>
          <w:color w:val="auto"/>
        </w:rPr>
        <w:t xml:space="preserve">To the fullest extent permitted by law, Executive and the Company agree that no class or collective actions can be asserted in arbitration or otherwise. All claims, whether in arbitration or otherwise, must be brought solely in Executive’s or the Company’s individual capacity, and not as a plaintiff or class member in any purported class or collective proceeding. Nothing in this Section 9, however, restricts Executive’s right, if any, to file in court a representative action under applicable law, including California Labor Code Sections 2698, </w:t>
      </w:r>
      <w:r>
        <w:rPr>
          <w:rFonts w:ascii="Arial" w:cs="Arial" w:eastAsia="Arial" w:hAnsi="Arial"/>
          <w:sz w:val="21"/>
          <w:szCs w:val="21"/>
          <w:i w:val="1"/>
          <w:iCs w:val="1"/>
          <w:color w:val="auto"/>
        </w:rPr>
        <w:t>et seq.</w:t>
      </w:r>
      <w:r>
        <w:rPr>
          <w:rFonts w:ascii="Arial" w:cs="Arial" w:eastAsia="Arial" w:hAnsi="Arial"/>
          <w:sz w:val="21"/>
          <w:szCs w:val="21"/>
          <w:color w:val="auto"/>
        </w:rPr>
        <w:t xml:space="preserve"> Further, this Section 9 does not restrict Executive’s right to file administrative claims Executive may bring before any government agency where, as a matter of law, the parties may not restrict the Executive’s ability to file such claims (including, but not limited to, the National Labor Relations Board, the Equal Employment Opportunity Commission and the Department of Labor).</w:t>
      </w:r>
    </w:p>
    <w:p>
      <w:pPr>
        <w:spacing w:after="0" w:line="181" w:lineRule="exact"/>
        <w:rPr>
          <w:rFonts w:ascii="Arial" w:cs="Arial" w:eastAsia="Arial" w:hAnsi="Arial"/>
          <w:sz w:val="21"/>
          <w:szCs w:val="21"/>
          <w:color w:val="010000"/>
        </w:rPr>
      </w:pPr>
    </w:p>
    <w:p>
      <w:pPr>
        <w:ind w:firstLine="1305"/>
        <w:spacing w:after="0" w:line="276" w:lineRule="auto"/>
        <w:tabs>
          <w:tab w:leader="none" w:pos="1864"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Executive understands that nothing in this Section modifies Executive’s at-will employment status. Either Executive or the Company can terminate the employment relationship at any time, with or without Cause.</w:t>
      </w:r>
    </w:p>
    <w:p>
      <w:pPr>
        <w:spacing w:after="0" w:line="160" w:lineRule="exact"/>
        <w:rPr>
          <w:rFonts w:ascii="Arial" w:cs="Arial" w:eastAsia="Arial" w:hAnsi="Arial"/>
          <w:sz w:val="22"/>
          <w:szCs w:val="22"/>
          <w:color w:val="010000"/>
        </w:rPr>
      </w:pPr>
    </w:p>
    <w:p>
      <w:pPr>
        <w:jc w:val="both"/>
        <w:ind w:firstLine="1305"/>
        <w:spacing w:after="0" w:line="250" w:lineRule="auto"/>
        <w:tabs>
          <w:tab w:leader="none" w:pos="1743" w:val="left"/>
        </w:tabs>
        <w:numPr>
          <w:ilvl w:val="1"/>
          <w:numId w:val="132"/>
        </w:numPr>
        <w:rPr>
          <w:rFonts w:ascii="Arial" w:cs="Arial" w:eastAsia="Arial" w:hAnsi="Arial"/>
          <w:sz w:val="22"/>
          <w:szCs w:val="22"/>
          <w:color w:val="010000"/>
        </w:rPr>
      </w:pPr>
      <w:r>
        <w:rPr>
          <w:rFonts w:ascii="Arial" w:cs="Arial" w:eastAsia="Arial" w:hAnsi="Arial"/>
          <w:sz w:val="22"/>
          <w:szCs w:val="22"/>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 TO THE RESOLUTION OF ALL DISPUTES RELATING TO ALL ASPECTS OF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EMPLOYER/EMPLOYEE RELATIONSHIP, INCLUDING BUT NOT LIMITED TO, THE FOLLOWING CLAIMS:</w:t>
      </w:r>
    </w:p>
    <w:p>
      <w:pPr>
        <w:spacing w:after="0" w:line="220" w:lineRule="exact"/>
        <w:rPr>
          <w:sz w:val="20"/>
          <w:szCs w:val="20"/>
          <w:color w:val="auto"/>
        </w:rPr>
      </w:pPr>
    </w:p>
    <w:p>
      <w:pPr>
        <w:jc w:val="both"/>
        <w:ind w:firstLine="1953"/>
        <w:spacing w:after="0" w:line="251" w:lineRule="auto"/>
        <w:tabs>
          <w:tab w:leader="none" w:pos="2464" w:val="left"/>
        </w:tabs>
        <w:numPr>
          <w:ilvl w:val="2"/>
          <w:numId w:val="133"/>
        </w:numPr>
        <w:rPr>
          <w:rFonts w:ascii="Arial" w:cs="Arial" w:eastAsia="Arial" w:hAnsi="Arial"/>
          <w:sz w:val="22"/>
          <w:szCs w:val="22"/>
          <w:color w:val="010000"/>
        </w:rPr>
      </w:pPr>
      <w:r>
        <w:rPr>
          <w:rFonts w:ascii="Arial" w:cs="Arial" w:eastAsia="Arial" w:hAnsi="Arial"/>
          <w:sz w:val="22"/>
          <w:szCs w:val="22"/>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9" w:lineRule="exact"/>
        <w:rPr>
          <w:rFonts w:ascii="Arial" w:cs="Arial" w:eastAsia="Arial" w:hAnsi="Arial"/>
          <w:sz w:val="22"/>
          <w:szCs w:val="22"/>
          <w:color w:val="010000"/>
        </w:rPr>
      </w:pPr>
    </w:p>
    <w:p>
      <w:pPr>
        <w:jc w:val="both"/>
        <w:ind w:firstLine="1953"/>
        <w:spacing w:after="0" w:line="251" w:lineRule="auto"/>
        <w:tabs>
          <w:tab w:leader="none" w:pos="2605" w:val="left"/>
        </w:tabs>
        <w:numPr>
          <w:ilvl w:val="2"/>
          <w:numId w:val="133"/>
        </w:numPr>
        <w:rPr>
          <w:rFonts w:ascii="Arial" w:cs="Arial" w:eastAsia="Arial" w:hAnsi="Arial"/>
          <w:sz w:val="22"/>
          <w:szCs w:val="22"/>
          <w:color w:val="010000"/>
        </w:rPr>
      </w:pPr>
      <w:r>
        <w:rPr>
          <w:rFonts w:ascii="Arial" w:cs="Arial" w:eastAsia="Arial" w:hAnsi="Arial"/>
          <w:sz w:val="22"/>
          <w:szCs w:val="22"/>
          <w:color w:val="auto"/>
        </w:rPr>
        <w:t xml:space="preserve">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189" w:lineRule="exact"/>
        <w:rPr>
          <w:rFonts w:ascii="Arial" w:cs="Arial" w:eastAsia="Arial" w:hAnsi="Arial"/>
          <w:sz w:val="22"/>
          <w:szCs w:val="22"/>
          <w:color w:val="010000"/>
        </w:rPr>
      </w:pPr>
    </w:p>
    <w:p>
      <w:pPr>
        <w:ind w:firstLine="1953"/>
        <w:spacing w:after="0" w:line="276" w:lineRule="auto"/>
        <w:tabs>
          <w:tab w:leader="none" w:pos="2665" w:val="left"/>
        </w:tabs>
        <w:numPr>
          <w:ilvl w:val="2"/>
          <w:numId w:val="133"/>
        </w:numPr>
        <w:rPr>
          <w:rFonts w:ascii="Arial" w:cs="Arial" w:eastAsia="Arial" w:hAnsi="Arial"/>
          <w:sz w:val="22"/>
          <w:szCs w:val="22"/>
          <w:color w:val="010000"/>
        </w:rPr>
      </w:pPr>
      <w:r>
        <w:rPr>
          <w:rFonts w:ascii="Arial" w:cs="Arial" w:eastAsia="Arial" w:hAnsi="Arial"/>
          <w:sz w:val="22"/>
          <w:szCs w:val="22"/>
          <w:color w:val="auto"/>
        </w:rPr>
        <w:t>ANY AND ALL CLAIMS ARISING OUT OF ANY OTHER LAWS AND REGULATIONS RELATING TO EMPLOYMENT OR EMPLOYMENT DISCRIMINATION (INCLUDING HARASSMENT).</w:t>
      </w:r>
    </w:p>
    <w:p>
      <w:pPr>
        <w:spacing w:after="0" w:line="160" w:lineRule="exact"/>
        <w:rPr>
          <w:rFonts w:ascii="Arial" w:cs="Arial" w:eastAsia="Arial" w:hAnsi="Arial"/>
          <w:sz w:val="22"/>
          <w:szCs w:val="22"/>
          <w:color w:val="010000"/>
        </w:rPr>
      </w:pPr>
    </w:p>
    <w:p>
      <w:pPr>
        <w:ind w:firstLine="1953"/>
        <w:spacing w:after="0" w:line="276" w:lineRule="auto"/>
        <w:tabs>
          <w:tab w:leader="none" w:pos="2437" w:val="left"/>
        </w:tabs>
        <w:numPr>
          <w:ilvl w:val="2"/>
          <w:numId w:val="133"/>
        </w:numPr>
        <w:rPr>
          <w:rFonts w:ascii="Arial" w:cs="Arial" w:eastAsia="Arial" w:hAnsi="Arial"/>
          <w:sz w:val="22"/>
          <w:szCs w:val="22"/>
          <w:color w:val="010000"/>
        </w:rPr>
      </w:pPr>
      <w:r>
        <w:rPr>
          <w:rFonts w:ascii="Arial" w:cs="Arial" w:eastAsia="Arial" w:hAnsi="Arial"/>
          <w:sz w:val="22"/>
          <w:szCs w:val="22"/>
          <w:color w:val="auto"/>
        </w:rPr>
        <w:t>If, for any reason, any term of this Section 9 is held to be invalid or unenforceable, all other valid terms and conditions herein shall be severable in nature, and remain fully enforceable.</w:t>
      </w:r>
    </w:p>
    <w:p>
      <w:pPr>
        <w:spacing w:after="0" w:line="160" w:lineRule="exact"/>
        <w:rPr>
          <w:rFonts w:ascii="Arial" w:cs="Arial" w:eastAsia="Arial" w:hAnsi="Arial"/>
          <w:sz w:val="22"/>
          <w:szCs w:val="22"/>
          <w:color w:val="010000"/>
        </w:rPr>
      </w:pPr>
    </w:p>
    <w:p>
      <w:pPr>
        <w:ind w:left="1100" w:hanging="444"/>
        <w:spacing w:after="0"/>
        <w:tabs>
          <w:tab w:leader="none" w:pos="1100" w:val="left"/>
        </w:tabs>
        <w:numPr>
          <w:ilvl w:val="0"/>
          <w:numId w:val="134"/>
        </w:numPr>
        <w:rPr>
          <w:rFonts w:ascii="Arial" w:cs="Arial" w:eastAsia="Arial" w:hAnsi="Arial"/>
          <w:sz w:val="22"/>
          <w:szCs w:val="22"/>
          <w:color w:val="010000"/>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0" w:firstLine="1305"/>
        <w:spacing w:after="0" w:line="358" w:lineRule="auto"/>
        <w:tabs>
          <w:tab w:leader="none" w:pos="1770" w:val="left"/>
        </w:tabs>
        <w:numPr>
          <w:ilvl w:val="1"/>
          <w:numId w:val="134"/>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90" w:lineRule="exact"/>
        <w:rPr>
          <w:rFonts w:ascii="Arial" w:cs="Arial" w:eastAsia="Arial" w:hAnsi="Arial"/>
          <w:sz w:val="19"/>
          <w:szCs w:val="19"/>
          <w:color w:val="010000"/>
        </w:rPr>
      </w:pPr>
    </w:p>
    <w:p>
      <w:pPr>
        <w:jc w:val="both"/>
        <w:ind w:firstLine="1305"/>
        <w:spacing w:after="0" w:line="307" w:lineRule="auto"/>
        <w:tabs>
          <w:tab w:leader="none" w:pos="1728" w:val="left"/>
        </w:tabs>
        <w:numPr>
          <w:ilvl w:val="1"/>
          <w:numId w:val="134"/>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38" w:lineRule="exact"/>
        <w:rPr>
          <w:rFonts w:ascii="Arial" w:cs="Arial" w:eastAsia="Arial" w:hAnsi="Arial"/>
          <w:sz w:val="19"/>
          <w:szCs w:val="19"/>
          <w:color w:val="010000"/>
        </w:rPr>
      </w:pPr>
    </w:p>
    <w:p>
      <w:pPr>
        <w:ind w:firstLine="1305"/>
        <w:spacing w:after="0" w:line="276" w:lineRule="auto"/>
        <w:tabs>
          <w:tab w:leader="none" w:pos="1757" w:val="left"/>
        </w:tabs>
        <w:numPr>
          <w:ilvl w:val="1"/>
          <w:numId w:val="134"/>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010000"/>
        </w:rPr>
      </w:pPr>
    </w:p>
    <w:p>
      <w:pPr>
        <w:jc w:val="both"/>
        <w:ind w:firstLine="1305"/>
        <w:spacing w:after="0" w:line="320" w:lineRule="auto"/>
        <w:tabs>
          <w:tab w:leader="none" w:pos="1810" w:val="left"/>
        </w:tabs>
        <w:numPr>
          <w:ilvl w:val="1"/>
          <w:numId w:val="134"/>
        </w:numPr>
        <w:rPr>
          <w:rFonts w:ascii="Arial" w:cs="Arial" w:eastAsia="Arial" w:hAnsi="Arial"/>
          <w:sz w:val="19"/>
          <w:szCs w:val="19"/>
          <w:color w:val="010000"/>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hereto with respect to the subject matter described herein, and supersedes the Prior Agreement in its entirety. Executive acknowledges and agrees that this Agreement encompasses all the rights of Executive to any acceleration of Award vesting or severance pay based on termination 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22"/>
          <w:szCs w:val="22"/>
          <w:color w:val="auto"/>
        </w:rPr>
        <w:t>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86" w:lineRule="exact"/>
        <w:rPr>
          <w:sz w:val="20"/>
          <w:szCs w:val="20"/>
          <w:color w:val="auto"/>
        </w:rPr>
      </w:pPr>
    </w:p>
    <w:p>
      <w:pPr>
        <w:ind w:right="20" w:firstLine="1305"/>
        <w:spacing w:after="0" w:line="276" w:lineRule="auto"/>
        <w:tabs>
          <w:tab w:leader="none" w:pos="1757" w:val="left"/>
        </w:tabs>
        <w:numPr>
          <w:ilvl w:val="0"/>
          <w:numId w:val="135"/>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will be governed by the laws of the State of California (with the exception of its conflict of laws provisions).</w:t>
      </w:r>
    </w:p>
    <w:p>
      <w:pPr>
        <w:spacing w:after="0" w:line="160" w:lineRule="exact"/>
        <w:rPr>
          <w:rFonts w:ascii="Arial" w:cs="Arial" w:eastAsia="Arial" w:hAnsi="Arial"/>
          <w:sz w:val="22"/>
          <w:szCs w:val="22"/>
          <w:color w:val="010000"/>
        </w:rPr>
      </w:pPr>
    </w:p>
    <w:p>
      <w:pPr>
        <w:ind w:firstLine="1305"/>
        <w:spacing w:after="0" w:line="276" w:lineRule="auto"/>
        <w:tabs>
          <w:tab w:leader="none" w:pos="1706" w:val="left"/>
        </w:tabs>
        <w:numPr>
          <w:ilvl w:val="0"/>
          <w:numId w:val="135"/>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60" w:lineRule="exact"/>
        <w:rPr>
          <w:rFonts w:ascii="Arial" w:cs="Arial" w:eastAsia="Arial" w:hAnsi="Arial"/>
          <w:sz w:val="22"/>
          <w:szCs w:val="22"/>
          <w:color w:val="010000"/>
        </w:rPr>
      </w:pPr>
    </w:p>
    <w:p>
      <w:pPr>
        <w:ind w:firstLine="1305"/>
        <w:spacing w:after="0" w:line="276" w:lineRule="auto"/>
        <w:tabs>
          <w:tab w:leader="none" w:pos="1850" w:val="left"/>
        </w:tabs>
        <w:numPr>
          <w:ilvl w:val="0"/>
          <w:numId w:val="135"/>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and employment taxes.</w:t>
      </w:r>
    </w:p>
    <w:p>
      <w:pPr>
        <w:spacing w:after="0" w:line="160" w:lineRule="exact"/>
        <w:rPr>
          <w:rFonts w:ascii="Arial" w:cs="Arial" w:eastAsia="Arial" w:hAnsi="Arial"/>
          <w:sz w:val="22"/>
          <w:szCs w:val="22"/>
          <w:color w:val="010000"/>
        </w:rPr>
      </w:pPr>
    </w:p>
    <w:p>
      <w:pPr>
        <w:ind w:firstLine="1305"/>
        <w:spacing w:after="0" w:line="276" w:lineRule="auto"/>
        <w:tabs>
          <w:tab w:leader="none" w:pos="1756" w:val="left"/>
        </w:tabs>
        <w:numPr>
          <w:ilvl w:val="0"/>
          <w:numId w:val="135"/>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29" w:name="page130"/>
    <w:bookmarkEnd w:id="129"/>
    <w:p>
      <w:pPr>
        <w:ind w:firstLine="648"/>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17" w:lineRule="exact"/>
        <w:rPr>
          <w:sz w:val="20"/>
          <w:szCs w:val="20"/>
          <w:color w:val="auto"/>
        </w:rPr>
      </w:pPr>
    </w:p>
    <w:tbl>
      <w:tblPr>
        <w:tblLayout w:type="fixed"/>
        <w:tblInd w:w="480" w:type="dxa"/>
        <w:tblCellMar>
          <w:top w:w="0" w:type="dxa"/>
          <w:left w:w="0" w:type="dxa"/>
          <w:bottom w:w="0" w:type="dxa"/>
          <w:right w:w="0" w:type="dxa"/>
        </w:tblCellMar>
      </w:tblPr>
      <w:tr>
        <w:trPr>
          <w:trHeight w:val="281"/>
        </w:trPr>
        <w:tc>
          <w:tcPr>
            <w:tcW w:w="302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4240" w:type="dxa"/>
            <w:vAlign w:val="bottom"/>
          </w:tcPr>
          <w:p>
            <w:pPr>
              <w:ind w:left="1720"/>
              <w:spacing w:after="0"/>
              <w:rPr>
                <w:sz w:val="20"/>
                <w:szCs w:val="20"/>
                <w:color w:val="auto"/>
              </w:rPr>
            </w:pPr>
            <w:r>
              <w:rPr>
                <w:rFonts w:ascii="Arial" w:cs="Arial" w:eastAsia="Arial" w:hAnsi="Arial"/>
                <w:sz w:val="22"/>
                <w:szCs w:val="22"/>
                <w:b w:val="1"/>
                <w:bCs w:val="1"/>
                <w:color w:val="auto"/>
              </w:rPr>
              <w:t>FORTINET, INC.</w:t>
            </w:r>
          </w:p>
        </w:tc>
        <w:tc>
          <w:tcPr>
            <w:tcW w:w="3240" w:type="dxa"/>
            <w:vAlign w:val="bottom"/>
          </w:tcPr>
          <w:p>
            <w:pPr>
              <w:spacing w:after="0"/>
              <w:rPr>
                <w:sz w:val="24"/>
                <w:szCs w:val="24"/>
                <w:color w:val="auto"/>
              </w:rPr>
            </w:pPr>
          </w:p>
        </w:tc>
      </w:tr>
      <w:tr>
        <w:trPr>
          <w:trHeight w:val="956"/>
        </w:trPr>
        <w:tc>
          <w:tcPr>
            <w:tcW w:w="3020" w:type="dxa"/>
            <w:vAlign w:val="bottom"/>
          </w:tcPr>
          <w:p>
            <w:pPr>
              <w:spacing w:after="0"/>
              <w:rPr>
                <w:sz w:val="24"/>
                <w:szCs w:val="24"/>
                <w:color w:val="auto"/>
              </w:rPr>
            </w:pPr>
          </w:p>
        </w:tc>
        <w:tc>
          <w:tcPr>
            <w:tcW w:w="4240" w:type="dxa"/>
            <w:vAlign w:val="bottom"/>
          </w:tcPr>
          <w:p>
            <w:pPr>
              <w:ind w:left="1720"/>
              <w:spacing w:after="0"/>
              <w:rPr>
                <w:sz w:val="20"/>
                <w:szCs w:val="20"/>
                <w:color w:val="auto"/>
              </w:rPr>
            </w:pPr>
            <w:r>
              <w:rPr>
                <w:rFonts w:ascii="Arial" w:cs="Arial" w:eastAsia="Arial" w:hAnsi="Arial"/>
                <w:sz w:val="22"/>
                <w:szCs w:val="22"/>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Ken Xie</w:t>
            </w:r>
          </w:p>
        </w:tc>
      </w:tr>
      <w:tr>
        <w:trPr>
          <w:trHeight w:val="280"/>
        </w:trPr>
        <w:tc>
          <w:tcPr>
            <w:tcW w:w="3020" w:type="dxa"/>
            <w:vAlign w:val="bottom"/>
          </w:tcPr>
          <w:p>
            <w:pPr>
              <w:spacing w:after="0"/>
              <w:rPr>
                <w:sz w:val="24"/>
                <w:szCs w:val="24"/>
                <w:color w:val="auto"/>
              </w:rPr>
            </w:pPr>
          </w:p>
        </w:tc>
        <w:tc>
          <w:tcPr>
            <w:tcW w:w="4240" w:type="dxa"/>
            <w:vAlign w:val="bottom"/>
          </w:tcPr>
          <w:p>
            <w:pPr>
              <w:ind w:left="1720"/>
              <w:spacing w:after="0"/>
              <w:rPr>
                <w:sz w:val="20"/>
                <w:szCs w:val="20"/>
                <w:color w:val="auto"/>
              </w:rPr>
            </w:pPr>
            <w:r>
              <w:rPr>
                <w:rFonts w:ascii="Arial" w:cs="Arial" w:eastAsia="Arial" w:hAnsi="Arial"/>
                <w:sz w:val="22"/>
                <w:szCs w:val="22"/>
                <w:color w:val="auto"/>
              </w:rPr>
              <w:t>Name:</w:t>
            </w:r>
          </w:p>
        </w:tc>
        <w:tc>
          <w:tcPr>
            <w:tcW w:w="3240" w:type="dxa"/>
            <w:vAlign w:val="bottom"/>
          </w:tcPr>
          <w:p>
            <w:pPr>
              <w:ind w:left="20"/>
              <w:spacing w:after="0"/>
              <w:rPr>
                <w:sz w:val="20"/>
                <w:szCs w:val="20"/>
                <w:color w:val="auto"/>
              </w:rPr>
            </w:pPr>
            <w:r>
              <w:rPr>
                <w:rFonts w:ascii="Arial" w:cs="Arial" w:eastAsia="Arial" w:hAnsi="Arial"/>
                <w:sz w:val="22"/>
                <w:szCs w:val="22"/>
                <w:color w:val="auto"/>
              </w:rPr>
              <w:t>Ken Xie</w:t>
            </w:r>
          </w:p>
        </w:tc>
      </w:tr>
      <w:tr>
        <w:trPr>
          <w:trHeight w:val="419"/>
        </w:trPr>
        <w:tc>
          <w:tcPr>
            <w:tcW w:w="3020" w:type="dxa"/>
            <w:vAlign w:val="bottom"/>
          </w:tcPr>
          <w:p>
            <w:pPr>
              <w:spacing w:after="0"/>
              <w:rPr>
                <w:sz w:val="24"/>
                <w:szCs w:val="24"/>
                <w:color w:val="auto"/>
              </w:rPr>
            </w:pPr>
          </w:p>
        </w:tc>
        <w:tc>
          <w:tcPr>
            <w:tcW w:w="4240" w:type="dxa"/>
            <w:vAlign w:val="bottom"/>
          </w:tcPr>
          <w:p>
            <w:pPr>
              <w:ind w:left="1720"/>
              <w:spacing w:after="0"/>
              <w:rPr>
                <w:sz w:val="20"/>
                <w:szCs w:val="20"/>
                <w:color w:val="auto"/>
              </w:rPr>
            </w:pPr>
            <w:r>
              <w:rPr>
                <w:rFonts w:ascii="Arial" w:cs="Arial" w:eastAsia="Arial" w:hAnsi="Arial"/>
                <w:sz w:val="22"/>
                <w:szCs w:val="22"/>
                <w:color w:val="auto"/>
              </w:rPr>
              <w:t>Title:</w:t>
            </w:r>
          </w:p>
        </w:tc>
        <w:tc>
          <w:tcPr>
            <w:tcW w:w="324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r>
        <w:trPr>
          <w:trHeight w:val="848"/>
        </w:trPr>
        <w:tc>
          <w:tcPr>
            <w:tcW w:w="302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4240" w:type="dxa"/>
            <w:vAlign w:val="bottom"/>
          </w:tcPr>
          <w:p>
            <w:pPr>
              <w:ind w:left="1720"/>
              <w:spacing w:after="0"/>
              <w:rPr>
                <w:sz w:val="20"/>
                <w:szCs w:val="20"/>
                <w:color w:val="auto"/>
              </w:rPr>
            </w:pPr>
            <w:r>
              <w:rPr>
                <w:rFonts w:ascii="Arial" w:cs="Arial" w:eastAsia="Arial" w:hAnsi="Arial"/>
                <w:sz w:val="22"/>
                <w:szCs w:val="22"/>
                <w:color w:val="auto"/>
              </w:rPr>
              <w:t>By:</w:t>
            </w:r>
          </w:p>
        </w:tc>
        <w:tc>
          <w:tcPr>
            <w:tcW w:w="324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Whittle</w:t>
            </w:r>
          </w:p>
        </w:tc>
      </w:tr>
      <w:tr>
        <w:trPr>
          <w:trHeight w:val="280"/>
        </w:trPr>
        <w:tc>
          <w:tcPr>
            <w:tcW w:w="3020" w:type="dxa"/>
            <w:vAlign w:val="bottom"/>
          </w:tcPr>
          <w:p>
            <w:pPr>
              <w:spacing w:after="0"/>
              <w:rPr>
                <w:sz w:val="24"/>
                <w:szCs w:val="24"/>
                <w:color w:val="auto"/>
              </w:rPr>
            </w:pPr>
          </w:p>
        </w:tc>
        <w:tc>
          <w:tcPr>
            <w:tcW w:w="4240" w:type="dxa"/>
            <w:vAlign w:val="bottom"/>
          </w:tcPr>
          <w:p>
            <w:pPr>
              <w:ind w:left="1720"/>
              <w:spacing w:after="0"/>
              <w:rPr>
                <w:sz w:val="20"/>
                <w:szCs w:val="20"/>
                <w:color w:val="auto"/>
              </w:rPr>
            </w:pPr>
            <w:r>
              <w:rPr>
                <w:rFonts w:ascii="Arial" w:cs="Arial" w:eastAsia="Arial" w:hAnsi="Arial"/>
                <w:sz w:val="22"/>
                <w:szCs w:val="22"/>
                <w:color w:val="auto"/>
              </w:rPr>
              <w:t>Name:</w:t>
            </w:r>
          </w:p>
        </w:tc>
        <w:tc>
          <w:tcPr>
            <w:tcW w:w="3240" w:type="dxa"/>
            <w:vAlign w:val="bottom"/>
          </w:tcPr>
          <w:p>
            <w:pPr>
              <w:ind w:left="20"/>
              <w:spacing w:after="0"/>
              <w:rPr>
                <w:sz w:val="20"/>
                <w:szCs w:val="20"/>
                <w:color w:val="auto"/>
              </w:rPr>
            </w:pPr>
            <w:r>
              <w:rPr>
                <w:rFonts w:ascii="Arial" w:cs="Arial" w:eastAsia="Arial" w:hAnsi="Arial"/>
                <w:sz w:val="22"/>
                <w:szCs w:val="22"/>
                <w:color w:val="auto"/>
              </w:rPr>
              <w:t>John Whittle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8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10.5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FORTINET, INC.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This Amended and Restated Change of Control Severance Agreement (the “Agreement”) is made and entered into by and between Keith Jensen (“Executive”) and Fortinet, Inc. (the “Company”), effective as of August 7, 2019 (the “Effective Date”) and supersedes the Change of Control Severance Agreement, between Executive and the Company (the “Prior Agreement”), effective as of February 4, 2016, as amended by the Amendment No. 1 to Change of Control Severance Agreement, between Executive and the Company. effective as of May 1,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47" w:lineRule="auto"/>
        <w:tabs>
          <w:tab w:leader="none" w:pos="1038"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93" w:lineRule="exact"/>
        <w:rPr>
          <w:rFonts w:ascii="Arial" w:cs="Arial" w:eastAsia="Arial" w:hAnsi="Arial"/>
          <w:sz w:val="22"/>
          <w:szCs w:val="22"/>
          <w:color w:val="auto"/>
        </w:rPr>
      </w:pPr>
    </w:p>
    <w:p>
      <w:pPr>
        <w:jc w:val="both"/>
        <w:ind w:firstLine="656"/>
        <w:spacing w:after="0" w:line="253" w:lineRule="auto"/>
        <w:tabs>
          <w:tab w:leader="none" w:pos="110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85" w:lineRule="exact"/>
        <w:rPr>
          <w:rFonts w:ascii="Arial" w:cs="Arial" w:eastAsia="Arial" w:hAnsi="Arial"/>
          <w:sz w:val="22"/>
          <w:szCs w:val="22"/>
          <w:color w:val="auto"/>
        </w:rPr>
      </w:pPr>
    </w:p>
    <w:p>
      <w:pPr>
        <w:jc w:val="both"/>
        <w:ind w:firstLine="656"/>
        <w:spacing w:after="0" w:line="253" w:lineRule="auto"/>
        <w:tabs>
          <w:tab w:leader="none" w:pos="1101"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jc w:val="both"/>
        <w:ind w:firstLine="656"/>
        <w:spacing w:after="0" w:line="253" w:lineRule="auto"/>
        <w:tabs>
          <w:tab w:leader="none" w:pos="1459" w:val="left"/>
        </w:tabs>
        <w:numPr>
          <w:ilvl w:val="0"/>
          <w:numId w:val="137"/>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85" w:lineRule="exact"/>
        <w:rPr>
          <w:rFonts w:ascii="Arial" w:cs="Arial" w:eastAsia="Arial" w:hAnsi="Arial"/>
          <w:sz w:val="22"/>
          <w:szCs w:val="22"/>
          <w:color w:val="010000"/>
        </w:rPr>
      </w:pPr>
    </w:p>
    <w:p>
      <w:pPr>
        <w:jc w:val="both"/>
        <w:ind w:firstLine="656"/>
        <w:spacing w:after="0" w:line="250" w:lineRule="auto"/>
        <w:tabs>
          <w:tab w:leader="none" w:pos="1459"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 The Company and Executive acknowledge that Executive’s employment is and will continue to be at-will, as defined under applicable law. If Executive’s employment terminates for any reason, including (without limitation) any termination prior to or twelve (12) months following a Change of Control, Executive will not be entitled to any acceleration</w:t>
      </w:r>
    </w:p>
    <w:p>
      <w:pPr>
        <w:sectPr>
          <w:pgSz w:w="11900" w:h="16838" w:orient="portrait"/>
          <w:cols w:equalWidth="0" w:num="1">
            <w:col w:w="11420"/>
          </w:cols>
          <w:pgMar w:left="240" w:top="841" w:right="239" w:bottom="1440" w:gutter="0" w:footer="0" w:header="0"/>
        </w:sectPr>
      </w:pPr>
    </w:p>
    <w:bookmarkStart w:id="131" w:name="page132"/>
    <w:bookmarkEnd w:id="131"/>
    <w:p>
      <w:pPr>
        <w:spacing w:after="0" w:line="263" w:lineRule="auto"/>
        <w:rPr>
          <w:sz w:val="20"/>
          <w:szCs w:val="20"/>
          <w:color w:val="auto"/>
        </w:rPr>
      </w:pPr>
      <w:r>
        <w:rPr>
          <w:rFonts w:ascii="Arial" w:cs="Arial" w:eastAsia="Arial" w:hAnsi="Arial"/>
          <w:sz w:val="22"/>
          <w:szCs w:val="22"/>
          <w:color w:val="auto"/>
        </w:rPr>
        <w:t>of any Award (as defined herein) vesting or severance pay based on termination of employment other than as provided by this Agreement.</w:t>
      </w:r>
    </w:p>
    <w:p>
      <w:pPr>
        <w:spacing w:after="0" w:line="175" w:lineRule="exact"/>
        <w:rPr>
          <w:sz w:val="20"/>
          <w:szCs w:val="20"/>
          <w:color w:val="auto"/>
        </w:rPr>
      </w:pPr>
    </w:p>
    <w:p>
      <w:pPr>
        <w:ind w:left="1460" w:hanging="804"/>
        <w:spacing w:after="0"/>
        <w:tabs>
          <w:tab w:leader="none" w:pos="1460"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Severance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305"/>
        <w:spacing w:after="0" w:line="300" w:lineRule="auto"/>
        <w:tabs>
          <w:tab w:leader="none" w:pos="1757" w:val="left"/>
        </w:tabs>
        <w:numPr>
          <w:ilvl w:val="2"/>
          <w:numId w:val="138"/>
        </w:numPr>
        <w:rPr>
          <w:rFonts w:ascii="Arial" w:cs="Arial" w:eastAsia="Arial" w:hAnsi="Arial"/>
          <w:sz w:val="19"/>
          <w:szCs w:val="19"/>
          <w:color w:val="010000"/>
        </w:rPr>
      </w:pPr>
      <w:r>
        <w:rPr>
          <w:rFonts w:ascii="Arial" w:cs="Arial" w:eastAsia="Arial" w:hAnsi="Arial"/>
          <w:sz w:val="19"/>
          <w:szCs w:val="19"/>
          <w:u w:val="single" w:color="auto"/>
          <w:color w:val="auto"/>
        </w:rPr>
        <w:t>Involuntary Termination Prior to, or Absent, a Change of Control or After 12 Months Following a Change of Control</w:t>
      </w:r>
      <w:r>
        <w:rPr>
          <w:rFonts w:ascii="Arial" w:cs="Arial" w:eastAsia="Arial" w:hAnsi="Arial"/>
          <w:sz w:val="19"/>
          <w:szCs w:val="19"/>
          <w:color w:val="auto"/>
        </w:rPr>
        <w:t>. If prior to, or absent, a Change of Control or after twelve (12) months following a Change of Control, (i) the Company (or any parent or subsidiary of the Company) terminates Executive’s employment without Cause (as defined herein) or (ii) Executive terminates Executive’s employment with the Company (or any parent or subsidiary of the Company) for Good Reason (as defined herein), then, subject to Sections 3(c) and (d) below, Executive will receive the following severance from the Company:</w:t>
      </w:r>
    </w:p>
    <w:p>
      <w:pPr>
        <w:spacing w:after="0" w:line="147" w:lineRule="exact"/>
        <w:rPr>
          <w:rFonts w:ascii="Arial" w:cs="Arial" w:eastAsia="Arial" w:hAnsi="Arial"/>
          <w:sz w:val="19"/>
          <w:szCs w:val="19"/>
          <w:color w:val="010000"/>
        </w:rPr>
      </w:pPr>
    </w:p>
    <w:p>
      <w:pPr>
        <w:ind w:left="2340" w:hanging="387"/>
        <w:spacing w:after="0"/>
        <w:tabs>
          <w:tab w:leader="none" w:pos="2340" w:val="left"/>
        </w:tabs>
        <w:numPr>
          <w:ilvl w:val="3"/>
          <w:numId w:val="138"/>
        </w:numPr>
        <w:rPr>
          <w:rFonts w:ascii="Arial" w:cs="Arial" w:eastAsia="Arial" w:hAnsi="Arial"/>
          <w:sz w:val="19"/>
          <w:szCs w:val="19"/>
          <w:color w:val="010000"/>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Executive will receive continuing payments of severance pay for a period of twelve</w:t>
      </w:r>
    </w:p>
    <w:p>
      <w:pPr>
        <w:spacing w:after="0" w:line="56" w:lineRule="exact"/>
        <w:rPr>
          <w:rFonts w:ascii="Arial" w:cs="Arial" w:eastAsia="Arial" w:hAnsi="Arial"/>
          <w:sz w:val="19"/>
          <w:szCs w:val="19"/>
          <w:color w:val="010000"/>
        </w:rPr>
      </w:pPr>
    </w:p>
    <w:p>
      <w:pPr>
        <w:ind w:firstLine="8"/>
        <w:spacing w:after="0" w:line="259" w:lineRule="auto"/>
        <w:tabs>
          <w:tab w:leader="none" w:pos="431" w:val="left"/>
        </w:tabs>
        <w:numPr>
          <w:ilvl w:val="0"/>
          <w:numId w:val="139"/>
        </w:numPr>
        <w:rPr>
          <w:rFonts w:ascii="Arial" w:cs="Arial" w:eastAsia="Arial" w:hAnsi="Arial"/>
          <w:sz w:val="22"/>
          <w:szCs w:val="22"/>
          <w:color w:val="auto"/>
        </w:rPr>
      </w:pPr>
      <w:r>
        <w:rPr>
          <w:rFonts w:ascii="Arial" w:cs="Arial" w:eastAsia="Arial" w:hAnsi="Arial"/>
          <w:sz w:val="22"/>
          <w:szCs w:val="22"/>
          <w:color w:val="auto"/>
        </w:rPr>
        <w:t>months from the date of such termination equal to Executive’s base salary rate as in effect immediately prior to Executive’s termination.</w:t>
      </w:r>
    </w:p>
    <w:p>
      <w:pPr>
        <w:spacing w:after="0" w:line="178" w:lineRule="exact"/>
        <w:rPr>
          <w:rFonts w:ascii="Arial" w:cs="Arial" w:eastAsia="Arial" w:hAnsi="Arial"/>
          <w:sz w:val="22"/>
          <w:szCs w:val="22"/>
          <w:color w:val="auto"/>
        </w:rPr>
      </w:pPr>
    </w:p>
    <w:p>
      <w:pPr>
        <w:jc w:val="both"/>
        <w:ind w:firstLine="1953"/>
        <w:spacing w:after="0" w:line="251" w:lineRule="auto"/>
        <w:tabs>
          <w:tab w:leader="none" w:pos="2537" w:val="left"/>
        </w:tabs>
        <w:numPr>
          <w:ilvl w:val="3"/>
          <w:numId w:val="139"/>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If Executive holds unvested equity awards (“Awards”) at the time of Executive’s termination, then the unvested portion of such Awards that would have otherwise vested over a twelve (12) month period following such termination pursuant to the vesting schedule set forth in the award agreement will immediately vest as of Executive’s termination date. The Awards will remain exercisable following the termination for the period prescribed in the respective stock plan and agreement for each award.</w:t>
      </w:r>
    </w:p>
    <w:p>
      <w:pPr>
        <w:spacing w:after="0" w:line="189" w:lineRule="exact"/>
        <w:rPr>
          <w:rFonts w:ascii="Arial" w:cs="Arial" w:eastAsia="Arial" w:hAnsi="Arial"/>
          <w:sz w:val="22"/>
          <w:szCs w:val="22"/>
          <w:color w:val="010000"/>
        </w:rPr>
      </w:pPr>
    </w:p>
    <w:p>
      <w:pPr>
        <w:ind w:left="2520" w:hanging="567"/>
        <w:spacing w:after="0"/>
        <w:tabs>
          <w:tab w:leader="none" w:pos="2520" w:val="left"/>
        </w:tabs>
        <w:numPr>
          <w:ilvl w:val="3"/>
          <w:numId w:val="139"/>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w:t>
      </w:r>
    </w:p>
    <w:p>
      <w:pPr>
        <w:spacing w:after="0" w:line="56" w:lineRule="exact"/>
        <w:rPr>
          <w:rFonts w:ascii="Arial" w:cs="Arial" w:eastAsia="Arial" w:hAnsi="Arial"/>
          <w:sz w:val="19"/>
          <w:szCs w:val="19"/>
          <w:color w:val="010000"/>
        </w:rPr>
      </w:pPr>
    </w:p>
    <w:p>
      <w:pPr>
        <w:ind w:left="420" w:hanging="412"/>
        <w:spacing w:after="0"/>
        <w:tabs>
          <w:tab w:leader="none" w:pos="42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months for Executive and Executive’s eligible dependents under the Company’s Benefit Plans (as defined herein).</w:t>
      </w:r>
    </w:p>
    <w:p>
      <w:pPr>
        <w:spacing w:after="0" w:line="226" w:lineRule="exact"/>
        <w:rPr>
          <w:rFonts w:ascii="Arial" w:cs="Arial" w:eastAsia="Arial" w:hAnsi="Arial"/>
          <w:sz w:val="21"/>
          <w:szCs w:val="21"/>
          <w:color w:val="auto"/>
        </w:rPr>
      </w:pPr>
    </w:p>
    <w:p>
      <w:pPr>
        <w:jc w:val="both"/>
        <w:ind w:firstLine="1305"/>
        <w:spacing w:after="0" w:line="251" w:lineRule="auto"/>
        <w:tabs>
          <w:tab w:leader="none" w:pos="1864" w:val="left"/>
        </w:tabs>
        <w:numPr>
          <w:ilvl w:val="2"/>
          <w:numId w:val="140"/>
        </w:numPr>
        <w:rPr>
          <w:rFonts w:ascii="Arial" w:cs="Arial" w:eastAsia="Arial" w:hAnsi="Arial"/>
          <w:sz w:val="22"/>
          <w:szCs w:val="22"/>
          <w:color w:val="010000"/>
        </w:rPr>
      </w:pPr>
      <w:r>
        <w:rPr>
          <w:rFonts w:ascii="Arial" w:cs="Arial" w:eastAsia="Arial" w:hAnsi="Arial"/>
          <w:sz w:val="22"/>
          <w:szCs w:val="22"/>
          <w:u w:val="single" w:color="auto"/>
          <w:color w:val="auto"/>
        </w:rPr>
        <w:t>Involuntary Termination within 12 Months Following a Change of Control</w:t>
      </w:r>
      <w:r>
        <w:rPr>
          <w:rFonts w:ascii="Arial" w:cs="Arial" w:eastAsia="Arial" w:hAnsi="Arial"/>
          <w:sz w:val="22"/>
          <w:szCs w:val="22"/>
          <w:color w:val="auto"/>
        </w:rPr>
        <w:t>.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3(c) and Section 3(d) below, Executive will receive the following severance from the Company:</w:t>
      </w:r>
    </w:p>
    <w:p>
      <w:pPr>
        <w:spacing w:after="0" w:line="189" w:lineRule="exact"/>
        <w:rPr>
          <w:rFonts w:ascii="Arial" w:cs="Arial" w:eastAsia="Arial" w:hAnsi="Arial"/>
          <w:sz w:val="22"/>
          <w:szCs w:val="22"/>
          <w:color w:val="010000"/>
        </w:rPr>
      </w:pPr>
    </w:p>
    <w:p>
      <w:pPr>
        <w:ind w:left="2340" w:hanging="387"/>
        <w:spacing w:after="0"/>
        <w:tabs>
          <w:tab w:leader="none" w:pos="2340" w:val="left"/>
        </w:tabs>
        <w:numPr>
          <w:ilvl w:val="3"/>
          <w:numId w:val="140"/>
        </w:numPr>
        <w:rPr>
          <w:rFonts w:ascii="Arial" w:cs="Arial" w:eastAsia="Arial" w:hAnsi="Arial"/>
          <w:sz w:val="19"/>
          <w:szCs w:val="19"/>
          <w:color w:val="010000"/>
        </w:rPr>
      </w:pPr>
      <w:r>
        <w:rPr>
          <w:rFonts w:ascii="Arial" w:cs="Arial" w:eastAsia="Arial" w:hAnsi="Arial"/>
          <w:sz w:val="19"/>
          <w:szCs w:val="19"/>
          <w:u w:val="single" w:color="auto"/>
          <w:color w:val="auto"/>
        </w:rPr>
        <w:t>Severance Payment</w:t>
      </w:r>
      <w:r>
        <w:rPr>
          <w:rFonts w:ascii="Arial" w:cs="Arial" w:eastAsia="Arial" w:hAnsi="Arial"/>
          <w:sz w:val="19"/>
          <w:szCs w:val="19"/>
          <w:color w:val="auto"/>
        </w:rPr>
        <w:t>. Executive will receive continuing payments of severance pay for a period of twelve</w:t>
      </w:r>
    </w:p>
    <w:p>
      <w:pPr>
        <w:spacing w:after="0" w:line="56" w:lineRule="exact"/>
        <w:rPr>
          <w:rFonts w:ascii="Arial" w:cs="Arial" w:eastAsia="Arial" w:hAnsi="Arial"/>
          <w:sz w:val="19"/>
          <w:szCs w:val="19"/>
          <w:color w:val="010000"/>
        </w:rPr>
      </w:pPr>
    </w:p>
    <w:p>
      <w:pPr>
        <w:ind w:firstLine="8"/>
        <w:spacing w:after="0" w:line="259" w:lineRule="auto"/>
        <w:tabs>
          <w:tab w:leader="none" w:pos="41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months from the date of such termination equal to Executive’s base salary rate as in effect immediately prior to (A) the Change of Control, or (B) Executive’s termination, whichever is greater.</w:t>
      </w:r>
    </w:p>
    <w:p>
      <w:pPr>
        <w:spacing w:after="0" w:line="178" w:lineRule="exact"/>
        <w:rPr>
          <w:rFonts w:ascii="Arial" w:cs="Arial" w:eastAsia="Arial" w:hAnsi="Arial"/>
          <w:sz w:val="22"/>
          <w:szCs w:val="22"/>
          <w:color w:val="auto"/>
        </w:rPr>
      </w:pPr>
    </w:p>
    <w:p>
      <w:pPr>
        <w:jc w:val="both"/>
        <w:ind w:firstLine="1953"/>
        <w:spacing w:after="0" w:line="251" w:lineRule="auto"/>
        <w:tabs>
          <w:tab w:leader="none" w:pos="2470" w:val="left"/>
        </w:tabs>
        <w:numPr>
          <w:ilvl w:val="3"/>
          <w:numId w:val="141"/>
        </w:numPr>
        <w:rPr>
          <w:rFonts w:ascii="Arial" w:cs="Arial" w:eastAsia="Arial" w:hAnsi="Arial"/>
          <w:sz w:val="22"/>
          <w:szCs w:val="22"/>
          <w:color w:val="010000"/>
        </w:rPr>
      </w:pPr>
      <w:r>
        <w:rPr>
          <w:rFonts w:ascii="Arial" w:cs="Arial" w:eastAsia="Arial" w:hAnsi="Arial"/>
          <w:sz w:val="22"/>
          <w:szCs w:val="22"/>
          <w:u w:val="single" w:color="auto"/>
          <w:color w:val="auto"/>
        </w:rPr>
        <w:t>Equity Awards</w:t>
      </w:r>
      <w:r>
        <w:rPr>
          <w:rFonts w:ascii="Arial" w:cs="Arial" w:eastAsia="Arial" w:hAnsi="Arial"/>
          <w:sz w:val="22"/>
          <w:szCs w:val="22"/>
          <w:color w:val="auto"/>
        </w:rPr>
        <w:t>. If Executive holds Awards at the time of Executive’s termination, then one hundred percent (100%) of the then- unvested shares subject to such Awards will immediately vest as of Executive’s termination date. For the sake of clarity, Executive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31" w:right="239" w:bottom="1440" w:gutter="0" w:footer="0" w:header="0"/>
        </w:sectPr>
      </w:pPr>
    </w:p>
    <w:bookmarkStart w:id="132" w:name="page133"/>
    <w:bookmarkEnd w:id="132"/>
    <w:p>
      <w:pPr>
        <w:jc w:val="both"/>
        <w:spacing w:after="0" w:line="250" w:lineRule="auto"/>
        <w:rPr>
          <w:sz w:val="20"/>
          <w:szCs w:val="20"/>
          <w:color w:val="auto"/>
        </w:rPr>
      </w:pPr>
      <w:r>
        <w:rPr>
          <w:rFonts w:ascii="Arial" w:cs="Arial" w:eastAsia="Arial" w:hAnsi="Arial"/>
          <w:sz w:val="22"/>
          <w:szCs w:val="22"/>
          <w:color w:val="auto"/>
        </w:rPr>
        <w:t>respect to performance stock units and performance shares, all performance goals or other vesting criteria will be deemed to have been achieved at one hundred percent (100%) of target levels and all other terms and conditions met. The Awards will remain exercisable, to the extent applicable, following the termination for the period prescribed in the respective stock plan and agreement for each Award.</w:t>
      </w:r>
    </w:p>
    <w:p>
      <w:pPr>
        <w:spacing w:after="0" w:line="188" w:lineRule="exact"/>
        <w:rPr>
          <w:sz w:val="20"/>
          <w:szCs w:val="20"/>
          <w:color w:val="auto"/>
        </w:rPr>
      </w:pPr>
    </w:p>
    <w:p>
      <w:pPr>
        <w:ind w:left="2520" w:hanging="567"/>
        <w:spacing w:after="0"/>
        <w:tabs>
          <w:tab w:leader="none" w:pos="2520" w:val="left"/>
        </w:tabs>
        <w:numPr>
          <w:ilvl w:val="2"/>
          <w:numId w:val="142"/>
        </w:numPr>
        <w:rPr>
          <w:rFonts w:ascii="Arial" w:cs="Arial" w:eastAsia="Arial" w:hAnsi="Arial"/>
          <w:sz w:val="19"/>
          <w:szCs w:val="19"/>
          <w:color w:val="010000"/>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Executive will receive Company-paid coverage for a period of twelve</w:t>
      </w:r>
    </w:p>
    <w:p>
      <w:pPr>
        <w:spacing w:after="0" w:line="56" w:lineRule="exact"/>
        <w:rPr>
          <w:rFonts w:ascii="Arial" w:cs="Arial" w:eastAsia="Arial" w:hAnsi="Arial"/>
          <w:sz w:val="19"/>
          <w:szCs w:val="19"/>
          <w:color w:val="010000"/>
        </w:rPr>
      </w:pPr>
    </w:p>
    <w:p>
      <w:pPr>
        <w:ind w:left="420" w:hanging="412"/>
        <w:spacing w:after="0"/>
        <w:tabs>
          <w:tab w:leader="none" w:pos="42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months for Executive and Executive’s eligible dependents under the Company’s Benefit Plans.</w:t>
      </w:r>
    </w:p>
    <w:p>
      <w:pPr>
        <w:spacing w:after="0" w:line="215" w:lineRule="exact"/>
        <w:rPr>
          <w:rFonts w:ascii="Arial" w:cs="Arial" w:eastAsia="Arial" w:hAnsi="Arial"/>
          <w:sz w:val="22"/>
          <w:szCs w:val="22"/>
          <w:color w:val="auto"/>
        </w:rPr>
      </w:pPr>
    </w:p>
    <w:p>
      <w:pPr>
        <w:ind w:left="1740" w:hanging="435"/>
        <w:spacing w:after="0"/>
        <w:tabs>
          <w:tab w:leader="none" w:pos="1740" w:val="left"/>
        </w:tabs>
        <w:numPr>
          <w:ilvl w:val="1"/>
          <w:numId w:val="143"/>
        </w:numPr>
        <w:rPr>
          <w:rFonts w:ascii="Arial" w:cs="Arial" w:eastAsia="Arial" w:hAnsi="Arial"/>
          <w:sz w:val="19"/>
          <w:szCs w:val="19"/>
          <w:color w:val="010000"/>
        </w:rPr>
      </w:pPr>
      <w:r>
        <w:rPr>
          <w:rFonts w:ascii="Arial" w:cs="Arial" w:eastAsia="Arial" w:hAnsi="Arial"/>
          <w:sz w:val="19"/>
          <w:szCs w:val="19"/>
          <w:u w:val="single" w:color="auto"/>
          <w:color w:val="auto"/>
        </w:rPr>
        <w:t>Release of Claims Agreement</w:t>
      </w:r>
      <w:r>
        <w:rPr>
          <w:rFonts w:ascii="Arial" w:cs="Arial" w:eastAsia="Arial" w:hAnsi="Arial"/>
          <w:sz w:val="19"/>
          <w:szCs w:val="19"/>
          <w:color w:val="auto"/>
        </w:rPr>
        <w:t>. The receipt of any severance pay or other benefits pursuant to Sections 3(a) and</w:t>
      </w:r>
    </w:p>
    <w:p>
      <w:pPr>
        <w:spacing w:after="0" w:line="56" w:lineRule="exact"/>
        <w:rPr>
          <w:rFonts w:ascii="Arial" w:cs="Arial" w:eastAsia="Arial" w:hAnsi="Arial"/>
          <w:sz w:val="19"/>
          <w:szCs w:val="19"/>
          <w:color w:val="010000"/>
        </w:rPr>
      </w:pPr>
    </w:p>
    <w:p>
      <w:pPr>
        <w:jc w:val="both"/>
        <w:spacing w:after="0" w:line="245" w:lineRule="auto"/>
        <w:rPr>
          <w:rFonts w:ascii="Arial" w:cs="Arial" w:eastAsia="Arial" w:hAnsi="Arial"/>
          <w:sz w:val="19"/>
          <w:szCs w:val="19"/>
          <w:color w:val="010000"/>
        </w:rPr>
      </w:pPr>
      <w:r>
        <w:rPr>
          <w:rFonts w:ascii="Arial" w:cs="Arial" w:eastAsia="Arial" w:hAnsi="Arial"/>
          <w:sz w:val="22"/>
          <w:szCs w:val="22"/>
          <w:color w:val="auto"/>
        </w:rPr>
        <w:t>(b)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the later of (i) the fifteenth day of the third month after the end of the Company’s fiscal year in which such termination of employment occurs, or (ii) March 15 of the calendar year following the calendar year in which such termination of employment occurs. No such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effective date of such release.</w:t>
      </w:r>
    </w:p>
    <w:p>
      <w:pPr>
        <w:spacing w:after="0" w:line="198" w:lineRule="exact"/>
        <w:rPr>
          <w:rFonts w:ascii="Arial" w:cs="Arial" w:eastAsia="Arial" w:hAnsi="Arial"/>
          <w:sz w:val="19"/>
          <w:szCs w:val="19"/>
          <w:color w:val="010000"/>
        </w:rPr>
      </w:pPr>
    </w:p>
    <w:p>
      <w:pPr>
        <w:jc w:val="both"/>
        <w:ind w:firstLine="1305"/>
        <w:spacing w:after="0" w:line="259" w:lineRule="auto"/>
        <w:tabs>
          <w:tab w:leader="none" w:pos="1769" w:val="left"/>
        </w:tabs>
        <w:numPr>
          <w:ilvl w:val="1"/>
          <w:numId w:val="143"/>
        </w:numPr>
        <w:rPr>
          <w:rFonts w:ascii="Arial" w:cs="Arial" w:eastAsia="Arial" w:hAnsi="Arial"/>
          <w:sz w:val="21"/>
          <w:szCs w:val="21"/>
          <w:color w:val="010000"/>
        </w:rPr>
      </w:pPr>
      <w:r>
        <w:rPr>
          <w:rFonts w:ascii="Arial" w:cs="Arial" w:eastAsia="Arial" w:hAnsi="Arial"/>
          <w:sz w:val="21"/>
          <w:szCs w:val="21"/>
          <w:u w:val="single" w:color="auto"/>
          <w:color w:val="auto"/>
        </w:rPr>
        <w:t>Non-solicitation and Non-competition</w:t>
      </w:r>
      <w:r>
        <w:rPr>
          <w:rFonts w:ascii="Arial" w:cs="Arial" w:eastAsia="Arial" w:hAnsi="Arial"/>
          <w:sz w:val="21"/>
          <w:szCs w:val="21"/>
          <w:color w:val="auto"/>
        </w:rPr>
        <w:t>. Executive agrees, to the extent permitted by applicable law, that in the event Executive receives severance pay or other benefits pursuant to Sections 3(a) and (b) above, for the twelve (12) consecutive month period immediately following the date of Executive’s termination, Executive, as a condition to receipt of severance pay and benefits under Sections 3(a) and (b), will not (i) either directly or indirectly, solicit, induce, recruit, encourage any employee of the Company to leave his employment either for Executive or for any other entity or person, or (ii) without the express 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18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covenants contained in this Section 3(d)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3(d). If, in any judicial proceeding, a court refuses to enforce any of such separate covenants (or any part thereof), then such unenforceable covenant (or such part) shall be eliminated from this Agreement to the extent necessary to permit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33" w:name="page134"/>
    <w:bookmarkEnd w:id="133"/>
    <w:p>
      <w:pPr>
        <w:jc w:val="both"/>
        <w:spacing w:after="0" w:line="271" w:lineRule="auto"/>
        <w:rPr>
          <w:sz w:val="20"/>
          <w:szCs w:val="20"/>
          <w:color w:val="auto"/>
        </w:rPr>
      </w:pPr>
      <w:r>
        <w:rPr>
          <w:rFonts w:ascii="Arial" w:cs="Arial" w:eastAsia="Arial" w:hAnsi="Arial"/>
          <w:sz w:val="21"/>
          <w:szCs w:val="21"/>
          <w:color w:val="auto"/>
        </w:rPr>
        <w:t>the remaining separate covenants (or portions thereof) to be enforced. In the event that the provisions of this Section 3(d) are deemed to exceed the time, geographic or scope limitations permitted by applicable law, then such provisions shall be reformed to the maximum time, geographic or scope limitations, as the case may be, permitted by applicable law.</w:t>
      </w:r>
    </w:p>
    <w:p>
      <w:pPr>
        <w:spacing w:after="0" w:line="168" w:lineRule="exact"/>
        <w:rPr>
          <w:sz w:val="20"/>
          <w:szCs w:val="20"/>
          <w:color w:val="auto"/>
        </w:rPr>
      </w:pPr>
    </w:p>
    <w:p>
      <w:pPr>
        <w:jc w:val="both"/>
        <w:ind w:firstLine="1305"/>
        <w:spacing w:after="0" w:line="251" w:lineRule="auto"/>
        <w:tabs>
          <w:tab w:leader="none" w:pos="1824" w:val="left"/>
        </w:tabs>
        <w:numPr>
          <w:ilvl w:val="1"/>
          <w:numId w:val="144"/>
        </w:numPr>
        <w:rPr>
          <w:rFonts w:ascii="Arial" w:cs="Arial" w:eastAsia="Arial" w:hAnsi="Arial"/>
          <w:sz w:val="22"/>
          <w:szCs w:val="22"/>
          <w:color w:val="010000"/>
        </w:rPr>
      </w:pPr>
      <w:r>
        <w:rPr>
          <w:rFonts w:ascii="Arial" w:cs="Arial" w:eastAsia="Arial" w:hAnsi="Arial"/>
          <w:sz w:val="22"/>
          <w:szCs w:val="22"/>
          <w:u w:val="single" w:color="auto"/>
          <w:color w:val="auto"/>
        </w:rPr>
        <w:t>Timing of Severance Payments</w:t>
      </w:r>
      <w:r>
        <w:rPr>
          <w:rFonts w:ascii="Arial" w:cs="Arial" w:eastAsia="Arial" w:hAnsi="Arial"/>
          <w:sz w:val="22"/>
          <w:szCs w:val="22"/>
          <w:color w:val="auto"/>
        </w:rPr>
        <w:t>. Subject to Section 3(c),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9" w:lineRule="exact"/>
        <w:rPr>
          <w:rFonts w:ascii="Arial" w:cs="Arial" w:eastAsia="Arial" w:hAnsi="Arial"/>
          <w:sz w:val="22"/>
          <w:szCs w:val="22"/>
          <w:color w:val="010000"/>
        </w:rPr>
      </w:pPr>
    </w:p>
    <w:p>
      <w:pPr>
        <w:jc w:val="both"/>
        <w:ind w:firstLine="1305"/>
        <w:spacing w:after="0" w:line="299" w:lineRule="auto"/>
        <w:tabs>
          <w:tab w:leader="none" w:pos="1773" w:val="left"/>
        </w:tabs>
        <w:numPr>
          <w:ilvl w:val="1"/>
          <w:numId w:val="144"/>
        </w:numPr>
        <w:rPr>
          <w:rFonts w:ascii="Arial" w:cs="Arial" w:eastAsia="Arial" w:hAnsi="Arial"/>
          <w:sz w:val="19"/>
          <w:szCs w:val="19"/>
          <w:color w:val="010000"/>
        </w:rPr>
      </w:pPr>
      <w:r>
        <w:rPr>
          <w:rFonts w:ascii="Arial" w:cs="Arial" w:eastAsia="Arial" w:hAnsi="Arial"/>
          <w:sz w:val="19"/>
          <w:szCs w:val="19"/>
          <w:u w:val="single" w:color="auto"/>
          <w:color w:val="auto"/>
        </w:rPr>
        <w:t>Voluntary Resignation; Termination For Cause</w:t>
      </w:r>
      <w:r>
        <w:rPr>
          <w:rFonts w:ascii="Arial" w:cs="Arial" w:eastAsia="Arial" w:hAnsi="Arial"/>
          <w:sz w:val="19"/>
          <w:szCs w:val="19"/>
          <w:color w:val="auto"/>
        </w:rPr>
        <w:t>. If Executive’s employment with the Company terminates (i) voluntarily by Executive (except upon a termination for Good Reason within twelve (12) months following a Change of Control) or</w:t>
      </w:r>
    </w:p>
    <w:p>
      <w:pPr>
        <w:jc w:val="both"/>
        <w:ind w:firstLine="8"/>
        <w:spacing w:after="0" w:line="302" w:lineRule="auto"/>
        <w:tabs>
          <w:tab w:leader="none" w:pos="35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43" w:lineRule="exact"/>
        <w:rPr>
          <w:rFonts w:ascii="Arial" w:cs="Arial" w:eastAsia="Arial" w:hAnsi="Arial"/>
          <w:sz w:val="19"/>
          <w:szCs w:val="19"/>
          <w:color w:val="auto"/>
        </w:rPr>
      </w:pPr>
    </w:p>
    <w:p>
      <w:pPr>
        <w:jc w:val="both"/>
        <w:ind w:firstLine="1305"/>
        <w:spacing w:after="0" w:line="307" w:lineRule="auto"/>
        <w:tabs>
          <w:tab w:leader="none" w:pos="1756" w:val="left"/>
        </w:tabs>
        <w:numPr>
          <w:ilvl w:val="1"/>
          <w:numId w:val="145"/>
        </w:numPr>
        <w:rPr>
          <w:rFonts w:ascii="Arial" w:cs="Arial" w:eastAsia="Arial" w:hAnsi="Arial"/>
          <w:sz w:val="19"/>
          <w:szCs w:val="19"/>
          <w:color w:val="010000"/>
        </w:rPr>
      </w:pPr>
      <w:r>
        <w:rPr>
          <w:rFonts w:ascii="Arial" w:cs="Arial" w:eastAsia="Arial" w:hAnsi="Arial"/>
          <w:sz w:val="19"/>
          <w:szCs w:val="19"/>
          <w:u w:val="single" w:color="auto"/>
          <w:color w:val="auto"/>
        </w:rPr>
        <w:t>Disability; Death</w:t>
      </w:r>
      <w:r>
        <w:rPr>
          <w:rFonts w:ascii="Arial" w:cs="Arial" w:eastAsia="Arial" w:hAnsi="Arial"/>
          <w:sz w:val="19"/>
          <w:szCs w:val="19"/>
          <w:color w:val="auto"/>
        </w:rPr>
        <w:t>. If the Company terminates Executive’s employment as a result of Executive’s Disability (as defined herein),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38" w:lineRule="exact"/>
        <w:rPr>
          <w:rFonts w:ascii="Arial" w:cs="Arial" w:eastAsia="Arial" w:hAnsi="Arial"/>
          <w:sz w:val="19"/>
          <w:szCs w:val="19"/>
          <w:color w:val="010000"/>
        </w:rPr>
      </w:pPr>
    </w:p>
    <w:p>
      <w:pPr>
        <w:jc w:val="both"/>
        <w:ind w:firstLine="1305"/>
        <w:spacing w:after="0" w:line="300" w:lineRule="auto"/>
        <w:tabs>
          <w:tab w:leader="none" w:pos="1756" w:val="left"/>
        </w:tabs>
        <w:numPr>
          <w:ilvl w:val="1"/>
          <w:numId w:val="145"/>
        </w:numPr>
        <w:rPr>
          <w:rFonts w:ascii="Arial" w:cs="Arial" w:eastAsia="Arial" w:hAnsi="Arial"/>
          <w:sz w:val="19"/>
          <w:szCs w:val="19"/>
          <w:color w:val="010000"/>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In the event of a termination of Executive’s employment with the Company (or any parent or subsidiary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47" w:lineRule="exact"/>
        <w:rPr>
          <w:rFonts w:ascii="Arial" w:cs="Arial" w:eastAsia="Arial" w:hAnsi="Arial"/>
          <w:sz w:val="19"/>
          <w:szCs w:val="19"/>
          <w:color w:val="010000"/>
        </w:rPr>
      </w:pPr>
    </w:p>
    <w:p>
      <w:pPr>
        <w:jc w:val="both"/>
        <w:ind w:firstLine="1305"/>
        <w:spacing w:after="0" w:line="260" w:lineRule="auto"/>
        <w:tabs>
          <w:tab w:leader="none" w:pos="1721" w:val="left"/>
        </w:tabs>
        <w:numPr>
          <w:ilvl w:val="1"/>
          <w:numId w:val="145"/>
        </w:numPr>
        <w:rPr>
          <w:rFonts w:ascii="Arial" w:cs="Arial" w:eastAsia="Arial" w:hAnsi="Arial"/>
          <w:sz w:val="21"/>
          <w:szCs w:val="21"/>
          <w:color w:val="010000"/>
        </w:rPr>
      </w:pPr>
      <w:r>
        <w:rPr>
          <w:rFonts w:ascii="Arial" w:cs="Arial" w:eastAsia="Arial" w:hAnsi="Arial"/>
          <w:sz w:val="21"/>
          <w:szCs w:val="21"/>
          <w:u w:val="single" w:color="auto"/>
          <w:color w:val="auto"/>
        </w:rPr>
        <w:t>Section 409A</w:t>
      </w:r>
      <w:r>
        <w:rPr>
          <w:rFonts w:ascii="Arial" w:cs="Arial" w:eastAsia="Arial" w:hAnsi="Arial"/>
          <w:sz w:val="21"/>
          <w:szCs w:val="21"/>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 “specified employee”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34" w:name="page135"/>
    <w:bookmarkEnd w:id="134"/>
    <w:p>
      <w:pPr>
        <w:jc w:val="both"/>
        <w:spacing w:after="0" w:line="288" w:lineRule="auto"/>
        <w:rPr>
          <w:sz w:val="20"/>
          <w:szCs w:val="20"/>
          <w:color w:val="auto"/>
        </w:rPr>
      </w:pPr>
      <w:r>
        <w:rPr>
          <w:rFonts w:ascii="Arial" w:cs="Arial" w:eastAsia="Arial" w:hAnsi="Arial"/>
          <w:sz w:val="19"/>
          <w:szCs w:val="19"/>
          <w:color w:val="auto"/>
        </w:rPr>
        <w:t>within the meaning of Section 409A at the time of Executive’s termination (other than due to death), then the Deferred Compensation Separation Benefits that are payable within the first six (6) months following Executive’s separation from service, will become payable in a lump sum (without interest) on the first payroll date that occurs on or after the date six (6) months and one</w:t>
      </w:r>
    </w:p>
    <w:p>
      <w:pPr>
        <w:spacing w:after="0" w:line="1" w:lineRule="exact"/>
        <w:rPr>
          <w:sz w:val="20"/>
          <w:szCs w:val="20"/>
          <w:color w:val="auto"/>
        </w:rPr>
      </w:pPr>
    </w:p>
    <w:p>
      <w:pPr>
        <w:jc w:val="both"/>
        <w:ind w:firstLine="8"/>
        <w:spacing w:after="0" w:line="279" w:lineRule="auto"/>
        <w:tabs>
          <w:tab w:leader="none" w:pos="322" w:val="left"/>
        </w:tabs>
        <w:numPr>
          <w:ilvl w:val="0"/>
          <w:numId w:val="146"/>
        </w:numPr>
        <w:rPr>
          <w:rFonts w:ascii="Arial" w:cs="Arial" w:eastAsia="Arial" w:hAnsi="Arial"/>
          <w:sz w:val="19"/>
          <w:szCs w:val="19"/>
          <w:color w:val="auto"/>
        </w:rPr>
      </w:pPr>
      <w:r>
        <w:rPr>
          <w:rFonts w:ascii="Arial" w:cs="Arial" w:eastAsia="Arial" w:hAnsi="Arial"/>
          <w:sz w:val="19"/>
          <w:szCs w:val="19"/>
          <w:color w:val="auto"/>
        </w:rPr>
        <w:t>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sum (without interest)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For any Deferred Compensation Separation Benefits, the release of claim agreement under Section 3(c) hereof must become irrevocable within sixty (60) days of the date of termination and benefits shall commence upon the date provided in Section 3(e) hereof, provided, that if the sixtieth (60</w:t>
      </w:r>
      <w:r>
        <w:rPr>
          <w:rFonts w:ascii="Arial" w:cs="Arial" w:eastAsia="Arial" w:hAnsi="Arial"/>
          <w:sz w:val="25"/>
          <w:szCs w:val="25"/>
          <w:color w:val="auto"/>
          <w:vertAlign w:val="superscript"/>
        </w:rPr>
        <w:t>th</w:t>
      </w:r>
      <w:r>
        <w:rPr>
          <w:rFonts w:ascii="Arial" w:cs="Arial" w:eastAsia="Arial" w:hAnsi="Arial"/>
          <w:sz w:val="19"/>
          <w:szCs w:val="19"/>
          <w:color w:val="auto"/>
        </w:rPr>
        <w:t>) day following the termination of Executive’s employment with the Company falls in the calendar year following the calendar year containing the date of termination, the benefits will be made no earlier than the first business day of that following calendar year. The first such cash payment shall include all amounts that otherwise would have been due prior thereto under the terms of this Agreement had such payments commenced immediately upon the termination of Executive’s employment with the Company, and any payments made after the first such payment shall continue as provided herein.</w:t>
      </w:r>
    </w:p>
    <w:p>
      <w:pPr>
        <w:spacing w:after="0" w:line="172" w:lineRule="exact"/>
        <w:rPr>
          <w:rFonts w:ascii="Arial" w:cs="Arial" w:eastAsia="Arial" w:hAnsi="Arial"/>
          <w:sz w:val="19"/>
          <w:szCs w:val="19"/>
          <w:color w:val="auto"/>
        </w:rPr>
      </w:pPr>
    </w:p>
    <w:p>
      <w:pPr>
        <w:jc w:val="both"/>
        <w:ind w:firstLine="656"/>
        <w:spacing w:after="0" w:line="254" w:lineRule="auto"/>
        <w:tabs>
          <w:tab w:leader="none" w:pos="1017" w:val="left"/>
        </w:tabs>
        <w:numPr>
          <w:ilvl w:val="1"/>
          <w:numId w:val="146"/>
        </w:numPr>
        <w:rPr>
          <w:rFonts w:ascii="Arial" w:cs="Arial" w:eastAsia="Arial" w:hAnsi="Arial"/>
          <w:sz w:val="22"/>
          <w:szCs w:val="22"/>
          <w:color w:val="010000"/>
        </w:rPr>
      </w:pPr>
      <w:r>
        <w:rPr>
          <w:rFonts w:ascii="Arial" w:cs="Arial" w:eastAsia="Arial" w:hAnsi="Arial"/>
          <w:sz w:val="22"/>
          <w:szCs w:val="22"/>
          <w:u w:val="single" w:color="auto"/>
          <w:color w:val="auto"/>
        </w:rPr>
        <w:t>Limitation on Payments</w:t>
      </w:r>
      <w:r>
        <w:rPr>
          <w:rFonts w:ascii="Arial" w:cs="Arial" w:eastAsia="Arial" w:hAnsi="Arial"/>
          <w:sz w:val="22"/>
          <w:szCs w:val="22"/>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85" w:lineRule="exact"/>
        <w:rPr>
          <w:rFonts w:ascii="Arial" w:cs="Arial" w:eastAsia="Arial" w:hAnsi="Arial"/>
          <w:sz w:val="22"/>
          <w:szCs w:val="22"/>
          <w:color w:val="010000"/>
        </w:rPr>
      </w:pPr>
    </w:p>
    <w:p>
      <w:pPr>
        <w:ind w:left="1720" w:hanging="415"/>
        <w:spacing w:after="0"/>
        <w:tabs>
          <w:tab w:leader="none" w:pos="1720" w:val="left"/>
        </w:tabs>
        <w:numPr>
          <w:ilvl w:val="2"/>
          <w:numId w:val="146"/>
        </w:numPr>
        <w:rPr>
          <w:rFonts w:ascii="Arial" w:cs="Arial" w:eastAsia="Arial" w:hAnsi="Arial"/>
          <w:sz w:val="22"/>
          <w:szCs w:val="22"/>
          <w:color w:val="010000"/>
        </w:rPr>
      </w:pPr>
      <w:r>
        <w:rPr>
          <w:rFonts w:ascii="Arial" w:cs="Arial" w:eastAsia="Arial" w:hAnsi="Arial"/>
          <w:sz w:val="22"/>
          <w:szCs w:val="22"/>
          <w:color w:val="auto"/>
        </w:rPr>
        <w:t>delivered in full, or</w:t>
      </w:r>
    </w:p>
    <w:p>
      <w:pPr>
        <w:spacing w:after="0" w:line="233" w:lineRule="exact"/>
        <w:rPr>
          <w:rFonts w:ascii="Arial" w:cs="Arial" w:eastAsia="Arial" w:hAnsi="Arial"/>
          <w:sz w:val="22"/>
          <w:szCs w:val="22"/>
          <w:color w:val="010000"/>
        </w:rPr>
      </w:pPr>
    </w:p>
    <w:p>
      <w:pPr>
        <w:ind w:right="20" w:firstLine="1305"/>
        <w:spacing w:after="0" w:line="276" w:lineRule="auto"/>
        <w:tabs>
          <w:tab w:leader="none" w:pos="1756" w:val="left"/>
        </w:tabs>
        <w:numPr>
          <w:ilvl w:val="2"/>
          <w:numId w:val="146"/>
        </w:numPr>
        <w:rPr>
          <w:rFonts w:ascii="Arial" w:cs="Arial" w:eastAsia="Arial" w:hAnsi="Arial"/>
          <w:sz w:val="22"/>
          <w:szCs w:val="22"/>
          <w:color w:val="010000"/>
        </w:rPr>
      </w:pPr>
      <w:r>
        <w:rPr>
          <w:rFonts w:ascii="Arial" w:cs="Arial" w:eastAsia="Arial" w:hAnsi="Arial"/>
          <w:sz w:val="22"/>
          <w:szCs w:val="22"/>
          <w:color w:val="auto"/>
        </w:rPr>
        <w:t>delivered as to such lesser extent which would result in no portion of such severance benefits being subject to excise tax under Section 4999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35" w:name="page136"/>
    <w:bookmarkEnd w:id="135"/>
    <w:p>
      <w:pPr>
        <w:jc w:val="both"/>
        <w:spacing w:after="0" w:line="285" w:lineRule="auto"/>
        <w:rPr>
          <w:sz w:val="20"/>
          <w:szCs w:val="20"/>
          <w:color w:val="auto"/>
        </w:rPr>
      </w:pPr>
      <w:r>
        <w:rPr>
          <w:rFonts w:ascii="Arial" w:cs="Arial" w:eastAsia="Arial" w:hAnsi="Arial"/>
          <w:sz w:val="19"/>
          <w:szCs w:val="19"/>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Section 280G of the Code);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In the event that acceleration of vesting of equity award compensation is to be reduced, such acceleration of vesting shall be cancelled in the reverse order of the date of grant of Executive’s equity awards.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reasonably incur in connection with any calculations contemplated by this Section 4.</w:t>
      </w:r>
    </w:p>
    <w:p>
      <w:pPr>
        <w:spacing w:after="0" w:line="165" w:lineRule="exact"/>
        <w:rPr>
          <w:sz w:val="20"/>
          <w:szCs w:val="20"/>
          <w:color w:val="auto"/>
        </w:rPr>
      </w:pPr>
    </w:p>
    <w:p>
      <w:pPr>
        <w:ind w:left="1000" w:hanging="344"/>
        <w:spacing w:after="0"/>
        <w:tabs>
          <w:tab w:leader="none" w:pos="1000" w:val="left"/>
        </w:tabs>
        <w:numPr>
          <w:ilvl w:val="0"/>
          <w:numId w:val="147"/>
        </w:numPr>
        <w:rPr>
          <w:rFonts w:ascii="Arial" w:cs="Arial" w:eastAsia="Arial" w:hAnsi="Arial"/>
          <w:sz w:val="22"/>
          <w:szCs w:val="22"/>
          <w:color w:val="010000"/>
        </w:rPr>
      </w:pPr>
      <w:r>
        <w:rPr>
          <w:rFonts w:ascii="Arial" w:cs="Arial" w:eastAsia="Arial" w:hAnsi="Arial"/>
          <w:sz w:val="22"/>
          <w:szCs w:val="22"/>
          <w:u w:val="single" w:color="auto"/>
          <w:color w:val="auto"/>
        </w:rPr>
        <w:t>Definition of Terms</w:t>
      </w:r>
      <w:r>
        <w:rPr>
          <w:rFonts w:ascii="Arial" w:cs="Arial" w:eastAsia="Arial" w:hAnsi="Arial"/>
          <w:sz w:val="22"/>
          <w:szCs w:val="22"/>
          <w:color w:val="auto"/>
        </w:rPr>
        <w:t>. The following terms referred to in this Agreement will have the following meanings:</w:t>
      </w:r>
    </w:p>
    <w:p>
      <w:pPr>
        <w:spacing w:after="0" w:line="233" w:lineRule="exact"/>
        <w:rPr>
          <w:rFonts w:ascii="Arial" w:cs="Arial" w:eastAsia="Arial" w:hAnsi="Arial"/>
          <w:sz w:val="22"/>
          <w:szCs w:val="22"/>
          <w:color w:val="010000"/>
        </w:rPr>
      </w:pPr>
    </w:p>
    <w:p>
      <w:pPr>
        <w:jc w:val="both"/>
        <w:ind w:firstLine="1305"/>
        <w:spacing w:after="0" w:line="288" w:lineRule="auto"/>
        <w:tabs>
          <w:tab w:leader="none" w:pos="1743" w:val="left"/>
        </w:tabs>
        <w:numPr>
          <w:ilvl w:val="1"/>
          <w:numId w:val="147"/>
        </w:numPr>
        <w:rPr>
          <w:rFonts w:ascii="Arial" w:cs="Arial" w:eastAsia="Arial" w:hAnsi="Arial"/>
          <w:sz w:val="19"/>
          <w:szCs w:val="19"/>
          <w:color w:val="010000"/>
        </w:rPr>
      </w:pPr>
      <w:r>
        <w:rPr>
          <w:rFonts w:ascii="Arial" w:cs="Arial" w:eastAsia="Arial" w:hAnsi="Arial"/>
          <w:sz w:val="19"/>
          <w:szCs w:val="19"/>
          <w:u w:val="single" w:color="auto"/>
          <w:color w:val="auto"/>
        </w:rPr>
        <w:t>Benefit Plans</w:t>
      </w:r>
      <w:r>
        <w:rPr>
          <w:rFonts w:ascii="Arial" w:cs="Arial" w:eastAsia="Arial" w:hAnsi="Arial"/>
          <w:sz w:val="19"/>
          <w:szCs w:val="19"/>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 and Executive’s eligible dependents with equivalent coverage under a third party plan that is reasonably available to Executive and Executive’s eligible dependents.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36" w:name="page137"/>
    <w:bookmarkEnd w:id="136"/>
    <w:p>
      <w:pPr>
        <w:jc w:val="both"/>
        <w:ind w:firstLine="1305"/>
        <w:spacing w:after="0" w:line="292" w:lineRule="auto"/>
        <w:tabs>
          <w:tab w:leader="none" w:pos="1864" w:val="left"/>
        </w:tabs>
        <w:numPr>
          <w:ilvl w:val="0"/>
          <w:numId w:val="148"/>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“Cause”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w:t>
      </w:r>
    </w:p>
    <w:p>
      <w:pPr>
        <w:spacing w:after="0" w:line="155" w:lineRule="exact"/>
        <w:rPr>
          <w:rFonts w:ascii="Arial" w:cs="Arial" w:eastAsia="Arial" w:hAnsi="Arial"/>
          <w:sz w:val="19"/>
          <w:szCs w:val="19"/>
          <w:color w:val="010000"/>
        </w:rPr>
      </w:pPr>
    </w:p>
    <w:p>
      <w:pPr>
        <w:ind w:left="1720" w:hanging="415"/>
        <w:spacing w:after="0"/>
        <w:tabs>
          <w:tab w:leader="none" w:pos="1720" w:val="left"/>
        </w:tabs>
        <w:numPr>
          <w:ilvl w:val="0"/>
          <w:numId w:val="148"/>
        </w:numPr>
        <w:rPr>
          <w:rFonts w:ascii="Arial" w:cs="Arial" w:eastAsia="Arial" w:hAnsi="Arial"/>
          <w:sz w:val="22"/>
          <w:szCs w:val="22"/>
          <w:color w:val="010000"/>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“Change of Control” of the Company is defined as:</w:t>
      </w:r>
    </w:p>
    <w:p>
      <w:pPr>
        <w:spacing w:after="0" w:line="233" w:lineRule="exact"/>
        <w:rPr>
          <w:rFonts w:ascii="Arial" w:cs="Arial" w:eastAsia="Arial" w:hAnsi="Arial"/>
          <w:sz w:val="22"/>
          <w:szCs w:val="22"/>
          <w:color w:val="010000"/>
        </w:rPr>
      </w:pPr>
    </w:p>
    <w:p>
      <w:pPr>
        <w:jc w:val="both"/>
        <w:ind w:firstLine="1953"/>
        <w:spacing w:after="0" w:line="262" w:lineRule="auto"/>
        <w:tabs>
          <w:tab w:leader="none" w:pos="2450" w:val="left"/>
        </w:tabs>
        <w:numPr>
          <w:ilvl w:val="1"/>
          <w:numId w:val="148"/>
        </w:numPr>
        <w:rPr>
          <w:rFonts w:ascii="Arial" w:cs="Arial" w:eastAsia="Arial" w:hAnsi="Arial"/>
          <w:sz w:val="21"/>
          <w:szCs w:val="21"/>
          <w:color w:val="010000"/>
        </w:rPr>
      </w:pPr>
      <w:r>
        <w:rPr>
          <w:rFonts w:ascii="Arial" w:cs="Arial" w:eastAsia="Arial" w:hAnsi="Arial"/>
          <w:sz w:val="21"/>
          <w:szCs w:val="21"/>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80" w:lineRule="exact"/>
        <w:rPr>
          <w:rFonts w:ascii="Arial" w:cs="Arial" w:eastAsia="Arial" w:hAnsi="Arial"/>
          <w:sz w:val="21"/>
          <w:szCs w:val="21"/>
          <w:color w:val="010000"/>
        </w:rPr>
      </w:pPr>
    </w:p>
    <w:p>
      <w:pPr>
        <w:jc w:val="both"/>
        <w:ind w:firstLine="1953"/>
        <w:spacing w:after="0" w:line="250" w:lineRule="auto"/>
        <w:tabs>
          <w:tab w:leader="none" w:pos="2443" w:val="left"/>
        </w:tabs>
        <w:numPr>
          <w:ilvl w:val="1"/>
          <w:numId w:val="148"/>
        </w:numPr>
        <w:rPr>
          <w:rFonts w:ascii="Arial" w:cs="Arial" w:eastAsia="Arial" w:hAnsi="Arial"/>
          <w:sz w:val="22"/>
          <w:szCs w:val="22"/>
          <w:color w:val="010000"/>
        </w:rPr>
      </w:pPr>
      <w:r>
        <w:rPr>
          <w:rFonts w:ascii="Arial" w:cs="Arial" w:eastAsia="Arial" w:hAnsi="Arial"/>
          <w:sz w:val="22"/>
          <w:szCs w:val="22"/>
          <w:color w:val="auto"/>
        </w:rPr>
        <w:t>a change in the composition of the Board occurring within a twelve (12)-month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8" w:lineRule="exact"/>
        <w:rPr>
          <w:rFonts w:ascii="Arial" w:cs="Arial" w:eastAsia="Arial" w:hAnsi="Arial"/>
          <w:sz w:val="22"/>
          <w:szCs w:val="22"/>
          <w:color w:val="010000"/>
        </w:rPr>
      </w:pPr>
    </w:p>
    <w:p>
      <w:pPr>
        <w:jc w:val="both"/>
        <w:ind w:firstLine="1953"/>
        <w:spacing w:after="0" w:line="297" w:lineRule="auto"/>
        <w:tabs>
          <w:tab w:leader="none" w:pos="2462" w:val="left"/>
        </w:tabs>
        <w:numPr>
          <w:ilvl w:val="1"/>
          <w:numId w:val="148"/>
        </w:numPr>
        <w:rPr>
          <w:rFonts w:ascii="Arial" w:cs="Arial" w:eastAsia="Arial" w:hAnsi="Arial"/>
          <w:sz w:val="19"/>
          <w:szCs w:val="19"/>
          <w:color w:val="010000"/>
        </w:rPr>
      </w:pPr>
      <w:r>
        <w:rPr>
          <w:rFonts w:ascii="Arial" w:cs="Arial" w:eastAsia="Arial" w:hAnsi="Arial"/>
          <w:sz w:val="19"/>
          <w:szCs w:val="19"/>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46" w:lineRule="exact"/>
        <w:rPr>
          <w:rFonts w:ascii="Arial" w:cs="Arial" w:eastAsia="Arial" w:hAnsi="Arial"/>
          <w:sz w:val="19"/>
          <w:szCs w:val="19"/>
          <w:color w:val="010000"/>
        </w:rPr>
      </w:pPr>
    </w:p>
    <w:p>
      <w:pPr>
        <w:jc w:val="both"/>
        <w:ind w:firstLine="1953"/>
        <w:spacing w:after="0" w:line="307" w:lineRule="auto"/>
        <w:tabs>
          <w:tab w:leader="none" w:pos="2491" w:val="left"/>
        </w:tabs>
        <w:numPr>
          <w:ilvl w:val="1"/>
          <w:numId w:val="148"/>
        </w:numPr>
        <w:rPr>
          <w:rFonts w:ascii="Arial" w:cs="Arial" w:eastAsia="Arial" w:hAnsi="Arial"/>
          <w:sz w:val="19"/>
          <w:szCs w:val="19"/>
          <w:color w:val="010000"/>
        </w:rPr>
      </w:pPr>
      <w:r>
        <w:rPr>
          <w:rFonts w:ascii="Arial" w:cs="Arial" w:eastAsia="Arial" w:hAnsi="Arial"/>
          <w:sz w:val="19"/>
          <w:szCs w:val="19"/>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37" w:name="page138"/>
    <w:bookmarkEnd w:id="137"/>
    <w:p>
      <w:pPr>
        <w:jc w:val="both"/>
        <w:spacing w:after="0" w:line="289" w:lineRule="auto"/>
        <w:rPr>
          <w:sz w:val="20"/>
          <w:szCs w:val="20"/>
          <w:color w:val="auto"/>
        </w:rPr>
      </w:pPr>
      <w:r>
        <w:rPr>
          <w:rFonts w:ascii="Arial" w:cs="Arial" w:eastAsia="Arial" w:hAnsi="Arial"/>
          <w:sz w:val="19"/>
          <w:szCs w:val="19"/>
          <w:color w:val="auto"/>
        </w:rPr>
        <w:t>acquisitions; provided, however, that for purposes of this Section 5(c)(iv), the following shall not constitute a change in the ownership of a substantial portion of the Company’s assets: (1) a transfer to an entity that is controlled by the Company’s stockholders immediately after the transfer; or (2) a transfer of assets by the Company to: (A) a stockholder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subclause (C). For purposes of clause (2) above, gross fair market value means the value of the assets of the Company, or the value of the assets being disposed of, determined without regard to any liabilities associated with such assets.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foregoing, a Company transaction that does not constitute a change in control event under Treasury Regulation 1.409A-3(i)(5)(v) or (vii) shall be not be considered a Change of Control.</w:t>
      </w:r>
    </w:p>
    <w:p>
      <w:pPr>
        <w:spacing w:after="0" w:line="175" w:lineRule="exact"/>
        <w:rPr>
          <w:sz w:val="20"/>
          <w:szCs w:val="20"/>
          <w:color w:val="auto"/>
        </w:rPr>
      </w:pPr>
    </w:p>
    <w:p>
      <w:pPr>
        <w:jc w:val="both"/>
        <w:ind w:firstLine="1305"/>
        <w:spacing w:after="0" w:line="248" w:lineRule="auto"/>
        <w:tabs>
          <w:tab w:leader="none" w:pos="1769" w:val="left"/>
        </w:tabs>
        <w:numPr>
          <w:ilvl w:val="0"/>
          <w:numId w:val="149"/>
        </w:numPr>
        <w:rPr>
          <w:rFonts w:ascii="Arial" w:cs="Arial" w:eastAsia="Arial" w:hAnsi="Arial"/>
          <w:sz w:val="22"/>
          <w:szCs w:val="22"/>
          <w:color w:val="010000"/>
        </w:rPr>
      </w:pPr>
      <w:r>
        <w:rPr>
          <w:rFonts w:ascii="Arial" w:cs="Arial" w:eastAsia="Arial" w:hAnsi="Arial"/>
          <w:sz w:val="22"/>
          <w:szCs w:val="22"/>
          <w:u w:val="single" w:color="auto"/>
          <w:color w:val="auto"/>
        </w:rPr>
        <w:t>Disability</w:t>
      </w:r>
      <w:r>
        <w:rPr>
          <w:rFonts w:ascii="Arial" w:cs="Arial" w:eastAsia="Arial" w:hAnsi="Arial"/>
          <w:sz w:val="22"/>
          <w:szCs w:val="22"/>
          <w:color w:val="auto"/>
        </w:rPr>
        <w:t>. “Disability”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91" w:lineRule="exact"/>
        <w:rPr>
          <w:rFonts w:ascii="Arial" w:cs="Arial" w:eastAsia="Arial" w:hAnsi="Arial"/>
          <w:sz w:val="22"/>
          <w:szCs w:val="22"/>
          <w:color w:val="010000"/>
        </w:rPr>
      </w:pPr>
    </w:p>
    <w:p>
      <w:pPr>
        <w:jc w:val="both"/>
        <w:ind w:firstLine="1305"/>
        <w:spacing w:after="0" w:line="288" w:lineRule="auto"/>
        <w:tabs>
          <w:tab w:leader="none" w:pos="1932" w:val="left"/>
        </w:tabs>
        <w:numPr>
          <w:ilvl w:val="0"/>
          <w:numId w:val="149"/>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“Good Reason” means the occurrence of one or more of the following events without Executive’s express written 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unless Executive is provided with comparable duties,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38" w:name="page139"/>
    <w:bookmarkEnd w:id="138"/>
    <w:p>
      <w:pPr>
        <w:jc w:val="both"/>
        <w:spacing w:after="0" w:line="297" w:lineRule="auto"/>
        <w:rPr>
          <w:sz w:val="20"/>
          <w:szCs w:val="20"/>
          <w:color w:val="auto"/>
        </w:rPr>
      </w:pPr>
      <w:r>
        <w:rPr>
          <w:rFonts w:ascii="Arial" w:cs="Arial" w:eastAsia="Arial" w:hAnsi="Arial"/>
          <w:sz w:val="19"/>
          <w:szCs w:val="19"/>
          <w:color w:val="auto"/>
        </w:rPr>
        <w:t>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and Executive’s resignation of employment must occur no later than thirty (30) days following the end of such thirty (30) day cure period.</w:t>
      </w:r>
    </w:p>
    <w:p>
      <w:pPr>
        <w:spacing w:after="0" w:line="147" w:lineRule="exact"/>
        <w:rPr>
          <w:sz w:val="20"/>
          <w:szCs w:val="20"/>
          <w:color w:val="auto"/>
        </w:rPr>
      </w:pPr>
    </w:p>
    <w:p>
      <w:pPr>
        <w:ind w:left="1000" w:hanging="344"/>
        <w:spacing w:after="0"/>
        <w:tabs>
          <w:tab w:leader="none" w:pos="1000" w:val="left"/>
        </w:tabs>
        <w:numPr>
          <w:ilvl w:val="0"/>
          <w:numId w:val="150"/>
        </w:numPr>
        <w:rPr>
          <w:rFonts w:ascii="Arial" w:cs="Arial" w:eastAsia="Arial" w:hAnsi="Arial"/>
          <w:sz w:val="22"/>
          <w:szCs w:val="22"/>
          <w:color w:val="010000"/>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62" w:lineRule="auto"/>
        <w:tabs>
          <w:tab w:leader="none" w:pos="1892" w:val="left"/>
        </w:tabs>
        <w:numPr>
          <w:ilvl w:val="1"/>
          <w:numId w:val="150"/>
        </w:numPr>
        <w:rPr>
          <w:rFonts w:ascii="Arial" w:cs="Arial" w:eastAsia="Arial" w:hAnsi="Arial"/>
          <w:sz w:val="21"/>
          <w:szCs w:val="21"/>
          <w:color w:val="010000"/>
        </w:rPr>
      </w:pPr>
      <w:r>
        <w:rPr>
          <w:rFonts w:ascii="Arial" w:cs="Arial" w:eastAsia="Arial" w:hAnsi="Arial"/>
          <w:sz w:val="21"/>
          <w:szCs w:val="21"/>
          <w:u w:val="single" w:color="auto"/>
          <w:color w:val="auto"/>
        </w:rPr>
        <w:t>The Company’s Successors</w:t>
      </w:r>
      <w:r>
        <w:rPr>
          <w:rFonts w:ascii="Arial" w:cs="Arial" w:eastAsia="Arial" w:hAnsi="Arial"/>
          <w:sz w:val="21"/>
          <w:szCs w:val="21"/>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pacing w:after="0" w:line="180" w:lineRule="exact"/>
        <w:rPr>
          <w:rFonts w:ascii="Arial" w:cs="Arial" w:eastAsia="Arial" w:hAnsi="Arial"/>
          <w:sz w:val="21"/>
          <w:szCs w:val="21"/>
          <w:color w:val="010000"/>
        </w:rPr>
      </w:pPr>
    </w:p>
    <w:p>
      <w:pPr>
        <w:jc w:val="both"/>
        <w:ind w:firstLine="1305"/>
        <w:spacing w:after="0" w:line="260" w:lineRule="auto"/>
        <w:tabs>
          <w:tab w:leader="none" w:pos="1796" w:val="left"/>
        </w:tabs>
        <w:numPr>
          <w:ilvl w:val="1"/>
          <w:numId w:val="150"/>
        </w:numPr>
        <w:rPr>
          <w:rFonts w:ascii="Arial" w:cs="Arial" w:eastAsia="Arial" w:hAnsi="Arial"/>
          <w:sz w:val="22"/>
          <w:szCs w:val="22"/>
          <w:color w:val="010000"/>
        </w:rPr>
      </w:pPr>
      <w:r>
        <w:rPr>
          <w:rFonts w:ascii="Arial" w:cs="Arial" w:eastAsia="Arial" w:hAnsi="Arial"/>
          <w:sz w:val="22"/>
          <w:szCs w:val="22"/>
          <w:u w:val="single" w:color="auto"/>
          <w:color w:val="auto"/>
        </w:rPr>
        <w:t>Executive’s Successors</w:t>
      </w:r>
      <w:r>
        <w:rPr>
          <w:rFonts w:ascii="Arial" w:cs="Arial" w:eastAsia="Arial" w:hAnsi="Arial"/>
          <w:sz w:val="22"/>
          <w:szCs w:val="22"/>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150"/>
        </w:numPr>
        <w:rPr>
          <w:rFonts w:ascii="Arial" w:cs="Arial" w:eastAsia="Arial" w:hAnsi="Arial"/>
          <w:sz w:val="22"/>
          <w:szCs w:val="22"/>
          <w:color w:val="010000"/>
        </w:rPr>
      </w:pPr>
      <w:r>
        <w:rPr>
          <w:rFonts w:ascii="Arial" w:cs="Arial" w:eastAsia="Arial" w:hAnsi="Arial"/>
          <w:sz w:val="22"/>
          <w:szCs w:val="22"/>
          <w:u w:val="single" w:color="auto"/>
          <w:color w:val="auto"/>
        </w:rPr>
        <w:t>Notice</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300" w:lineRule="auto"/>
        <w:tabs>
          <w:tab w:leader="none" w:pos="1743" w:val="left"/>
        </w:tabs>
        <w:numPr>
          <w:ilvl w:val="1"/>
          <w:numId w:val="150"/>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47" w:lineRule="exact"/>
        <w:rPr>
          <w:rFonts w:ascii="Arial" w:cs="Arial" w:eastAsia="Arial" w:hAnsi="Arial"/>
          <w:sz w:val="19"/>
          <w:szCs w:val="19"/>
          <w:color w:val="010000"/>
        </w:rPr>
      </w:pPr>
    </w:p>
    <w:p>
      <w:pPr>
        <w:jc w:val="both"/>
        <w:ind w:firstLine="1305"/>
        <w:spacing w:after="0" w:line="248" w:lineRule="auto"/>
        <w:tabs>
          <w:tab w:leader="none" w:pos="1769" w:val="left"/>
        </w:tabs>
        <w:numPr>
          <w:ilvl w:val="1"/>
          <w:numId w:val="150"/>
        </w:numPr>
        <w:rPr>
          <w:rFonts w:ascii="Arial" w:cs="Arial" w:eastAsia="Arial" w:hAnsi="Arial"/>
          <w:sz w:val="22"/>
          <w:szCs w:val="22"/>
          <w:color w:val="010000"/>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139" w:name="page140"/>
    <w:bookmarkEnd w:id="139"/>
    <w:p>
      <w:pPr>
        <w:jc w:val="both"/>
        <w:ind w:firstLine="656"/>
        <w:spacing w:after="0" w:line="260" w:lineRule="auto"/>
        <w:tabs>
          <w:tab w:leader="none" w:pos="1017" w:val="left"/>
        </w:tabs>
        <w:numPr>
          <w:ilvl w:val="0"/>
          <w:numId w:val="151"/>
        </w:numPr>
        <w:rPr>
          <w:rFonts w:ascii="Arial" w:cs="Arial" w:eastAsia="Arial" w:hAnsi="Arial"/>
          <w:sz w:val="22"/>
          <w:szCs w:val="22"/>
          <w:color w:val="010000"/>
        </w:rPr>
      </w:pPr>
      <w:r>
        <w:rPr>
          <w:rFonts w:ascii="Arial" w:cs="Arial" w:eastAsia="Arial" w:hAnsi="Arial"/>
          <w:sz w:val="22"/>
          <w:szCs w:val="22"/>
          <w:u w:val="single" w:color="auto"/>
          <w:color w:val="auto"/>
        </w:rPr>
        <w:t>Term of Agreement</w:t>
      </w:r>
      <w:r>
        <w:rPr>
          <w:rFonts w:ascii="Arial" w:cs="Arial" w:eastAsia="Arial" w:hAnsi="Arial"/>
          <w:sz w:val="22"/>
          <w:szCs w:val="22"/>
          <w:color w:val="auto"/>
        </w:rPr>
        <w:t>. This Agreement will have a term of five (5) years commencing on the Effective Date, which shall not be subject to renewal, unless a Change of Control occurs during such five (5)-year period, in which case this Agreement will continue until all payments and benefits, if any, have been made to Executive.</w:t>
      </w:r>
    </w:p>
    <w:p>
      <w:pPr>
        <w:spacing w:after="0" w:line="177" w:lineRule="exact"/>
        <w:rPr>
          <w:rFonts w:ascii="Arial" w:cs="Arial" w:eastAsia="Arial" w:hAnsi="Arial"/>
          <w:sz w:val="22"/>
          <w:szCs w:val="22"/>
          <w:color w:val="010000"/>
        </w:rPr>
      </w:pPr>
    </w:p>
    <w:p>
      <w:pPr>
        <w:ind w:left="1000" w:hanging="344"/>
        <w:spacing w:after="0"/>
        <w:tabs>
          <w:tab w:leader="none" w:pos="1000" w:val="left"/>
        </w:tabs>
        <w:numPr>
          <w:ilvl w:val="0"/>
          <w:numId w:val="151"/>
        </w:numPr>
        <w:rPr>
          <w:rFonts w:ascii="Arial" w:cs="Arial" w:eastAsia="Arial" w:hAnsi="Arial"/>
          <w:sz w:val="22"/>
          <w:szCs w:val="22"/>
          <w:color w:val="010000"/>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firstLine="1305"/>
        <w:spacing w:after="0" w:line="292" w:lineRule="auto"/>
        <w:tabs>
          <w:tab w:leader="none" w:pos="1946" w:val="left"/>
        </w:tabs>
        <w:numPr>
          <w:ilvl w:val="1"/>
          <w:numId w:val="151"/>
        </w:numPr>
        <w:rPr>
          <w:rFonts w:ascii="Arial" w:cs="Arial" w:eastAsia="Arial" w:hAnsi="Arial"/>
          <w:sz w:val="19"/>
          <w:szCs w:val="19"/>
          <w:color w:val="010000"/>
        </w:rPr>
      </w:pPr>
      <w:r>
        <w:rPr>
          <w:rFonts w:ascii="Arial" w:cs="Arial" w:eastAsia="Arial" w:hAnsi="Arial"/>
          <w:sz w:val="19"/>
          <w:szCs w:val="19"/>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 the American Arbitration Association (the “Rules”), except that each of Company and Executive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55" w:lineRule="exact"/>
        <w:rPr>
          <w:rFonts w:ascii="Arial" w:cs="Arial" w:eastAsia="Arial" w:hAnsi="Arial"/>
          <w:sz w:val="19"/>
          <w:szCs w:val="19"/>
          <w:color w:val="010000"/>
        </w:rPr>
      </w:pPr>
    </w:p>
    <w:p>
      <w:pPr>
        <w:jc w:val="both"/>
        <w:ind w:firstLine="1305"/>
        <w:spacing w:after="0" w:line="307" w:lineRule="auto"/>
        <w:tabs>
          <w:tab w:leader="none" w:pos="1756" w:val="left"/>
        </w:tabs>
        <w:numPr>
          <w:ilvl w:val="1"/>
          <w:numId w:val="151"/>
        </w:numPr>
        <w:rPr>
          <w:rFonts w:ascii="Arial" w:cs="Arial" w:eastAsia="Arial" w:hAnsi="Arial"/>
          <w:sz w:val="19"/>
          <w:szCs w:val="19"/>
          <w:color w:val="010000"/>
        </w:rPr>
      </w:pPr>
      <w:r>
        <w:rPr>
          <w:rFonts w:ascii="Arial" w:cs="Arial" w:eastAsia="Arial" w:hAnsi="Arial"/>
          <w:sz w:val="19"/>
          <w:szCs w:val="19"/>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Executive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38" w:lineRule="exact"/>
        <w:rPr>
          <w:rFonts w:ascii="Arial" w:cs="Arial" w:eastAsia="Arial" w:hAnsi="Arial"/>
          <w:sz w:val="19"/>
          <w:szCs w:val="19"/>
          <w:color w:val="010000"/>
        </w:rPr>
      </w:pPr>
    </w:p>
    <w:p>
      <w:pPr>
        <w:jc w:val="both"/>
        <w:ind w:firstLine="1305"/>
        <w:spacing w:after="0" w:line="261" w:lineRule="auto"/>
        <w:tabs>
          <w:tab w:leader="none" w:pos="1730" w:val="left"/>
        </w:tabs>
        <w:numPr>
          <w:ilvl w:val="1"/>
          <w:numId w:val="151"/>
        </w:numPr>
        <w:rPr>
          <w:rFonts w:ascii="Arial" w:cs="Arial" w:eastAsia="Arial" w:hAnsi="Arial"/>
          <w:sz w:val="21"/>
          <w:szCs w:val="21"/>
          <w:color w:val="010000"/>
        </w:rPr>
      </w:pPr>
      <w:r>
        <w:rPr>
          <w:rFonts w:ascii="Arial" w:cs="Arial" w:eastAsia="Arial" w:hAnsi="Arial"/>
          <w:sz w:val="21"/>
          <w:szCs w:val="21"/>
          <w:color w:val="auto"/>
        </w:rPr>
        <w:t xml:space="preserve">To the fullest extent permitted by law, Executive and the Company agree that no class or collective actions can be asserted in arbitration or otherwise. All claims, whether in arbitration or otherwise, must be brought solely in Executive’s or the Company’s individual capacity, and not as a plaintiff or class member in any purported class or collective proceeding. Nothing in this Section 9, however, restricts Executive’s right, if any, to file in court a representative action under applicable law, including California Labor Code Sections 2698, </w:t>
      </w:r>
      <w:r>
        <w:rPr>
          <w:rFonts w:ascii="Arial" w:cs="Arial" w:eastAsia="Arial" w:hAnsi="Arial"/>
          <w:sz w:val="21"/>
          <w:szCs w:val="21"/>
          <w:i w:val="1"/>
          <w:iCs w:val="1"/>
          <w:color w:val="auto"/>
        </w:rPr>
        <w:t>et seq.</w:t>
      </w:r>
      <w:r>
        <w:rPr>
          <w:rFonts w:ascii="Arial" w:cs="Arial" w:eastAsia="Arial" w:hAnsi="Arial"/>
          <w:sz w:val="21"/>
          <w:szCs w:val="21"/>
          <w:color w:val="auto"/>
        </w:rPr>
        <w:t xml:space="preserve"> Further, this Section 9 does not restrict Executive’s right to file administrative claims Executive may bring before any government agency where, as a matter of law, the parties may not restrict the Executive’s ability to file such claims (including, but not limited to, the National Labor Relations Board, the Equal Employment Opportunity Commission and the Department of Labor).</w:t>
      </w:r>
    </w:p>
    <w:p>
      <w:pPr>
        <w:spacing w:after="0" w:line="181" w:lineRule="exact"/>
        <w:rPr>
          <w:rFonts w:ascii="Arial" w:cs="Arial" w:eastAsia="Arial" w:hAnsi="Arial"/>
          <w:sz w:val="21"/>
          <w:szCs w:val="21"/>
          <w:color w:val="010000"/>
        </w:rPr>
      </w:pPr>
    </w:p>
    <w:p>
      <w:pPr>
        <w:ind w:firstLine="1305"/>
        <w:spacing w:after="0" w:line="276" w:lineRule="auto"/>
        <w:tabs>
          <w:tab w:leader="none" w:pos="1864" w:val="left"/>
        </w:tabs>
        <w:numPr>
          <w:ilvl w:val="1"/>
          <w:numId w:val="151"/>
        </w:numPr>
        <w:rPr>
          <w:rFonts w:ascii="Arial" w:cs="Arial" w:eastAsia="Arial" w:hAnsi="Arial"/>
          <w:sz w:val="22"/>
          <w:szCs w:val="22"/>
          <w:color w:val="010000"/>
        </w:rPr>
      </w:pPr>
      <w:r>
        <w:rPr>
          <w:rFonts w:ascii="Arial" w:cs="Arial" w:eastAsia="Arial" w:hAnsi="Arial"/>
          <w:sz w:val="22"/>
          <w:szCs w:val="22"/>
          <w:color w:val="auto"/>
        </w:rPr>
        <w:t>Executive understands that nothing in this Section modifies Executive’s at-will employment status. Either Executive or the Company can terminate the employment relationship at any time, with or without Cause.</w:t>
      </w:r>
    </w:p>
    <w:p>
      <w:pPr>
        <w:spacing w:after="0" w:line="160" w:lineRule="exact"/>
        <w:rPr>
          <w:rFonts w:ascii="Arial" w:cs="Arial" w:eastAsia="Arial" w:hAnsi="Arial"/>
          <w:sz w:val="22"/>
          <w:szCs w:val="22"/>
          <w:color w:val="010000"/>
        </w:rPr>
      </w:pPr>
    </w:p>
    <w:p>
      <w:pPr>
        <w:jc w:val="both"/>
        <w:ind w:firstLine="1305"/>
        <w:spacing w:after="0" w:line="251" w:lineRule="auto"/>
        <w:tabs>
          <w:tab w:leader="none" w:pos="1743" w:val="left"/>
        </w:tabs>
        <w:numPr>
          <w:ilvl w:val="1"/>
          <w:numId w:val="151"/>
        </w:numPr>
        <w:rPr>
          <w:rFonts w:ascii="Arial" w:cs="Arial" w:eastAsia="Arial" w:hAnsi="Arial"/>
          <w:sz w:val="22"/>
          <w:szCs w:val="22"/>
          <w:color w:val="010000"/>
        </w:rPr>
      </w:pPr>
      <w:r>
        <w:rPr>
          <w:rFonts w:ascii="Arial" w:cs="Arial" w:eastAsia="Arial" w:hAnsi="Arial"/>
          <w:sz w:val="22"/>
          <w:szCs w:val="22"/>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140" w:name="page141"/>
    <w:bookmarkEnd w:id="140"/>
    <w:p>
      <w:pPr>
        <w:ind w:right="20"/>
        <w:spacing w:after="0" w:line="263" w:lineRule="auto"/>
        <w:rPr>
          <w:sz w:val="20"/>
          <w:szCs w:val="20"/>
          <w:color w:val="auto"/>
        </w:rPr>
      </w:pPr>
      <w:r>
        <w:rPr>
          <w:rFonts w:ascii="Arial" w:cs="Arial" w:eastAsia="Arial" w:hAnsi="Arial"/>
          <w:sz w:val="22"/>
          <w:szCs w:val="22"/>
          <w:color w:val="auto"/>
        </w:rPr>
        <w:t>TO THE RESOLUTION OF ALL DISPUTES RELATING TO ALL ASPECTS OF THE EMPLOYER/EMPLOYEE RELATIONSHIP, INCLUDING BUT NOT LIMITED TO, THE FOLLOWING CLAIMS:</w:t>
      </w:r>
    </w:p>
    <w:p>
      <w:pPr>
        <w:spacing w:after="0" w:line="175" w:lineRule="exact"/>
        <w:rPr>
          <w:sz w:val="20"/>
          <w:szCs w:val="20"/>
          <w:color w:val="auto"/>
        </w:rPr>
      </w:pPr>
    </w:p>
    <w:p>
      <w:pPr>
        <w:jc w:val="both"/>
        <w:ind w:firstLine="1953"/>
        <w:spacing w:after="0" w:line="251" w:lineRule="auto"/>
        <w:tabs>
          <w:tab w:leader="none" w:pos="2464" w:val="left"/>
        </w:tabs>
        <w:numPr>
          <w:ilvl w:val="2"/>
          <w:numId w:val="152"/>
        </w:numPr>
        <w:rPr>
          <w:rFonts w:ascii="Arial" w:cs="Arial" w:eastAsia="Arial" w:hAnsi="Arial"/>
          <w:sz w:val="22"/>
          <w:szCs w:val="22"/>
          <w:color w:val="010000"/>
        </w:rPr>
      </w:pPr>
      <w:r>
        <w:rPr>
          <w:rFonts w:ascii="Arial" w:cs="Arial" w:eastAsia="Arial" w:hAnsi="Arial"/>
          <w:sz w:val="22"/>
          <w:szCs w:val="22"/>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pacing w:after="0" w:line="189" w:lineRule="exact"/>
        <w:rPr>
          <w:rFonts w:ascii="Arial" w:cs="Arial" w:eastAsia="Arial" w:hAnsi="Arial"/>
          <w:sz w:val="22"/>
          <w:szCs w:val="22"/>
          <w:color w:val="010000"/>
        </w:rPr>
      </w:pPr>
    </w:p>
    <w:p>
      <w:pPr>
        <w:jc w:val="both"/>
        <w:ind w:firstLine="1953"/>
        <w:spacing w:after="0" w:line="251" w:lineRule="auto"/>
        <w:tabs>
          <w:tab w:leader="none" w:pos="2605" w:val="left"/>
        </w:tabs>
        <w:numPr>
          <w:ilvl w:val="2"/>
          <w:numId w:val="152"/>
        </w:numPr>
        <w:rPr>
          <w:rFonts w:ascii="Arial" w:cs="Arial" w:eastAsia="Arial" w:hAnsi="Arial"/>
          <w:sz w:val="22"/>
          <w:szCs w:val="22"/>
          <w:color w:val="010000"/>
        </w:rPr>
      </w:pPr>
      <w:r>
        <w:rPr>
          <w:rFonts w:ascii="Arial" w:cs="Arial" w:eastAsia="Arial" w:hAnsi="Arial"/>
          <w:sz w:val="22"/>
          <w:szCs w:val="22"/>
          <w:color w:val="auto"/>
        </w:rPr>
        <w:t xml:space="preserve">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189" w:lineRule="exact"/>
        <w:rPr>
          <w:rFonts w:ascii="Arial" w:cs="Arial" w:eastAsia="Arial" w:hAnsi="Arial"/>
          <w:sz w:val="22"/>
          <w:szCs w:val="22"/>
          <w:color w:val="010000"/>
        </w:rPr>
      </w:pPr>
    </w:p>
    <w:p>
      <w:pPr>
        <w:ind w:firstLine="1953"/>
        <w:spacing w:after="0" w:line="276" w:lineRule="auto"/>
        <w:tabs>
          <w:tab w:leader="none" w:pos="2665" w:val="left"/>
        </w:tabs>
        <w:numPr>
          <w:ilvl w:val="2"/>
          <w:numId w:val="152"/>
        </w:numPr>
        <w:rPr>
          <w:rFonts w:ascii="Arial" w:cs="Arial" w:eastAsia="Arial" w:hAnsi="Arial"/>
          <w:sz w:val="22"/>
          <w:szCs w:val="22"/>
          <w:color w:val="010000"/>
        </w:rPr>
      </w:pPr>
      <w:r>
        <w:rPr>
          <w:rFonts w:ascii="Arial" w:cs="Arial" w:eastAsia="Arial" w:hAnsi="Arial"/>
          <w:sz w:val="22"/>
          <w:szCs w:val="22"/>
          <w:color w:val="auto"/>
        </w:rPr>
        <w:t>ANY AND ALL CLAIMS ARISING OUT OF ANY OTHER LAWS AND REGULATIONS RELATING TO EMPLOYMENT OR EMPLOYMENT DISCRIMINATION (INCLUDING HARASSMENT).</w:t>
      </w:r>
    </w:p>
    <w:p>
      <w:pPr>
        <w:spacing w:after="0" w:line="160" w:lineRule="exact"/>
        <w:rPr>
          <w:rFonts w:ascii="Arial" w:cs="Arial" w:eastAsia="Arial" w:hAnsi="Arial"/>
          <w:sz w:val="22"/>
          <w:szCs w:val="22"/>
          <w:color w:val="010000"/>
        </w:rPr>
      </w:pPr>
    </w:p>
    <w:p>
      <w:pPr>
        <w:ind w:firstLine="1953"/>
        <w:spacing w:after="0" w:line="276" w:lineRule="auto"/>
        <w:tabs>
          <w:tab w:leader="none" w:pos="2437" w:val="left"/>
        </w:tabs>
        <w:numPr>
          <w:ilvl w:val="2"/>
          <w:numId w:val="152"/>
        </w:numPr>
        <w:rPr>
          <w:rFonts w:ascii="Arial" w:cs="Arial" w:eastAsia="Arial" w:hAnsi="Arial"/>
          <w:sz w:val="22"/>
          <w:szCs w:val="22"/>
          <w:color w:val="010000"/>
        </w:rPr>
      </w:pPr>
      <w:r>
        <w:rPr>
          <w:rFonts w:ascii="Arial" w:cs="Arial" w:eastAsia="Arial" w:hAnsi="Arial"/>
          <w:sz w:val="22"/>
          <w:szCs w:val="22"/>
          <w:color w:val="auto"/>
        </w:rPr>
        <w:t>If, for any reason, any term of this Section 9 is held to be invalid or unenforceable, all other valid terms and conditions herein shall be severable in nature, and remain fully enforceable.</w:t>
      </w:r>
    </w:p>
    <w:p>
      <w:pPr>
        <w:spacing w:after="0" w:line="160" w:lineRule="exact"/>
        <w:rPr>
          <w:rFonts w:ascii="Arial" w:cs="Arial" w:eastAsia="Arial" w:hAnsi="Arial"/>
          <w:sz w:val="22"/>
          <w:szCs w:val="22"/>
          <w:color w:val="010000"/>
        </w:rPr>
      </w:pPr>
    </w:p>
    <w:p>
      <w:pPr>
        <w:ind w:left="1100" w:hanging="444"/>
        <w:spacing w:after="0"/>
        <w:tabs>
          <w:tab w:leader="none" w:pos="1100" w:val="left"/>
        </w:tabs>
        <w:numPr>
          <w:ilvl w:val="0"/>
          <w:numId w:val="153"/>
        </w:numPr>
        <w:rPr>
          <w:rFonts w:ascii="Arial" w:cs="Arial" w:eastAsia="Arial" w:hAnsi="Arial"/>
          <w:sz w:val="22"/>
          <w:szCs w:val="22"/>
          <w:color w:val="010000"/>
        </w:rPr>
      </w:pPr>
      <w:r>
        <w:rPr>
          <w:rFonts w:ascii="Arial" w:cs="Arial" w:eastAsia="Arial" w:hAnsi="Arial"/>
          <w:sz w:val="22"/>
          <w:szCs w:val="22"/>
          <w:u w:val="single" w:color="auto"/>
          <w:color w:val="auto"/>
        </w:rPr>
        <w:t>Miscellaneous Provisions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right="20" w:firstLine="1305"/>
        <w:spacing w:after="0" w:line="358" w:lineRule="auto"/>
        <w:tabs>
          <w:tab w:leader="none" w:pos="1770" w:val="left"/>
        </w:tabs>
        <w:numPr>
          <w:ilvl w:val="1"/>
          <w:numId w:val="153"/>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90" w:lineRule="exact"/>
        <w:rPr>
          <w:rFonts w:ascii="Arial" w:cs="Arial" w:eastAsia="Arial" w:hAnsi="Arial"/>
          <w:sz w:val="19"/>
          <w:szCs w:val="19"/>
          <w:color w:val="010000"/>
        </w:rPr>
      </w:pPr>
    </w:p>
    <w:p>
      <w:pPr>
        <w:jc w:val="both"/>
        <w:ind w:firstLine="1305"/>
        <w:spacing w:after="0" w:line="307" w:lineRule="auto"/>
        <w:tabs>
          <w:tab w:leader="none" w:pos="1728" w:val="left"/>
        </w:tabs>
        <w:numPr>
          <w:ilvl w:val="1"/>
          <w:numId w:val="153"/>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38" w:lineRule="exact"/>
        <w:rPr>
          <w:rFonts w:ascii="Arial" w:cs="Arial" w:eastAsia="Arial" w:hAnsi="Arial"/>
          <w:sz w:val="19"/>
          <w:szCs w:val="19"/>
          <w:color w:val="010000"/>
        </w:rPr>
      </w:pPr>
    </w:p>
    <w:p>
      <w:pPr>
        <w:ind w:firstLine="1305"/>
        <w:spacing w:after="0" w:line="276" w:lineRule="auto"/>
        <w:tabs>
          <w:tab w:leader="none" w:pos="1757" w:val="left"/>
        </w:tabs>
        <w:numPr>
          <w:ilvl w:val="1"/>
          <w:numId w:val="153"/>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60" w:lineRule="exact"/>
        <w:rPr>
          <w:rFonts w:ascii="Arial" w:cs="Arial" w:eastAsia="Arial" w:hAnsi="Arial"/>
          <w:sz w:val="22"/>
          <w:szCs w:val="22"/>
          <w:color w:val="010000"/>
        </w:rPr>
      </w:pPr>
    </w:p>
    <w:p>
      <w:pPr>
        <w:jc w:val="both"/>
        <w:ind w:firstLine="1305"/>
        <w:spacing w:after="0" w:line="260" w:lineRule="auto"/>
        <w:tabs>
          <w:tab w:leader="none" w:pos="1810" w:val="left"/>
        </w:tabs>
        <w:numPr>
          <w:ilvl w:val="1"/>
          <w:numId w:val="153"/>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of the parties hereto with respect to the subject matter described herein, and supersedes the Prior Agreement in its entirety. Executive acknowledges and agrees that this Agreement encompasses all the rights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141" w:name="page142"/>
    <w:bookmarkEnd w:id="141"/>
    <w:p>
      <w:pPr>
        <w:jc w:val="both"/>
        <w:spacing w:after="0" w:line="250" w:lineRule="auto"/>
        <w:rPr>
          <w:sz w:val="20"/>
          <w:szCs w:val="20"/>
          <w:color w:val="auto"/>
        </w:rPr>
      </w:pPr>
      <w:r>
        <w:rPr>
          <w:rFonts w:ascii="Arial" w:cs="Arial" w:eastAsia="Arial" w:hAnsi="Arial"/>
          <w:sz w:val="22"/>
          <w:szCs w:val="22"/>
          <w:color w:val="auto"/>
        </w:rPr>
        <w:t>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88" w:lineRule="exact"/>
        <w:rPr>
          <w:sz w:val="20"/>
          <w:szCs w:val="20"/>
          <w:color w:val="auto"/>
        </w:rPr>
      </w:pPr>
    </w:p>
    <w:p>
      <w:pPr>
        <w:ind w:right="20" w:firstLine="1305"/>
        <w:spacing w:after="0" w:line="276" w:lineRule="auto"/>
        <w:tabs>
          <w:tab w:leader="none" w:pos="1757" w:val="left"/>
        </w:tabs>
        <w:numPr>
          <w:ilvl w:val="0"/>
          <w:numId w:val="154"/>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Agreement will be governed by the laws of the State of California (with the exception of its conflict of laws provisions).</w:t>
      </w:r>
    </w:p>
    <w:p>
      <w:pPr>
        <w:spacing w:after="0" w:line="160" w:lineRule="exact"/>
        <w:rPr>
          <w:rFonts w:ascii="Arial" w:cs="Arial" w:eastAsia="Arial" w:hAnsi="Arial"/>
          <w:sz w:val="22"/>
          <w:szCs w:val="22"/>
          <w:color w:val="010000"/>
        </w:rPr>
      </w:pPr>
    </w:p>
    <w:p>
      <w:pPr>
        <w:ind w:firstLine="1305"/>
        <w:spacing w:after="0" w:line="276" w:lineRule="auto"/>
        <w:tabs>
          <w:tab w:leader="none" w:pos="1706" w:val="left"/>
        </w:tabs>
        <w:numPr>
          <w:ilvl w:val="0"/>
          <w:numId w:val="154"/>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will not affect the validity or enforceability of any other provision hereof, which will remain in full force and effect.</w:t>
      </w:r>
    </w:p>
    <w:p>
      <w:pPr>
        <w:spacing w:after="0" w:line="160" w:lineRule="exact"/>
        <w:rPr>
          <w:rFonts w:ascii="Arial" w:cs="Arial" w:eastAsia="Arial" w:hAnsi="Arial"/>
          <w:sz w:val="22"/>
          <w:szCs w:val="22"/>
          <w:color w:val="010000"/>
        </w:rPr>
      </w:pPr>
    </w:p>
    <w:p>
      <w:pPr>
        <w:ind w:firstLine="1305"/>
        <w:spacing w:after="0" w:line="276" w:lineRule="auto"/>
        <w:tabs>
          <w:tab w:leader="none" w:pos="1850" w:val="left"/>
        </w:tabs>
        <w:numPr>
          <w:ilvl w:val="0"/>
          <w:numId w:val="154"/>
        </w:numPr>
        <w:rPr>
          <w:rFonts w:ascii="Arial" w:cs="Arial" w:eastAsia="Arial" w:hAnsi="Arial"/>
          <w:sz w:val="22"/>
          <w:szCs w:val="22"/>
          <w:color w:val="010000"/>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pursuant to this Agreement will be subject to withholding of applicable income and employment taxes.</w:t>
      </w:r>
    </w:p>
    <w:p>
      <w:pPr>
        <w:spacing w:after="0" w:line="160" w:lineRule="exact"/>
        <w:rPr>
          <w:rFonts w:ascii="Arial" w:cs="Arial" w:eastAsia="Arial" w:hAnsi="Arial"/>
          <w:sz w:val="22"/>
          <w:szCs w:val="22"/>
          <w:color w:val="010000"/>
        </w:rPr>
      </w:pPr>
    </w:p>
    <w:p>
      <w:pPr>
        <w:ind w:firstLine="1305"/>
        <w:spacing w:after="0" w:line="276" w:lineRule="auto"/>
        <w:tabs>
          <w:tab w:leader="none" w:pos="1756" w:val="left"/>
        </w:tabs>
        <w:numPr>
          <w:ilvl w:val="0"/>
          <w:numId w:val="154"/>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31" w:right="239" w:bottom="1440" w:gutter="0" w:footer="0" w:header="0"/>
        </w:sectPr>
      </w:pPr>
    </w:p>
    <w:bookmarkStart w:id="142" w:name="page143"/>
    <w:bookmarkEnd w:id="142"/>
    <w:p>
      <w:pPr>
        <w:ind w:firstLine="648"/>
        <w:spacing w:after="0" w:line="263" w:lineRule="auto"/>
        <w:rPr>
          <w:sz w:val="20"/>
          <w:szCs w:val="20"/>
          <w:color w:val="auto"/>
        </w:rPr>
      </w:pPr>
      <w:r>
        <w:rPr>
          <w:rFonts w:ascii="Arial" w:cs="Arial" w:eastAsia="Arial" w:hAnsi="Arial"/>
          <w:sz w:val="22"/>
          <w:szCs w:val="22"/>
          <w:color w:val="auto"/>
        </w:rPr>
        <w:t>IN WITNESS WHEREOF, each of the parties has executed this Agreement, in the case of the Company by its duly authorized officer, as of the day and year set forth below.</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304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4120" w:type="dxa"/>
            <w:vAlign w:val="bottom"/>
          </w:tcPr>
          <w:p>
            <w:pPr>
              <w:ind w:left="1760"/>
              <w:spacing w:after="0"/>
              <w:rPr>
                <w:sz w:val="20"/>
                <w:szCs w:val="20"/>
                <w:color w:val="auto"/>
              </w:rPr>
            </w:pPr>
            <w:r>
              <w:rPr>
                <w:rFonts w:ascii="Arial" w:cs="Arial" w:eastAsia="Arial" w:hAnsi="Arial"/>
                <w:sz w:val="22"/>
                <w:szCs w:val="22"/>
                <w:b w:val="1"/>
                <w:bCs w:val="1"/>
                <w:color w:val="auto"/>
              </w:rPr>
              <w:t>FORTINET, INC.</w:t>
            </w:r>
          </w:p>
        </w:tc>
        <w:tc>
          <w:tcPr>
            <w:tcW w:w="4220" w:type="dxa"/>
            <w:vAlign w:val="bottom"/>
          </w:tcPr>
          <w:p>
            <w:pPr>
              <w:spacing w:after="0"/>
              <w:rPr>
                <w:sz w:val="24"/>
                <w:szCs w:val="24"/>
                <w:color w:val="auto"/>
              </w:rPr>
            </w:pPr>
          </w:p>
        </w:tc>
      </w:tr>
      <w:tr>
        <w:trPr>
          <w:trHeight w:val="956"/>
        </w:trPr>
        <w:tc>
          <w:tcPr>
            <w:tcW w:w="3040" w:type="dxa"/>
            <w:vAlign w:val="bottom"/>
          </w:tcPr>
          <w:p>
            <w:pPr>
              <w:spacing w:after="0"/>
              <w:rPr>
                <w:sz w:val="24"/>
                <w:szCs w:val="24"/>
                <w:color w:val="auto"/>
              </w:rPr>
            </w:pPr>
          </w:p>
        </w:tc>
        <w:tc>
          <w:tcPr>
            <w:tcW w:w="4120" w:type="dxa"/>
            <w:vAlign w:val="bottom"/>
          </w:tcPr>
          <w:p>
            <w:pPr>
              <w:ind w:left="1760"/>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John Whittle</w:t>
            </w:r>
          </w:p>
        </w:tc>
      </w:tr>
      <w:tr>
        <w:trPr>
          <w:trHeight w:val="280"/>
        </w:trPr>
        <w:tc>
          <w:tcPr>
            <w:tcW w:w="3040" w:type="dxa"/>
            <w:vAlign w:val="bottom"/>
          </w:tcPr>
          <w:p>
            <w:pPr>
              <w:spacing w:after="0"/>
              <w:rPr>
                <w:sz w:val="24"/>
                <w:szCs w:val="24"/>
                <w:color w:val="auto"/>
              </w:rPr>
            </w:pPr>
          </w:p>
        </w:tc>
        <w:tc>
          <w:tcPr>
            <w:tcW w:w="4120" w:type="dxa"/>
            <w:vAlign w:val="bottom"/>
          </w:tcPr>
          <w:p>
            <w:pPr>
              <w:ind w:left="1760"/>
              <w:spacing w:after="0"/>
              <w:rPr>
                <w:sz w:val="20"/>
                <w:szCs w:val="20"/>
                <w:color w:val="auto"/>
              </w:rPr>
            </w:pPr>
            <w:r>
              <w:rPr>
                <w:rFonts w:ascii="Arial" w:cs="Arial" w:eastAsia="Arial" w:hAnsi="Arial"/>
                <w:sz w:val="22"/>
                <w:szCs w:val="22"/>
                <w:color w:val="auto"/>
              </w:rPr>
              <w:t>Name:</w:t>
            </w:r>
          </w:p>
        </w:tc>
        <w:tc>
          <w:tcPr>
            <w:tcW w:w="4220" w:type="dxa"/>
            <w:vAlign w:val="bottom"/>
          </w:tcPr>
          <w:p>
            <w:pPr>
              <w:ind w:left="40"/>
              <w:spacing w:after="0"/>
              <w:rPr>
                <w:sz w:val="20"/>
                <w:szCs w:val="20"/>
                <w:color w:val="auto"/>
              </w:rPr>
            </w:pPr>
            <w:r>
              <w:rPr>
                <w:rFonts w:ascii="Arial" w:cs="Arial" w:eastAsia="Arial" w:hAnsi="Arial"/>
                <w:sz w:val="22"/>
                <w:szCs w:val="22"/>
                <w:color w:val="auto"/>
              </w:rPr>
              <w:t>John Whittle</w:t>
            </w:r>
          </w:p>
        </w:tc>
      </w:tr>
      <w:tr>
        <w:trPr>
          <w:trHeight w:val="387"/>
        </w:trPr>
        <w:tc>
          <w:tcPr>
            <w:tcW w:w="3040" w:type="dxa"/>
            <w:vAlign w:val="bottom"/>
          </w:tcPr>
          <w:p>
            <w:pPr>
              <w:spacing w:after="0"/>
              <w:rPr>
                <w:sz w:val="24"/>
                <w:szCs w:val="24"/>
                <w:color w:val="auto"/>
              </w:rPr>
            </w:pPr>
          </w:p>
        </w:tc>
        <w:tc>
          <w:tcPr>
            <w:tcW w:w="4120" w:type="dxa"/>
            <w:vAlign w:val="bottom"/>
          </w:tcPr>
          <w:p>
            <w:pPr>
              <w:ind w:left="1760"/>
              <w:spacing w:after="0"/>
              <w:rPr>
                <w:sz w:val="20"/>
                <w:szCs w:val="20"/>
                <w:color w:val="auto"/>
              </w:rPr>
            </w:pPr>
            <w:r>
              <w:rPr>
                <w:rFonts w:ascii="Arial" w:cs="Arial" w:eastAsia="Arial" w:hAnsi="Arial"/>
                <w:sz w:val="22"/>
                <w:szCs w:val="22"/>
                <w:color w:val="auto"/>
              </w:rPr>
              <w:t>Title:</w:t>
            </w:r>
          </w:p>
        </w:tc>
        <w:tc>
          <w:tcPr>
            <w:tcW w:w="4220" w:type="dxa"/>
            <w:vAlign w:val="bottom"/>
          </w:tcPr>
          <w:p>
            <w:pPr>
              <w:ind w:left="40"/>
              <w:spacing w:after="0"/>
              <w:rPr>
                <w:sz w:val="20"/>
                <w:szCs w:val="20"/>
                <w:color w:val="auto"/>
              </w:rPr>
            </w:pPr>
            <w:r>
              <w:rPr>
                <w:rFonts w:ascii="Arial" w:cs="Arial" w:eastAsia="Arial" w:hAnsi="Arial"/>
                <w:sz w:val="22"/>
                <w:szCs w:val="22"/>
                <w:color w:val="auto"/>
                <w:w w:val="89"/>
              </w:rPr>
              <w:t>Executive Vice President, General Counsel and</w:t>
            </w:r>
          </w:p>
        </w:tc>
      </w:tr>
      <w:tr>
        <w:trPr>
          <w:trHeight w:val="275"/>
        </w:trPr>
        <w:tc>
          <w:tcPr>
            <w:tcW w:w="304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Arial" w:cs="Arial" w:eastAsia="Arial" w:hAnsi="Arial"/>
                <w:sz w:val="22"/>
                <w:szCs w:val="22"/>
                <w:color w:val="auto"/>
              </w:rPr>
              <w:t>Corporate Secretary</w:t>
            </w:r>
          </w:p>
        </w:tc>
      </w:tr>
      <w:tr>
        <w:trPr>
          <w:trHeight w:val="848"/>
        </w:trPr>
        <w:tc>
          <w:tcPr>
            <w:tcW w:w="3040" w:type="dxa"/>
            <w:vAlign w:val="bottom"/>
          </w:tcPr>
          <w:p>
            <w:pPr>
              <w:spacing w:after="0"/>
              <w:rPr>
                <w:sz w:val="20"/>
                <w:szCs w:val="20"/>
                <w:color w:val="auto"/>
              </w:rPr>
            </w:pPr>
            <w:r>
              <w:rPr>
                <w:rFonts w:ascii="Arial" w:cs="Arial" w:eastAsia="Arial" w:hAnsi="Arial"/>
                <w:sz w:val="22"/>
                <w:szCs w:val="22"/>
                <w:b w:val="1"/>
                <w:bCs w:val="1"/>
                <w:color w:val="auto"/>
              </w:rPr>
              <w:t>EXECUTIVE</w:t>
            </w:r>
          </w:p>
        </w:tc>
        <w:tc>
          <w:tcPr>
            <w:tcW w:w="4120" w:type="dxa"/>
            <w:vAlign w:val="bottom"/>
          </w:tcPr>
          <w:p>
            <w:pPr>
              <w:ind w:left="1760"/>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Keith Jensen</w:t>
            </w:r>
          </w:p>
        </w:tc>
      </w:tr>
      <w:tr>
        <w:trPr>
          <w:trHeight w:val="280"/>
        </w:trPr>
        <w:tc>
          <w:tcPr>
            <w:tcW w:w="3040" w:type="dxa"/>
            <w:vAlign w:val="bottom"/>
          </w:tcPr>
          <w:p>
            <w:pPr>
              <w:spacing w:after="0"/>
              <w:rPr>
                <w:sz w:val="24"/>
                <w:szCs w:val="24"/>
                <w:color w:val="auto"/>
              </w:rPr>
            </w:pPr>
          </w:p>
        </w:tc>
        <w:tc>
          <w:tcPr>
            <w:tcW w:w="4120" w:type="dxa"/>
            <w:vAlign w:val="bottom"/>
          </w:tcPr>
          <w:p>
            <w:pPr>
              <w:ind w:left="1760"/>
              <w:spacing w:after="0"/>
              <w:rPr>
                <w:sz w:val="20"/>
                <w:szCs w:val="20"/>
                <w:color w:val="auto"/>
              </w:rPr>
            </w:pPr>
            <w:r>
              <w:rPr>
                <w:rFonts w:ascii="Arial" w:cs="Arial" w:eastAsia="Arial" w:hAnsi="Arial"/>
                <w:sz w:val="22"/>
                <w:szCs w:val="22"/>
                <w:color w:val="auto"/>
              </w:rPr>
              <w:t>Name:</w:t>
            </w:r>
          </w:p>
        </w:tc>
        <w:tc>
          <w:tcPr>
            <w:tcW w:w="4220" w:type="dxa"/>
            <w:vAlign w:val="bottom"/>
          </w:tcPr>
          <w:p>
            <w:pPr>
              <w:ind w:left="40"/>
              <w:spacing w:after="0"/>
              <w:rPr>
                <w:sz w:val="20"/>
                <w:szCs w:val="20"/>
                <w:color w:val="auto"/>
              </w:rPr>
            </w:pPr>
            <w:r>
              <w:rPr>
                <w:rFonts w:ascii="Arial" w:cs="Arial" w:eastAsia="Arial" w:hAnsi="Arial"/>
                <w:sz w:val="22"/>
                <w:szCs w:val="22"/>
                <w:color w:val="auto"/>
              </w:rPr>
              <w:t>Keith Jensen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88"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June 30, 2019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1, 2019</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June 30, 2019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August 1, 2019</w:t>
            </w:r>
          </w:p>
        </w:tc>
        <w:tc>
          <w:tcPr>
            <w:tcW w:w="2780" w:type="dxa"/>
            <w:vAlign w:val="bottom"/>
          </w:tcPr>
          <w:p>
            <w:pPr>
              <w:ind w:left="21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56"/>
        </w:trPr>
        <w:tc>
          <w:tcPr>
            <w:tcW w:w="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2780" w:type="dxa"/>
            <w:vAlign w:val="bottom"/>
          </w:tcPr>
          <w:p>
            <w:pPr>
              <w:ind w:left="21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6"/>
              </w:rPr>
              <w:t>(Principal Financial Officer and Principal Accounting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1."/>
      <w:numFmt w:val="decimal"/>
      <w:start w:val="1"/>
    </w:lvl>
  </w:abstractNum>
  <w:abstractNum w:abstractNumId="3">
    <w:nsid w:val="68EB2F63"/>
    <w:multiLevelType w:val="hybridMultilevel"/>
    <w:lvl w:ilvl="0">
      <w:lvlJc w:val="left"/>
      <w:lvlText w:val="%1:"/>
      <w:numFmt w:val="decimal"/>
      <w:start w:val="326"/>
    </w:lvl>
  </w:abstractNum>
  <w:abstractNum w:abstractNumId="4">
    <w:nsid w:val="4962813B"/>
    <w:multiLevelType w:val="hybridMultilevel"/>
    <w:lvl w:ilvl="0">
      <w:lvlJc w:val="left"/>
      <w:lvlText w:val="%1."/>
      <w:numFmt w:val="decimal"/>
      <w:start w:val="2"/>
    </w:lvl>
  </w:abstractNum>
  <w:abstractNum w:abstractNumId="5">
    <w:nsid w:val="60B6DF70"/>
    <w:multiLevelType w:val="hybridMultilevel"/>
    <w:lvl w:ilvl="0">
      <w:lvlJc w:val="left"/>
      <w:lvlText w:val="%1."/>
      <w:numFmt w:val="decimal"/>
      <w:start w:val="3"/>
    </w:lvl>
  </w:abstractNum>
  <w:abstractNum w:abstractNumId="6">
    <w:nsid w:val="6A5EE64"/>
    <w:multiLevelType w:val="hybridMultilevel"/>
    <w:lvl w:ilvl="0">
      <w:lvlJc w:val="left"/>
      <w:lvlText w:val="(%1)"/>
      <w:numFmt w:val="decimal"/>
      <w:start w:val="1"/>
    </w:lvl>
  </w:abstractNum>
  <w:abstractNum w:abstractNumId="7">
    <w:nsid w:val="14330624"/>
    <w:multiLevelType w:val="hybridMultilevel"/>
    <w:lvl w:ilvl="0">
      <w:lvlJc w:val="left"/>
      <w:lvlText w:val="%1."/>
      <w:numFmt w:val="decimal"/>
      <w:start w:val="4"/>
    </w:lvl>
  </w:abstractNum>
  <w:abstractNum w:abstractNumId="8">
    <w:nsid w:val="7FFFCA11"/>
    <w:multiLevelType w:val="hybridMultilevel"/>
    <w:lvl w:ilvl="0">
      <w:lvlJc w:val="left"/>
      <w:lvlText w:val="%1."/>
      <w:numFmt w:val="decimal"/>
      <w:start w:val="5"/>
    </w:lvl>
  </w:abstractNum>
  <w:abstractNum w:abstractNumId="9">
    <w:nsid w:val="1A27709E"/>
    <w:multiLevelType w:val="hybridMultilevel"/>
    <w:lvl w:ilvl="0">
      <w:lvlJc w:val="left"/>
      <w:lvlText w:val="%1."/>
      <w:numFmt w:val="decimal"/>
      <w:start w:val="6"/>
    </w:lvl>
  </w:abstractNum>
  <w:abstractNum w:abstractNumId="10">
    <w:nsid w:val="71EA1109"/>
    <w:multiLevelType w:val="hybridMultilevel"/>
    <w:lvl w:ilvl="0">
      <w:lvlJc w:val="left"/>
      <w:lvlText w:val="%1."/>
      <w:numFmt w:val="decimal"/>
      <w:start w:val="7"/>
    </w:lvl>
  </w:abstractNum>
  <w:abstractNum w:abstractNumId="11">
    <w:nsid w:val="100F59DC"/>
    <w:multiLevelType w:val="hybridMultilevel"/>
    <w:lvl w:ilvl="0">
      <w:lvlJc w:val="left"/>
      <w:lvlText w:val="%1."/>
      <w:numFmt w:val="decimal"/>
      <w:start w:val="8"/>
    </w:lvl>
  </w:abstractNum>
  <w:abstractNum w:abstractNumId="12">
    <w:nsid w:val="7FB7E0AA"/>
    <w:multiLevelType w:val="hybridMultilevel"/>
    <w:lvl w:ilvl="0">
      <w:lvlJc w:val="left"/>
      <w:lvlText w:val="%1."/>
      <w:numFmt w:val="decimal"/>
      <w:start w:val="9"/>
    </w:lvl>
  </w:abstractNum>
  <w:abstractNum w:abstractNumId="13">
    <w:nsid w:val="6EB5BD4"/>
    <w:multiLevelType w:val="hybridMultilevel"/>
    <w:lvl w:ilvl="0">
      <w:lvlJc w:val="left"/>
      <w:lvlText w:val="%1."/>
      <w:numFmt w:val="decimal"/>
      <w:start w:val="10"/>
    </w:lvl>
  </w:abstractNum>
  <w:abstractNum w:abstractNumId="14">
    <w:nsid w:val="6F6DD9AC"/>
    <w:multiLevelType w:val="hybridMultilevel"/>
    <w:lvl w:ilvl="0">
      <w:lvlJc w:val="left"/>
      <w:lvlText w:val="(%1)"/>
      <w:numFmt w:val="decimal"/>
      <w:start w:val="1"/>
    </w:lvl>
  </w:abstractNum>
  <w:abstractNum w:abstractNumId="15">
    <w:nsid w:val="94211F2"/>
    <w:multiLevelType w:val="hybridMultilevel"/>
    <w:lvl w:ilvl="0">
      <w:lvlJc w:val="left"/>
      <w:lvlText w:val="%1."/>
      <w:numFmt w:val="decimal"/>
      <w:start w:val="11"/>
    </w:lvl>
  </w:abstractNum>
  <w:abstractNum w:abstractNumId="16">
    <w:nsid w:val="885E1B"/>
    <w:multiLevelType w:val="hybridMultilevel"/>
    <w:lvl w:ilvl="0">
      <w:lvlJc w:val="left"/>
      <w:lvlText w:val="%1."/>
      <w:numFmt w:val="decimal"/>
      <w:start w:val="12"/>
    </w:lvl>
  </w:abstractNum>
  <w:abstractNum w:abstractNumId="17">
    <w:nsid w:val="76272110"/>
    <w:multiLevelType w:val="hybridMultilevel"/>
    <w:lvl w:ilvl="0">
      <w:lvlJc w:val="left"/>
      <w:lvlText w:val="%1."/>
      <w:numFmt w:val="decimal"/>
      <w:start w:val="13"/>
    </w:lvl>
  </w:abstractNum>
  <w:abstractNum w:abstractNumId="18">
    <w:nsid w:val="4C04A8AF"/>
    <w:multiLevelType w:val="hybridMultilevel"/>
    <w:lvl w:ilvl="0">
      <w:lvlJc w:val="left"/>
      <w:lvlText w:val="%1."/>
      <w:numFmt w:val="decimal"/>
      <w:start w:val="14"/>
    </w:lvl>
  </w:abstractNum>
  <w:abstractNum w:abstractNumId="19">
    <w:nsid w:val="1716703B"/>
    <w:multiLevelType w:val="hybridMultilevel"/>
    <w:lvl w:ilvl="0">
      <w:lvlJc w:val="left"/>
      <w:lvlText w:val="%1."/>
      <w:numFmt w:val="decimal"/>
      <w:start w:val="15"/>
    </w:lvl>
  </w:abstractNum>
  <w:abstractNum w:abstractNumId="20">
    <w:nsid w:val="14E17E33"/>
    <w:multiLevelType w:val="hybridMultilevel"/>
    <w:lvl w:ilvl="0">
      <w:lvlJc w:val="left"/>
      <w:lvlText w:val="(%1)"/>
      <w:numFmt w:val="decimal"/>
      <w:start w:val="1"/>
    </w:lvl>
  </w:abstractNum>
  <w:abstractNum w:abstractNumId="21">
    <w:nsid w:val="3222E7CD"/>
    <w:multiLevelType w:val="hybridMultilevel"/>
    <w:lvl w:ilvl="0">
      <w:lvlJc w:val="left"/>
      <w:lvlText w:val="(%1)"/>
      <w:numFmt w:val="decimal"/>
      <w:start w:val="1"/>
    </w:lvl>
  </w:abstractNum>
  <w:abstractNum w:abstractNumId="22">
    <w:nsid w:val="74DE0EE3"/>
    <w:multiLevelType w:val="hybridMultilevel"/>
    <w:lvl w:ilvl="0">
      <w:lvlJc w:val="left"/>
      <w:lvlText w:val="%1."/>
      <w:numFmt w:val="decimal"/>
      <w:start w:val="16"/>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1."/>
      <w:numFmt w:val="decimal"/>
      <w:start w:val="1"/>
    </w:lvl>
    <w:lvl w:ilvl="1">
      <w:lvlJc w:val="left"/>
      <w:lvlText w:val="•"/>
      <w:numFmt w:val="bullet"/>
      <w:start w:val="1"/>
    </w:lvl>
  </w:abstractNum>
  <w:abstractNum w:abstractNumId="45">
    <w:nsid w:val="5F3534A4"/>
    <w:multiLevelType w:val="hybridMultilevel"/>
    <w:lvl w:ilvl="0">
      <w:lvlJc w:val="left"/>
      <w:lvlText w:val="%1."/>
      <w:numFmt w:val="decimal"/>
      <w:start w:val="2"/>
    </w:lvl>
    <w:lvl w:ilvl="1">
      <w:lvlJc w:val="left"/>
      <w:lvlText w:val="(%2)"/>
      <w:numFmt w:val="lowerLetter"/>
      <w:start w:val="1"/>
    </w:lvl>
  </w:abstractNum>
  <w:abstractNum w:abstractNumId="46">
    <w:nsid w:val="73A1821B"/>
    <w:multiLevelType w:val="hybridMultilevel"/>
    <w:lvl w:ilvl="0">
      <w:lvlJc w:val="left"/>
      <w:lvlText w:val="(%1)"/>
      <w:numFmt w:val="lowerLetter"/>
      <w:start w:val="7"/>
    </w:lvl>
    <w:lvl w:ilvl="1">
      <w:lvlJc w:val="left"/>
      <w:lvlText w:val="(%2)"/>
      <w:numFmt w:val="lowerRoman"/>
      <w:start w:val="1"/>
    </w:lvl>
  </w:abstractNum>
  <w:abstractNum w:abstractNumId="47">
    <w:nsid w:val="7DE67713"/>
    <w:multiLevelType w:val="hybridMultilevel"/>
    <w:lvl w:ilvl="0">
      <w:lvlJc w:val="left"/>
      <w:lvlText w:val="(%1)"/>
      <w:numFmt w:val="lowerLetter"/>
      <w:start w:val="8"/>
    </w:lvl>
  </w:abstractNum>
  <w:abstractNum w:abstractNumId="48">
    <w:nsid w:val="555C55B5"/>
    <w:multiLevelType w:val="hybridMultilevel"/>
    <w:lvl w:ilvl="0">
      <w:lvlJc w:val="left"/>
      <w:lvlText w:val="(%1)"/>
      <w:numFmt w:val="lowerLetter"/>
      <w:start w:val="17"/>
    </w:lvl>
    <w:lvl w:ilvl="1">
      <w:lvlJc w:val="left"/>
      <w:lvlText w:val="(%2)"/>
      <w:numFmt w:val="lowerRoman"/>
      <w:start w:val="1"/>
    </w:lvl>
  </w:abstractNum>
  <w:abstractNum w:abstractNumId="49">
    <w:nsid w:val="3FA62ACA"/>
    <w:multiLevelType w:val="hybridMultilevel"/>
    <w:lvl w:ilvl="0">
      <w:lvlJc w:val="left"/>
      <w:lvlText w:val="(%1)"/>
      <w:numFmt w:val="lowerLetter"/>
      <w:start w:val="19"/>
    </w:lvl>
  </w:abstractNum>
  <w:abstractNum w:abstractNumId="50">
    <w:nsid w:val="14FCE74E"/>
    <w:multiLevelType w:val="hybridMultilevel"/>
    <w:lvl w:ilvl="0">
      <w:lvlJc w:val="left"/>
      <w:lvlText w:val="(%1)"/>
      <w:numFmt w:val="lowerLetter"/>
      <w:start w:val="25"/>
    </w:lvl>
  </w:abstractNum>
  <w:abstractNum w:abstractNumId="51">
    <w:nsid w:val="6A3DD3E8"/>
    <w:multiLevelType w:val="hybridMultilevel"/>
    <w:lvl w:ilvl="0">
      <w:lvlJc w:val="left"/>
      <w:lvlText w:val="(%1)"/>
      <w:numFmt w:val="lowerLetter"/>
      <w:start w:val="27"/>
    </w:lvl>
  </w:abstractNum>
  <w:abstractNum w:abstractNumId="52">
    <w:nsid w:val="71C91298"/>
    <w:multiLevelType w:val="hybridMultilevel"/>
    <w:lvl w:ilvl="0">
      <w:lvlJc w:val="left"/>
      <w:lvlText w:val="%1"/>
      <w:numFmt w:val="decimal"/>
      <w:start w:val="1"/>
    </w:lvl>
    <w:lvl w:ilvl="1">
      <w:lvlJc w:val="left"/>
      <w:lvlText w:val="(%2)"/>
      <w:numFmt w:val="lowerLetter"/>
      <w:start w:val="37"/>
    </w:lvl>
  </w:abstractNum>
  <w:abstractNum w:abstractNumId="53">
    <w:nsid w:val="9DAF632"/>
    <w:multiLevelType w:val="hybridMultilevel"/>
    <w:lvl w:ilvl="0">
      <w:lvlJc w:val="left"/>
      <w:lvlText w:val="%1."/>
      <w:numFmt w:val="decimal"/>
      <w:start w:val="3"/>
    </w:lvl>
    <w:lvl w:ilvl="1">
      <w:lvlJc w:val="left"/>
      <w:lvlText w:val="(%2)"/>
      <w:numFmt w:val="lowerLetter"/>
      <w:start w:val="1"/>
    </w:lvl>
  </w:abstractNum>
  <w:abstractNum w:abstractNumId="54">
    <w:nsid w:val="5329993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55">
    <w:nsid w:val="1FBFE8E0"/>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56">
    <w:nsid w:val="5092CA7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7">
    <w:nsid w:val="1D545C4D"/>
    <w:multiLevelType w:val="hybridMultilevel"/>
    <w:lvl w:ilvl="0">
      <w:lvlJc w:val="left"/>
      <w:lvlText w:val="(%1)"/>
      <w:numFmt w:val="lowerLetter"/>
      <w:start w:val="2"/>
    </w:lvl>
    <w:lvl w:ilvl="1">
      <w:lvlJc w:val="left"/>
      <w:lvlText w:val="(%2)"/>
      <w:numFmt w:val="lowerRoman"/>
      <w:start w:val="1"/>
    </w:lvl>
  </w:abstractNum>
  <w:abstractNum w:abstractNumId="58">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59">
    <w:nsid w:val="288F1A3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0">
    <w:nsid w:val="2A155DB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1">
    <w:nsid w:val="1D9F6E5F"/>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62">
    <w:nsid w:val="97E1B4E"/>
    <w:multiLevelType w:val="hybridMultilevel"/>
    <w:lvl w:ilvl="0">
      <w:lvlJc w:val="left"/>
      <w:lvlText w:val="(%1)"/>
      <w:numFmt w:val="lowerLetter"/>
      <w:start w:val="4"/>
    </w:lvl>
    <w:lvl w:ilvl="1">
      <w:lvlJc w:val="left"/>
      <w:lvlText w:val="(%2)"/>
      <w:numFmt w:val="lowerLetter"/>
      <w:start w:val="9"/>
    </w:lvl>
  </w:abstractNum>
  <w:abstractNum w:abstractNumId="63">
    <w:nsid w:val="51088277"/>
    <w:multiLevelType w:val="hybridMultilevel"/>
    <w:lvl w:ilvl="0">
      <w:lvlJc w:val="left"/>
      <w:lvlText w:val="(%1)"/>
      <w:numFmt w:val="lowerRoman"/>
      <w:start w:val="2"/>
    </w:lvl>
  </w:abstractNum>
  <w:abstractNum w:abstractNumId="64">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5">
    <w:nsid w:val="53584BC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6">
    <w:nsid w:val="415E286C"/>
    <w:multiLevelType w:val="hybridMultilevel"/>
    <w:lvl w:ilvl="0">
      <w:lvlJc w:val="left"/>
      <w:lvlText w:val="%1"/>
      <w:numFmt w:val="decimal"/>
      <w:start w:val="1"/>
    </w:lvl>
    <w:lvl w:ilvl="1">
      <w:lvlJc w:val="left"/>
      <w:lvlText w:val="(%2)"/>
      <w:numFmt w:val="lowerLetter"/>
      <w:start w:val="7"/>
    </w:lvl>
  </w:abstractNum>
  <w:abstractNum w:abstractNumId="67">
    <w:nsid w:val="7C58FD05"/>
    <w:multiLevelType w:val="hybridMultilevel"/>
    <w:lvl w:ilvl="0">
      <w:lvlJc w:val="left"/>
      <w:lvlText w:val="%1."/>
      <w:numFmt w:val="decimal"/>
      <w:start w:val="8"/>
    </w:lvl>
    <w:lvl w:ilvl="1">
      <w:lvlJc w:val="left"/>
      <w:lvlText w:val="(%2)"/>
      <w:numFmt w:val="lowerLetter"/>
      <w:start w:val="1"/>
    </w:lvl>
  </w:abstractNum>
  <w:abstractNum w:abstractNumId="68">
    <w:nsid w:val="23D86AAC"/>
    <w:multiLevelType w:val="hybridMultilevel"/>
    <w:lvl w:ilvl="0">
      <w:lvlJc w:val="left"/>
      <w:lvlText w:val="(%1)"/>
      <w:numFmt w:val="lowerLetter"/>
      <w:start w:val="3"/>
    </w:lvl>
    <w:lvl w:ilvl="1">
      <w:lvlJc w:val="left"/>
      <w:lvlText w:val="(%2)"/>
      <w:numFmt w:val="lowerRoman"/>
      <w:start w:val="1"/>
    </w:lvl>
  </w:abstractNum>
  <w:abstractNum w:abstractNumId="69">
    <w:nsid w:val="45E6D486"/>
    <w:multiLevelType w:val="hybridMultilevel"/>
    <w:lvl w:ilvl="0">
      <w:lvlJc w:val="left"/>
      <w:lvlText w:val="%1."/>
      <w:numFmt w:val="decimal"/>
      <w:start w:val="10"/>
    </w:lvl>
    <w:lvl w:ilvl="1">
      <w:lvlJc w:val="left"/>
      <w:lvlText w:val="(%2)"/>
      <w:numFmt w:val="lowerLetter"/>
      <w:start w:val="1"/>
    </w:lvl>
  </w:abstractNum>
  <w:abstractNum w:abstractNumId="70">
    <w:nsid w:val="5C10FE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71">
    <w:nsid w:val="E7FFA2B"/>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72">
    <w:nsid w:val="3C5991AA"/>
    <w:multiLevelType w:val="hybridMultilevel"/>
    <w:lvl w:ilvl="0">
      <w:lvlJc w:val="left"/>
      <w:lvlText w:val="(%1)"/>
      <w:numFmt w:val="decimal"/>
      <w:start w:val="6"/>
    </w:lvl>
    <w:lvl w:ilvl="1">
      <w:lvlJc w:val="left"/>
      <w:lvlText w:val="%2."/>
      <w:numFmt w:val="decimal"/>
      <w:start w:val="12"/>
    </w:lvl>
    <w:lvl w:ilvl="2">
      <w:lvlJc w:val="left"/>
      <w:lvlText w:val="(%3)"/>
      <w:numFmt w:val="lowerLetter"/>
      <w:start w:val="1"/>
    </w:lvl>
  </w:abstractNum>
  <w:abstractNum w:abstractNumId="73">
    <w:nsid w:val="4BD8591A"/>
    <w:multiLevelType w:val="hybridMultilevel"/>
    <w:lvl w:ilvl="0">
      <w:lvlJc w:val="left"/>
      <w:lvlText w:val="(%1)"/>
      <w:numFmt w:val="lowerLetter"/>
      <w:start w:val="2"/>
    </w:lvl>
  </w:abstractNum>
  <w:abstractNum w:abstractNumId="74">
    <w:nsid w:val="78DF6A55"/>
    <w:multiLevelType w:val="hybridMultilevel"/>
    <w:lvl w:ilvl="0">
      <w:lvlJc w:val="left"/>
      <w:lvlText w:val="%1"/>
      <w:numFmt w:val="decimal"/>
      <w:start w:val="1"/>
    </w:lvl>
    <w:lvl w:ilvl="1">
      <w:lvlJc w:val="left"/>
      <w:lvlText w:val="(%2)"/>
      <w:numFmt w:val="lowerLetter"/>
      <w:start w:val="4"/>
    </w:lvl>
  </w:abstractNum>
  <w:abstractNum w:abstractNumId="75">
    <w:nsid w:val="39B7AAA2"/>
    <w:multiLevelType w:val="hybridMultilevel"/>
    <w:lvl w:ilvl="0">
      <w:lvlJc w:val="left"/>
      <w:lvlText w:val="%1."/>
      <w:numFmt w:val="decimal"/>
      <w:start w:val="14"/>
    </w:lvl>
    <w:lvl w:ilvl="1">
      <w:lvlJc w:val="left"/>
      <w:lvlText w:val="(%2)"/>
      <w:numFmt w:val="lowerLetter"/>
      <w:start w:val="1"/>
    </w:lvl>
  </w:abstractNum>
  <w:abstractNum w:abstractNumId="76">
    <w:nsid w:val="2B0D8DBE"/>
    <w:multiLevelType w:val="hybridMultilevel"/>
    <w:lvl w:ilvl="0">
      <w:lvlJc w:val="left"/>
      <w:lvlText w:val="%1."/>
      <w:numFmt w:val="decimal"/>
      <w:start w:val="15"/>
    </w:lvl>
    <w:lvl w:ilvl="1">
      <w:lvlJc w:val="left"/>
      <w:lvlText w:val="(%2)"/>
      <w:numFmt w:val="lowerLetter"/>
      <w:start w:val="1"/>
    </w:lvl>
  </w:abstractNum>
  <w:abstractNum w:abstractNumId="77">
    <w:nsid w:val="6C80EC70"/>
    <w:multiLevelType w:val="hybridMultilevel"/>
    <w:lvl w:ilvl="0">
      <w:lvlJc w:val="left"/>
      <w:lvlText w:val="%1."/>
      <w:numFmt w:val="decimal"/>
      <w:start w:val="19"/>
    </w:lvl>
    <w:lvl w:ilvl="1">
      <w:lvlJc w:val="left"/>
      <w:lvlText w:val="(%2)"/>
      <w:numFmt w:val="lowerLetter"/>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81">
    <w:nsid w:val="4C9B0904"/>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82">
    <w:nsid w:val="6AA7B75C"/>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83">
    <w:nsid w:val="1DF029D3"/>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84">
    <w:nsid w:val="5675FF3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5">
    <w:nsid w:val="3DD15094"/>
    <w:multiLevelType w:val="hybridMultilevel"/>
    <w:lvl w:ilvl="0">
      <w:lvlJc w:val="left"/>
      <w:lvlText w:val="(%1)"/>
      <w:numFmt w:val="decimal"/>
      <w:start w:val="12"/>
    </w:lvl>
    <w:lvl w:ilvl="1">
      <w:lvlJc w:val="left"/>
      <w:lvlText w:val="(%2)"/>
      <w:numFmt w:val="lowerLetter"/>
      <w:start w:val="3"/>
    </w:lvl>
    <w:lvl w:ilvl="2">
      <w:lvlJc w:val="left"/>
      <w:lvlText w:val="%3"/>
      <w:numFmt w:val="lowerLetter"/>
      <w:start w:val="1"/>
    </w:lvl>
  </w:abstractNum>
  <w:abstractNum w:abstractNumId="86">
    <w:nsid w:val="3DB012B3"/>
    <w:multiLevelType w:val="hybridMultilevel"/>
    <w:lvl w:ilvl="0">
      <w:lvlJc w:val="left"/>
      <w:lvlText w:val="%1"/>
      <w:numFmt w:val="lowerLetter"/>
      <w:start w:val="1"/>
    </w:lvl>
    <w:lvl w:ilvl="1">
      <w:lvlJc w:val="left"/>
      <w:lvlText w:val="(%2)"/>
      <w:numFmt w:val="lowerLetter"/>
      <w:start w:val="5"/>
    </w:lvl>
  </w:abstractNum>
  <w:abstractNum w:abstractNumId="87">
    <w:nsid w:val="2708C9AF"/>
    <w:multiLevelType w:val="hybridMultilevel"/>
    <w:lvl w:ilvl="0">
      <w:lvlJc w:val="left"/>
      <w:lvlText w:val="(%1)"/>
      <w:numFmt w:val="lowerLetter"/>
      <w:start w:val="35"/>
    </w:lvl>
    <w:lvl w:ilvl="1">
      <w:lvlJc w:val="left"/>
      <w:lvlText w:val="(%2)"/>
      <w:numFmt w:val="lowerLetter"/>
      <w:start w:val="7"/>
    </w:lvl>
  </w:abstractNum>
  <w:abstractNum w:abstractNumId="88">
    <w:nsid w:val="5B25ACE2"/>
    <w:multiLevelType w:val="hybridMultilevel"/>
    <w:lvl w:ilvl="0">
      <w:lvlJc w:val="left"/>
      <w:lvlText w:val="%1."/>
      <w:numFmt w:val="decimal"/>
      <w:start w:val="4"/>
    </w:lvl>
    <w:lvl w:ilvl="1">
      <w:lvlJc w:val="left"/>
      <w:lvlText w:val="(%2)"/>
      <w:numFmt w:val="lowerLetter"/>
      <w:start w:val="1"/>
    </w:lvl>
  </w:abstractNum>
  <w:abstractNum w:abstractNumId="89">
    <w:nsid w:val="175DFCF0"/>
    <w:multiLevelType w:val="hybridMultilevel"/>
    <w:lvl w:ilvl="0">
      <w:lvlJc w:val="left"/>
      <w:lvlText w:val="%1."/>
      <w:numFmt w:val="decimal"/>
      <w:start w:val="5"/>
    </w:lvl>
    <w:lvl w:ilvl="1">
      <w:lvlJc w:val="left"/>
      <w:lvlText w:val="(%2)"/>
      <w:numFmt w:val="lowerLetter"/>
      <w:start w:val="1"/>
    </w:lvl>
  </w:abstractNum>
  <w:abstractNum w:abstractNumId="90">
    <w:nsid w:val="4F97E3E4"/>
    <w:multiLevelType w:val="hybridMultilevel"/>
    <w:lvl w:ilvl="0">
      <w:lvlJc w:val="left"/>
      <w:lvlText w:val="(%1)"/>
      <w:numFmt w:val="lowerLetter"/>
      <w:start w:val="3"/>
    </w:lvl>
    <w:lvl w:ilvl="1">
      <w:lvlJc w:val="left"/>
      <w:lvlText w:val="(%2)"/>
      <w:numFmt w:val="lowerRoman"/>
      <w:start w:val="1"/>
    </w:lvl>
  </w:abstractNum>
  <w:abstractNum w:abstractNumId="91">
    <w:nsid w:val="53B0A9E"/>
    <w:multiLevelType w:val="hybridMultilevel"/>
    <w:lvl w:ilvl="0">
      <w:lvlJc w:val="left"/>
      <w:lvlText w:val="(%1)"/>
      <w:numFmt w:val="lowerLetter"/>
      <w:start w:val="4"/>
    </w:lvl>
  </w:abstractNum>
  <w:abstractNum w:abstractNumId="92">
    <w:nsid w:val="34FD6B4F"/>
    <w:multiLevelType w:val="hybridMultilevel"/>
    <w:lvl w:ilvl="0">
      <w:lvlJc w:val="left"/>
      <w:lvlText w:val="%1."/>
      <w:numFmt w:val="decimal"/>
      <w:start w:val="6"/>
    </w:lvl>
    <w:lvl w:ilvl="1">
      <w:lvlJc w:val="left"/>
      <w:lvlText w:val="(%2)"/>
      <w:numFmt w:val="lowerLetter"/>
      <w:start w:val="1"/>
    </w:lvl>
  </w:abstractNum>
  <w:abstractNum w:abstractNumId="93">
    <w:nsid w:val="5915FF32"/>
    <w:multiLevelType w:val="hybridMultilevel"/>
    <w:lvl w:ilvl="0">
      <w:lvlJc w:val="left"/>
      <w:lvlText w:val="%1."/>
      <w:numFmt w:val="decimal"/>
      <w:start w:val="9"/>
    </w:lvl>
    <w:lvl w:ilvl="1">
      <w:lvlJc w:val="left"/>
      <w:lvlText w:val="(%2)"/>
      <w:numFmt w:val="lowerLetter"/>
      <w:start w:val="1"/>
    </w:lvl>
  </w:abstractNum>
  <w:abstractNum w:abstractNumId="94">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5">
    <w:nsid w:val="519E314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96">
    <w:nsid w:val="2C6E4AFD"/>
    <w:multiLevelType w:val="hybridMultilevel"/>
    <w:lvl w:ilvl="0">
      <w:lvlJc w:val="left"/>
      <w:lvlText w:val="(%1)"/>
      <w:numFmt w:val="lowerLetter"/>
      <w:start w:val="5"/>
    </w:lvl>
  </w:abstractNum>
  <w:abstractNum w:abstractNumId="97">
    <w:nsid w:val="17A1B582"/>
    <w:multiLevelType w:val="hybridMultilevel"/>
    <w:lvl w:ilvl="0">
      <w:lvlJc w:val="left"/>
      <w:lvlText w:val="%1."/>
      <w:numFmt w:val="decimal"/>
      <w:start w:val="1"/>
    </w:lvl>
  </w:abstractNum>
  <w:abstractNum w:abstractNumId="98">
    <w:nsid w:val="4DF72E4E"/>
    <w:multiLevelType w:val="hybridMultilevel"/>
    <w:lvl w:ilvl="0">
      <w:lvlJc w:val="left"/>
      <w:lvlText w:val="%1."/>
      <w:numFmt w:val="decimal"/>
      <w:start w:val="1"/>
    </w:lvl>
  </w:abstractNum>
  <w:abstractNum w:abstractNumId="99">
    <w:nsid w:val="5046B5A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100">
    <w:nsid w:val="5D888A08"/>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01">
    <w:nsid w:val="2A082C70"/>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02">
    <w:nsid w:val="5EC6AFD4"/>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03">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4">
    <w:nsid w:val="75E0858A"/>
    <w:multiLevelType w:val="hybridMultilevel"/>
    <w:lvl w:ilvl="0">
      <w:lvlJc w:val="left"/>
      <w:lvlText w:val="(%1)"/>
      <w:numFmt w:val="decimal"/>
      <w:start w:val="12"/>
    </w:lvl>
    <w:lvl w:ilvl="1">
      <w:lvlJc w:val="left"/>
      <w:lvlText w:val="(%2)"/>
      <w:numFmt w:val="lowerLetter"/>
      <w:start w:val="3"/>
    </w:lvl>
    <w:lvl w:ilvl="2">
      <w:lvlJc w:val="left"/>
      <w:lvlText w:val="%3"/>
      <w:numFmt w:val="lowerLetter"/>
      <w:start w:val="1"/>
    </w:lvl>
  </w:abstractNum>
  <w:abstractNum w:abstractNumId="105">
    <w:nsid w:val="57A61A29"/>
    <w:multiLevelType w:val="hybridMultilevel"/>
    <w:lvl w:ilvl="0">
      <w:lvlJc w:val="left"/>
      <w:lvlText w:val="%1"/>
      <w:numFmt w:val="lowerLetter"/>
      <w:start w:val="1"/>
    </w:lvl>
    <w:lvl w:ilvl="1">
      <w:lvlJc w:val="left"/>
      <w:lvlText w:val="(%2)"/>
      <w:numFmt w:val="lowerLetter"/>
      <w:start w:val="5"/>
    </w:lvl>
  </w:abstractNum>
  <w:abstractNum w:abstractNumId="106">
    <w:nsid w:val="5399C654"/>
    <w:multiLevelType w:val="hybridMultilevel"/>
    <w:lvl w:ilvl="0">
      <w:lvlJc w:val="left"/>
      <w:lvlText w:val="(%1)"/>
      <w:numFmt w:val="lowerLetter"/>
      <w:start w:val="35"/>
    </w:lvl>
    <w:lvl w:ilvl="1">
      <w:lvlJc w:val="left"/>
      <w:lvlText w:val="(%2)"/>
      <w:numFmt w:val="lowerLetter"/>
      <w:start w:val="7"/>
    </w:lvl>
  </w:abstractNum>
  <w:abstractNum w:abstractNumId="107">
    <w:nsid w:val="20EE1348"/>
    <w:multiLevelType w:val="hybridMultilevel"/>
    <w:lvl w:ilvl="0">
      <w:lvlJc w:val="left"/>
      <w:lvlText w:val="%1."/>
      <w:numFmt w:val="decimal"/>
      <w:start w:val="4"/>
    </w:lvl>
    <w:lvl w:ilvl="1">
      <w:lvlJc w:val="left"/>
      <w:lvlText w:val="(%2)"/>
      <w:numFmt w:val="lowerLetter"/>
      <w:start w:val="1"/>
    </w:lvl>
  </w:abstractNum>
  <w:abstractNum w:abstractNumId="108">
    <w:nsid w:val="4427069A"/>
    <w:multiLevelType w:val="hybridMultilevel"/>
    <w:lvl w:ilvl="0">
      <w:lvlJc w:val="left"/>
      <w:lvlText w:val="%1."/>
      <w:numFmt w:val="decimal"/>
      <w:start w:val="5"/>
    </w:lvl>
    <w:lvl w:ilvl="1">
      <w:lvlJc w:val="left"/>
      <w:lvlText w:val="(%2)"/>
      <w:numFmt w:val="lowerLetter"/>
      <w:start w:val="1"/>
    </w:lvl>
  </w:abstractNum>
  <w:abstractNum w:abstractNumId="109">
    <w:nsid w:val="B37E80A"/>
    <w:multiLevelType w:val="hybridMultilevel"/>
    <w:lvl w:ilvl="0">
      <w:lvlJc w:val="left"/>
      <w:lvlText w:val="(%1)"/>
      <w:numFmt w:val="lowerLetter"/>
      <w:start w:val="3"/>
    </w:lvl>
    <w:lvl w:ilvl="1">
      <w:lvlJc w:val="left"/>
      <w:lvlText w:val="(%2)"/>
      <w:numFmt w:val="lowerRoman"/>
      <w:start w:val="1"/>
    </w:lvl>
  </w:abstractNum>
  <w:abstractNum w:abstractNumId="110">
    <w:nsid w:val="2157F6BC"/>
    <w:multiLevelType w:val="hybridMultilevel"/>
    <w:lvl w:ilvl="0">
      <w:lvlJc w:val="left"/>
      <w:lvlText w:val="(%1)"/>
      <w:numFmt w:val="lowerLetter"/>
      <w:start w:val="4"/>
    </w:lvl>
  </w:abstractNum>
  <w:abstractNum w:abstractNumId="111">
    <w:nsid w:val="704E1DD5"/>
    <w:multiLevelType w:val="hybridMultilevel"/>
    <w:lvl w:ilvl="0">
      <w:lvlJc w:val="left"/>
      <w:lvlText w:val="%1."/>
      <w:numFmt w:val="decimal"/>
      <w:start w:val="6"/>
    </w:lvl>
    <w:lvl w:ilvl="1">
      <w:lvlJc w:val="left"/>
      <w:lvlText w:val="(%2)"/>
      <w:numFmt w:val="lowerLetter"/>
      <w:start w:val="1"/>
    </w:lvl>
  </w:abstractNum>
  <w:abstractNum w:abstractNumId="112">
    <w:nsid w:val="57D2F10E"/>
    <w:multiLevelType w:val="hybridMultilevel"/>
    <w:lvl w:ilvl="0">
      <w:lvlJc w:val="left"/>
      <w:lvlText w:val="%1."/>
      <w:numFmt w:val="decimal"/>
      <w:start w:val="9"/>
    </w:lvl>
    <w:lvl w:ilvl="1">
      <w:lvlJc w:val="left"/>
      <w:lvlText w:val="(%2)"/>
      <w:numFmt w:val="lowerLetter"/>
      <w:start w:val="1"/>
    </w:lvl>
  </w:abstractNum>
  <w:abstractNum w:abstractNumId="113">
    <w:nsid w:val="BFFAE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E3E47A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15">
    <w:nsid w:val="2E48F044"/>
    <w:multiLevelType w:val="hybridMultilevel"/>
    <w:lvl w:ilvl="0">
      <w:lvlJc w:val="left"/>
      <w:lvlText w:val="(%1)"/>
      <w:numFmt w:val="lowerLetter"/>
      <w:start w:val="5"/>
    </w:lvl>
  </w:abstractNum>
  <w:abstractNum w:abstractNumId="116">
    <w:nsid w:val="49D0FEAC"/>
    <w:multiLevelType w:val="hybridMultilevel"/>
    <w:lvl w:ilvl="0">
      <w:lvlJc w:val="left"/>
      <w:lvlText w:val="%1."/>
      <w:numFmt w:val="decimal"/>
      <w:start w:val="1"/>
    </w:lvl>
  </w:abstractNum>
  <w:abstractNum w:abstractNumId="117">
    <w:nsid w:val="4BEE5A5B"/>
    <w:multiLevelType w:val="hybridMultilevel"/>
    <w:lvl w:ilvl="0">
      <w:lvlJc w:val="left"/>
      <w:lvlText w:val="%1."/>
      <w:numFmt w:val="decimal"/>
      <w:start w:val="1"/>
    </w:lvl>
  </w:abstractNum>
  <w:abstractNum w:abstractNumId="118">
    <w:nsid w:val="5551B9F3"/>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119">
    <w:nsid w:val="24F6AB8E"/>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20">
    <w:nsid w:val="634C574C"/>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21">
    <w:nsid w:val="24E99DD7"/>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22">
    <w:nsid w:val="2A31B62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23">
    <w:nsid w:val="1849C29B"/>
    <w:multiLevelType w:val="hybridMultilevel"/>
    <w:lvl w:ilvl="0">
      <w:lvlJc w:val="left"/>
      <w:lvlText w:val="(%1)"/>
      <w:numFmt w:val="decimal"/>
      <w:start w:val="12"/>
    </w:lvl>
    <w:lvl w:ilvl="1">
      <w:lvlJc w:val="left"/>
      <w:lvlText w:val="(%2)"/>
      <w:numFmt w:val="lowerLetter"/>
      <w:start w:val="3"/>
    </w:lvl>
    <w:lvl w:ilvl="2">
      <w:lvlJc w:val="left"/>
      <w:lvlText w:val="%3"/>
      <w:numFmt w:val="lowerLetter"/>
      <w:start w:val="1"/>
    </w:lvl>
  </w:abstractNum>
  <w:abstractNum w:abstractNumId="124">
    <w:nsid w:val="7DFF9D09"/>
    <w:multiLevelType w:val="hybridMultilevel"/>
    <w:lvl w:ilvl="0">
      <w:lvlJc w:val="left"/>
      <w:lvlText w:val="%1"/>
      <w:numFmt w:val="lowerLetter"/>
      <w:start w:val="1"/>
    </w:lvl>
    <w:lvl w:ilvl="1">
      <w:lvlJc w:val="left"/>
      <w:lvlText w:val="(%2)"/>
      <w:numFmt w:val="lowerLetter"/>
      <w:start w:val="5"/>
    </w:lvl>
  </w:abstractNum>
  <w:abstractNum w:abstractNumId="125">
    <w:nsid w:val="754342"/>
    <w:multiLevelType w:val="hybridMultilevel"/>
    <w:lvl w:ilvl="0">
      <w:lvlJc w:val="left"/>
      <w:lvlText w:val="(%1)"/>
      <w:numFmt w:val="lowerLetter"/>
      <w:start w:val="35"/>
    </w:lvl>
    <w:lvl w:ilvl="1">
      <w:lvlJc w:val="left"/>
      <w:lvlText w:val="(%2)"/>
      <w:numFmt w:val="lowerLetter"/>
      <w:start w:val="7"/>
    </w:lvl>
  </w:abstractNum>
  <w:abstractNum w:abstractNumId="126">
    <w:nsid w:val="69E7F3E5"/>
    <w:multiLevelType w:val="hybridMultilevel"/>
    <w:lvl w:ilvl="0">
      <w:lvlJc w:val="left"/>
      <w:lvlText w:val="%1."/>
      <w:numFmt w:val="decimal"/>
      <w:start w:val="4"/>
    </w:lvl>
    <w:lvl w:ilvl="1">
      <w:lvlJc w:val="left"/>
      <w:lvlText w:val="(%2)"/>
      <w:numFmt w:val="lowerLetter"/>
      <w:start w:val="1"/>
    </w:lvl>
  </w:abstractNum>
  <w:abstractNum w:abstractNumId="127">
    <w:nsid w:val="2A6DE806"/>
    <w:multiLevelType w:val="hybridMultilevel"/>
    <w:lvl w:ilvl="0">
      <w:lvlJc w:val="left"/>
      <w:lvlText w:val="%1."/>
      <w:numFmt w:val="decimal"/>
      <w:start w:val="5"/>
    </w:lvl>
    <w:lvl w:ilvl="1">
      <w:lvlJc w:val="left"/>
      <w:lvlText w:val="(%2)"/>
      <w:numFmt w:val="lowerLetter"/>
      <w:start w:val="1"/>
    </w:lvl>
  </w:abstractNum>
  <w:abstractNum w:abstractNumId="128">
    <w:nsid w:val="1816F8C4"/>
    <w:multiLevelType w:val="hybridMultilevel"/>
    <w:lvl w:ilvl="0">
      <w:lvlJc w:val="left"/>
      <w:lvlText w:val="(%1)"/>
      <w:numFmt w:val="lowerLetter"/>
      <w:start w:val="3"/>
    </w:lvl>
    <w:lvl w:ilvl="1">
      <w:lvlJc w:val="left"/>
      <w:lvlText w:val="(%2)"/>
      <w:numFmt w:val="lowerRoman"/>
      <w:start w:val="1"/>
    </w:lvl>
  </w:abstractNum>
  <w:abstractNum w:abstractNumId="129">
    <w:nsid w:val="37DF2233"/>
    <w:multiLevelType w:val="hybridMultilevel"/>
    <w:lvl w:ilvl="0">
      <w:lvlJc w:val="left"/>
      <w:lvlText w:val="(%1)"/>
      <w:numFmt w:val="lowerLetter"/>
      <w:start w:val="4"/>
    </w:lvl>
  </w:abstractNum>
  <w:abstractNum w:abstractNumId="130">
    <w:nsid w:val="7AB49DAF"/>
    <w:multiLevelType w:val="hybridMultilevel"/>
    <w:lvl w:ilvl="0">
      <w:lvlJc w:val="left"/>
      <w:lvlText w:val="%1."/>
      <w:numFmt w:val="decimal"/>
      <w:start w:val="6"/>
    </w:lvl>
    <w:lvl w:ilvl="1">
      <w:lvlJc w:val="left"/>
      <w:lvlText w:val="(%2)"/>
      <w:numFmt w:val="lowerLetter"/>
      <w:start w:val="1"/>
    </w:lvl>
  </w:abstractNum>
  <w:abstractNum w:abstractNumId="131">
    <w:nsid w:val="759F82CD"/>
    <w:multiLevelType w:val="hybridMultilevel"/>
    <w:lvl w:ilvl="0">
      <w:lvlJc w:val="left"/>
      <w:lvlText w:val="%1."/>
      <w:numFmt w:val="decimal"/>
      <w:start w:val="9"/>
    </w:lvl>
    <w:lvl w:ilvl="1">
      <w:lvlJc w:val="left"/>
      <w:lvlText w:val="(%2)"/>
      <w:numFmt w:val="lowerLetter"/>
      <w:start w:val="1"/>
    </w:lvl>
  </w:abstractNum>
  <w:abstractNum w:abstractNumId="132">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3">
    <w:nsid w:val="597B4D84"/>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34">
    <w:nsid w:val="F819E7F"/>
    <w:multiLevelType w:val="hybridMultilevel"/>
    <w:lvl w:ilvl="0">
      <w:lvlJc w:val="left"/>
      <w:lvlText w:val="(%1)"/>
      <w:numFmt w:val="lowerLetter"/>
      <w:start w:val="5"/>
    </w:lvl>
  </w:abstractNum>
  <w:abstractNum w:abstractNumId="135">
    <w:nsid w:val="57C7D42D"/>
    <w:multiLevelType w:val="hybridMultilevel"/>
    <w:lvl w:ilvl="0">
      <w:lvlJc w:val="left"/>
      <w:lvlText w:val="%1."/>
      <w:numFmt w:val="decimal"/>
      <w:start w:val="1"/>
    </w:lvl>
  </w:abstractNum>
  <w:abstractNum w:abstractNumId="136">
    <w:nsid w:val="312167AD"/>
    <w:multiLevelType w:val="hybridMultilevel"/>
    <w:lvl w:ilvl="0">
      <w:lvlJc w:val="left"/>
      <w:lvlText w:val="%1."/>
      <w:numFmt w:val="decimal"/>
      <w:start w:val="1"/>
    </w:lvl>
  </w:abstractNum>
  <w:abstractNum w:abstractNumId="137">
    <w:nsid w:val="631B64D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138">
    <w:nsid w:val="78B5E776"/>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39">
    <w:nsid w:val="75486E47"/>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40">
    <w:nsid w:val="6E534CDE"/>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141">
    <w:nsid w:val="1A0DDE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42">
    <w:nsid w:val="65968C1C"/>
    <w:multiLevelType w:val="hybridMultilevel"/>
    <w:lvl w:ilvl="0">
      <w:lvlJc w:val="left"/>
      <w:lvlText w:val="(%1)"/>
      <w:numFmt w:val="decimal"/>
      <w:start w:val="12"/>
    </w:lvl>
    <w:lvl w:ilvl="1">
      <w:lvlJc w:val="left"/>
      <w:lvlText w:val="(%2)"/>
      <w:numFmt w:val="lowerLetter"/>
      <w:start w:val="3"/>
    </w:lvl>
    <w:lvl w:ilvl="2">
      <w:lvlJc w:val="left"/>
      <w:lvlText w:val="%3"/>
      <w:numFmt w:val="lowerLetter"/>
      <w:start w:val="1"/>
    </w:lvl>
  </w:abstractNum>
  <w:abstractNum w:abstractNumId="143">
    <w:nsid w:val="46263DEC"/>
    <w:multiLevelType w:val="hybridMultilevel"/>
    <w:lvl w:ilvl="0">
      <w:lvlJc w:val="left"/>
      <w:lvlText w:val="%1"/>
      <w:numFmt w:val="lowerLetter"/>
      <w:start w:val="1"/>
    </w:lvl>
    <w:lvl w:ilvl="1">
      <w:lvlJc w:val="left"/>
      <w:lvlText w:val="(%2)"/>
      <w:numFmt w:val="lowerLetter"/>
      <w:start w:val="5"/>
    </w:lvl>
  </w:abstractNum>
  <w:abstractNum w:abstractNumId="144">
    <w:nsid w:val="260D8C4A"/>
    <w:multiLevelType w:val="hybridMultilevel"/>
    <w:lvl w:ilvl="0">
      <w:lvlJc w:val="left"/>
      <w:lvlText w:val="(%1)"/>
      <w:numFmt w:val="lowerLetter"/>
      <w:start w:val="35"/>
    </w:lvl>
    <w:lvl w:ilvl="1">
      <w:lvlJc w:val="left"/>
      <w:lvlText w:val="(%2)"/>
      <w:numFmt w:val="lowerLetter"/>
      <w:start w:val="7"/>
    </w:lvl>
  </w:abstractNum>
  <w:abstractNum w:abstractNumId="145">
    <w:nsid w:val="73D4D3C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46">
    <w:nsid w:val="746F2E30"/>
    <w:multiLevelType w:val="hybridMultilevel"/>
    <w:lvl w:ilvl="0">
      <w:lvlJc w:val="left"/>
      <w:lvlText w:val="%1."/>
      <w:numFmt w:val="decimal"/>
      <w:start w:val="5"/>
    </w:lvl>
    <w:lvl w:ilvl="1">
      <w:lvlJc w:val="left"/>
      <w:lvlText w:val="(%2)"/>
      <w:numFmt w:val="lowerLetter"/>
      <w:start w:val="1"/>
    </w:lvl>
  </w:abstractNum>
  <w:abstractNum w:abstractNumId="147">
    <w:nsid w:val="6FDE8AF6"/>
    <w:multiLevelType w:val="hybridMultilevel"/>
    <w:lvl w:ilvl="0">
      <w:lvlJc w:val="left"/>
      <w:lvlText w:val="(%1)"/>
      <w:numFmt w:val="lowerLetter"/>
      <w:start w:val="2"/>
    </w:lvl>
    <w:lvl w:ilvl="1">
      <w:lvlJc w:val="left"/>
      <w:lvlText w:val="(%2)"/>
      <w:numFmt w:val="lowerRoman"/>
      <w:start w:val="1"/>
    </w:lvl>
  </w:abstractNum>
  <w:abstractNum w:abstractNumId="148">
    <w:nsid w:val="3FC32E20"/>
    <w:multiLevelType w:val="hybridMultilevel"/>
    <w:lvl w:ilvl="0">
      <w:lvlJc w:val="left"/>
      <w:lvlText w:val="(%1)"/>
      <w:numFmt w:val="lowerLetter"/>
      <w:start w:val="4"/>
    </w:lvl>
  </w:abstractNum>
  <w:abstractNum w:abstractNumId="149">
    <w:nsid w:val="49C0E823"/>
    <w:multiLevelType w:val="hybridMultilevel"/>
    <w:lvl w:ilvl="0">
      <w:lvlJc w:val="left"/>
      <w:lvlText w:val="%1."/>
      <w:numFmt w:val="decimal"/>
      <w:start w:val="6"/>
    </w:lvl>
    <w:lvl w:ilvl="1">
      <w:lvlJc w:val="left"/>
      <w:lvlText w:val="(%2)"/>
      <w:numFmt w:val="lowerLetter"/>
      <w:start w:val="1"/>
    </w:lvl>
  </w:abstractNum>
  <w:abstractNum w:abstractNumId="150">
    <w:nsid w:val="14D53685"/>
    <w:multiLevelType w:val="hybridMultilevel"/>
    <w:lvl w:ilvl="0">
      <w:lvlJc w:val="left"/>
      <w:lvlText w:val="%1."/>
      <w:numFmt w:val="decimal"/>
      <w:start w:val="8"/>
    </w:lvl>
    <w:lvl w:ilvl="1">
      <w:lvlJc w:val="left"/>
      <w:lvlText w:val="(%2)"/>
      <w:numFmt w:val="lowerLetter"/>
      <w:start w:val="1"/>
    </w:lvl>
  </w:abstractNum>
  <w:abstractNum w:abstractNumId="151">
    <w:nsid w:val="230F856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2">
    <w:nsid w:val="6EAA85F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53">
    <w:nsid w:val="3F06ECB2"/>
    <w:multiLevelType w:val="hybridMultilevel"/>
    <w:lvl w:ilvl="0">
      <w:lvlJc w:val="left"/>
      <w:lvlText w:val="(%1)"/>
      <w:numFmt w:val="lowerLetter"/>
      <w:start w:val="5"/>
    </w:lvl>
  </w:abstractNum>
  <w:abstractNum w:abstractNumId="154">
    <w:nsid w:val="3B594807"/>
    <w:multiLevelType w:val="hybridMultilevel"/>
    <w:lvl w:ilvl="0">
      <w:lvlJc w:val="left"/>
      <w:lvlText w:val="%1."/>
      <w:numFmt w:val="decimal"/>
      <w:start w:val="1"/>
    </w:lvl>
    <w:lvl w:ilvl="1">
      <w:lvlJc w:val="left"/>
      <w:lvlText w:val="%2."/>
      <w:numFmt w:val="lowerLetter"/>
      <w:start w:val="1"/>
    </w:lvl>
  </w:abstractNum>
  <w:abstractNum w:abstractNumId="155">
    <w:nsid w:val="6CAA230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2019-12-28T09:08:18Z</dcterms:created>
  <dcterms:modified xsi:type="dcterms:W3CDTF">2019-12-28T09:08:18Z</dcterms:modified>
</cp:coreProperties>
</file>