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398145</wp:posOffset>
            </wp:positionV>
            <wp:extent cx="70980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312420</wp:posOffset>
            </wp:positionV>
            <wp:extent cx="7098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157"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FORM 10-Q</w:t>
      </w:r>
    </w:p>
    <w:p>
      <w:pPr>
        <w:spacing w:after="0" w:line="25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294" w:lineRule="exact"/>
        <w:rPr>
          <w:sz w:val="24"/>
          <w:szCs w:val="24"/>
          <w:color w:val="auto"/>
        </w:rPr>
      </w:pPr>
    </w:p>
    <w:p>
      <w:pPr>
        <w:ind w:left="3820" w:right="1680" w:hanging="3785"/>
        <w:spacing w:after="0" w:line="429" w:lineRule="auto"/>
        <w:tabs>
          <w:tab w:leader="none" w:pos="381" w:val="left"/>
        </w:tabs>
        <w:numPr>
          <w:ilvl w:val="0"/>
          <w:numId w:val="1"/>
        </w:numPr>
        <w:rPr>
          <w:rFonts w:ascii="MS PGothic" w:cs="MS PGothic" w:eastAsia="MS PGothic" w:hAnsi="MS PGothic"/>
          <w:sz w:val="25"/>
          <w:szCs w:val="25"/>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-538480</wp:posOffset>
            </wp:positionV>
            <wp:extent cx="121285" cy="123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1285" cy="1231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74"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25"/>
          <w:szCs w:val="25"/>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2760" w:type="dxa"/>
            <w:vAlign w:val="bottom"/>
          </w:tcPr>
          <w:p>
            <w:pPr>
              <w:ind w:left="400"/>
              <w:spacing w:after="0"/>
              <w:rPr>
                <w:sz w:val="20"/>
                <w:szCs w:val="20"/>
                <w:color w:val="auto"/>
              </w:rPr>
            </w:pPr>
            <w:r>
              <w:rPr>
                <w:rFonts w:ascii="Arial" w:cs="Arial" w:eastAsia="Arial" w:hAnsi="Arial"/>
                <w:sz w:val="18"/>
                <w:szCs w:val="18"/>
                <w:b w:val="1"/>
                <w:bCs w:val="1"/>
                <w:color w:val="auto"/>
                <w:w w:val="92"/>
              </w:rPr>
              <w:t>For the transition period from</w:t>
            </w:r>
          </w:p>
        </w:tc>
        <w:tc>
          <w:tcPr>
            <w:tcW w:w="5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8"/>
                <w:szCs w:val="18"/>
                <w:b w:val="1"/>
                <w:bCs w:val="1"/>
                <w:color w:val="auto"/>
                <w:w w:val="93"/>
              </w:rPr>
              <w:t>to</w:t>
            </w:r>
          </w:p>
        </w:tc>
        <w:tc>
          <w:tcPr>
            <w:tcW w:w="540" w:type="dxa"/>
            <w:vAlign w:val="bottom"/>
            <w:tcBorders>
              <w:bottom w:val="single" w:sz="8" w:color="auto"/>
            </w:tcBorders>
          </w:tcPr>
          <w:p>
            <w:pPr>
              <w:spacing w:after="0"/>
              <w:rPr>
                <w:sz w:val="17"/>
                <w:szCs w:val="17"/>
                <w:color w:val="auto"/>
              </w:rPr>
            </w:pPr>
          </w:p>
        </w:tc>
        <w:tc>
          <w:tcPr>
            <w:tcW w:w="3300" w:type="dxa"/>
            <w:vAlign w:val="bottom"/>
          </w:tcPr>
          <w:p>
            <w:pPr>
              <w:spacing w:after="0"/>
              <w:rPr>
                <w:sz w:val="17"/>
                <w:szCs w:val="17"/>
                <w:color w:val="auto"/>
              </w:rPr>
            </w:pPr>
          </w:p>
        </w:tc>
      </w:tr>
      <w:tr>
        <w:trPr>
          <w:trHeight w:val="384"/>
        </w:trPr>
        <w:tc>
          <w:tcPr>
            <w:tcW w:w="3400" w:type="dxa"/>
            <w:vAlign w:val="bottom"/>
          </w:tcPr>
          <w:p>
            <w:pPr>
              <w:spacing w:after="0"/>
              <w:rPr>
                <w:sz w:val="24"/>
                <w:szCs w:val="24"/>
                <w:color w:val="auto"/>
              </w:rPr>
            </w:pPr>
          </w:p>
        </w:tc>
        <w:tc>
          <w:tcPr>
            <w:tcW w:w="7380" w:type="dxa"/>
            <w:vAlign w:val="bottom"/>
            <w:gridSpan w:val="6"/>
          </w:tcPr>
          <w:p>
            <w:pPr>
              <w:jc w:val="center"/>
              <w:ind w:right="2857"/>
              <w:spacing w:after="0"/>
              <w:rPr>
                <w:sz w:val="20"/>
                <w:szCs w:val="20"/>
                <w:color w:val="auto"/>
              </w:rPr>
            </w:pPr>
            <w:r>
              <w:rPr>
                <w:rFonts w:ascii="Arial" w:cs="Arial" w:eastAsia="Arial" w:hAnsi="Arial"/>
                <w:sz w:val="18"/>
                <w:szCs w:val="18"/>
                <w:b w:val="1"/>
                <w:bCs w:val="1"/>
                <w:color w:val="auto"/>
                <w:w w:val="89"/>
              </w:rPr>
              <w:t>Commission file number: 001-34511</w:t>
            </w:r>
          </w:p>
        </w:tc>
      </w:tr>
      <w:tr>
        <w:trPr>
          <w:trHeight w:val="207"/>
        </w:trPr>
        <w:tc>
          <w:tcPr>
            <w:tcW w:w="3400" w:type="dxa"/>
            <w:vAlign w:val="bottom"/>
          </w:tcPr>
          <w:p>
            <w:pPr>
              <w:spacing w:after="0"/>
              <w:rPr>
                <w:sz w:val="18"/>
                <w:szCs w:val="18"/>
                <w:color w:val="auto"/>
              </w:rPr>
            </w:pPr>
          </w:p>
        </w:tc>
        <w:tc>
          <w:tcPr>
            <w:tcW w:w="4080" w:type="dxa"/>
            <w:vAlign w:val="bottom"/>
            <w:gridSpan w:val="5"/>
          </w:tcPr>
          <w:p>
            <w:pPr>
              <w:jc w:val="center"/>
              <w:ind w:left="291"/>
              <w:spacing w:after="0"/>
              <w:rPr>
                <w:sz w:val="20"/>
                <w:szCs w:val="20"/>
                <w:color w:val="auto"/>
              </w:rPr>
            </w:pPr>
            <w:r>
              <w:rPr>
                <w:rFonts w:ascii="Arial" w:cs="Arial" w:eastAsia="Arial" w:hAnsi="Arial"/>
                <w:sz w:val="18"/>
                <w:szCs w:val="18"/>
                <w:color w:val="auto"/>
                <w:w w:val="89"/>
              </w:rPr>
              <w:t>______________________________________</w:t>
            </w:r>
          </w:p>
        </w:tc>
        <w:tc>
          <w:tcPr>
            <w:tcW w:w="3300" w:type="dxa"/>
            <w:vAlign w:val="bottom"/>
          </w:tcPr>
          <w:p>
            <w:pPr>
              <w:spacing w:after="0"/>
              <w:rPr>
                <w:sz w:val="18"/>
                <w:szCs w:val="18"/>
                <w:color w:val="auto"/>
              </w:rPr>
            </w:pPr>
          </w:p>
        </w:tc>
      </w:tr>
      <w:tr>
        <w:trPr>
          <w:trHeight w:val="328"/>
        </w:trPr>
        <w:tc>
          <w:tcPr>
            <w:tcW w:w="3400" w:type="dxa"/>
            <w:vAlign w:val="bottom"/>
          </w:tcPr>
          <w:p>
            <w:pPr>
              <w:spacing w:after="0"/>
              <w:rPr>
                <w:sz w:val="24"/>
                <w:szCs w:val="24"/>
                <w:color w:val="auto"/>
              </w:rPr>
            </w:pPr>
          </w:p>
        </w:tc>
        <w:tc>
          <w:tcPr>
            <w:tcW w:w="3340" w:type="dxa"/>
            <w:vAlign w:val="bottom"/>
            <w:gridSpan w:val="3"/>
          </w:tcPr>
          <w:p>
            <w:pPr>
              <w:jc w:val="center"/>
              <w:ind w:left="1071"/>
              <w:spacing w:after="0"/>
              <w:rPr>
                <w:sz w:val="20"/>
                <w:szCs w:val="20"/>
                <w:color w:val="auto"/>
              </w:rPr>
            </w:pPr>
            <w:r>
              <w:rPr>
                <w:rFonts w:ascii="Arial" w:cs="Arial" w:eastAsia="Arial" w:hAnsi="Arial"/>
                <w:sz w:val="25"/>
                <w:szCs w:val="25"/>
                <w:b w:val="1"/>
                <w:bCs w:val="1"/>
                <w:color w:val="auto"/>
              </w:rPr>
              <w:t>FORTINET, INC.</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198"/>
        </w:trPr>
        <w:tc>
          <w:tcPr>
            <w:tcW w:w="3400" w:type="dxa"/>
            <w:vAlign w:val="bottom"/>
          </w:tcPr>
          <w:p>
            <w:pPr>
              <w:spacing w:after="0"/>
              <w:rPr>
                <w:sz w:val="17"/>
                <w:szCs w:val="17"/>
                <w:color w:val="auto"/>
              </w:rPr>
            </w:pPr>
          </w:p>
        </w:tc>
        <w:tc>
          <w:tcPr>
            <w:tcW w:w="7380" w:type="dxa"/>
            <w:vAlign w:val="bottom"/>
            <w:gridSpan w:val="6"/>
          </w:tcPr>
          <w:p>
            <w:pPr>
              <w:jc w:val="center"/>
              <w:ind w:right="2837"/>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206"/>
        </w:trPr>
        <w:tc>
          <w:tcPr>
            <w:tcW w:w="3400" w:type="dxa"/>
            <w:vAlign w:val="bottom"/>
          </w:tcPr>
          <w:p>
            <w:pPr>
              <w:spacing w:after="0"/>
              <w:rPr>
                <w:sz w:val="17"/>
                <w:szCs w:val="17"/>
                <w:color w:val="auto"/>
              </w:rPr>
            </w:pPr>
          </w:p>
        </w:tc>
        <w:tc>
          <w:tcPr>
            <w:tcW w:w="4080" w:type="dxa"/>
            <w:vAlign w:val="bottom"/>
            <w:gridSpan w:val="5"/>
          </w:tcPr>
          <w:p>
            <w:pPr>
              <w:jc w:val="center"/>
              <w:ind w:left="271"/>
              <w:spacing w:after="0"/>
              <w:rPr>
                <w:sz w:val="20"/>
                <w:szCs w:val="20"/>
                <w:color w:val="auto"/>
              </w:rPr>
            </w:pPr>
            <w:r>
              <w:rPr>
                <w:rFonts w:ascii="Arial" w:cs="Arial" w:eastAsia="Arial" w:hAnsi="Arial"/>
                <w:sz w:val="16"/>
                <w:szCs w:val="16"/>
                <w:color w:val="auto"/>
                <w:w w:val="91"/>
              </w:rPr>
              <w:t>______________________________________</w:t>
            </w:r>
          </w:p>
        </w:tc>
        <w:tc>
          <w:tcPr>
            <w:tcW w:w="3300" w:type="dxa"/>
            <w:vAlign w:val="bottom"/>
          </w:tcPr>
          <w:p>
            <w:pPr>
              <w:spacing w:after="0"/>
              <w:rPr>
                <w:sz w:val="17"/>
                <w:szCs w:val="17"/>
                <w:color w:val="auto"/>
              </w:rPr>
            </w:pPr>
          </w:p>
        </w:tc>
      </w:tr>
      <w:tr>
        <w:trPr>
          <w:trHeight w:val="802"/>
        </w:trPr>
        <w:tc>
          <w:tcPr>
            <w:tcW w:w="3400" w:type="dxa"/>
            <w:vAlign w:val="bottom"/>
          </w:tcPr>
          <w:p>
            <w:pPr>
              <w:jc w:val="center"/>
              <w:ind w:left="755"/>
              <w:spacing w:after="0"/>
              <w:rPr>
                <w:sz w:val="20"/>
                <w:szCs w:val="20"/>
                <w:color w:val="auto"/>
              </w:rPr>
            </w:pPr>
            <w:r>
              <w:rPr>
                <w:rFonts w:ascii="Arial" w:cs="Arial" w:eastAsia="Arial" w:hAnsi="Arial"/>
                <w:sz w:val="18"/>
                <w:szCs w:val="18"/>
                <w:b w:val="1"/>
                <w:bCs w:val="1"/>
                <w:color w:val="auto"/>
                <w:w w:val="91"/>
              </w:rPr>
              <w:t>Delaware</w:t>
            </w:r>
          </w:p>
        </w:tc>
        <w:tc>
          <w:tcPr>
            <w:tcW w:w="2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4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89"/>
              </w:rPr>
              <w:t>77-0560389</w:t>
            </w:r>
          </w:p>
        </w:tc>
      </w:tr>
      <w:tr>
        <w:trPr>
          <w:trHeight w:val="243"/>
        </w:trPr>
        <w:tc>
          <w:tcPr>
            <w:tcW w:w="3400" w:type="dxa"/>
            <w:vAlign w:val="bottom"/>
          </w:tcPr>
          <w:p>
            <w:pPr>
              <w:jc w:val="center"/>
              <w:ind w:left="755"/>
              <w:spacing w:after="0"/>
              <w:rPr>
                <w:sz w:val="20"/>
                <w:szCs w:val="20"/>
                <w:color w:val="auto"/>
              </w:rPr>
            </w:pPr>
            <w:r>
              <w:rPr>
                <w:rFonts w:ascii="Arial" w:cs="Arial" w:eastAsia="Arial" w:hAnsi="Arial"/>
                <w:sz w:val="16"/>
                <w:szCs w:val="16"/>
                <w:b w:val="1"/>
                <w:bCs w:val="1"/>
                <w:color w:val="auto"/>
                <w:w w:val="92"/>
              </w:rPr>
              <w:t>(State or other jurisdiction of</w:t>
            </w:r>
          </w:p>
        </w:tc>
        <w:tc>
          <w:tcPr>
            <w:tcW w:w="2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300" w:type="dxa"/>
            <w:vAlign w:val="bottom"/>
          </w:tcPr>
          <w:p>
            <w:pPr>
              <w:jc w:val="center"/>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3400" w:type="dxa"/>
            <w:vAlign w:val="bottom"/>
          </w:tcPr>
          <w:p>
            <w:pPr>
              <w:jc w:val="center"/>
              <w:ind w:left="755"/>
              <w:spacing w:after="0"/>
              <w:rPr>
                <w:sz w:val="20"/>
                <w:szCs w:val="20"/>
                <w:color w:val="auto"/>
              </w:rPr>
            </w:pPr>
            <w:r>
              <w:rPr>
                <w:rFonts w:ascii="Arial" w:cs="Arial" w:eastAsia="Arial" w:hAnsi="Arial"/>
                <w:sz w:val="16"/>
                <w:szCs w:val="16"/>
                <w:b w:val="1"/>
                <w:bCs w:val="1"/>
                <w:color w:val="auto"/>
                <w:w w:val="92"/>
              </w:rPr>
              <w:t>incorporation or organization)</w:t>
            </w:r>
          </w:p>
        </w:tc>
        <w:tc>
          <w:tcPr>
            <w:tcW w:w="2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6"/>
                <w:szCs w:val="16"/>
                <w:b w:val="1"/>
                <w:bCs w:val="1"/>
                <w:color w:val="auto"/>
                <w:w w:val="93"/>
              </w:rPr>
              <w:t>Identification No.)</w:t>
            </w:r>
          </w:p>
        </w:tc>
      </w:tr>
      <w:tr>
        <w:trPr>
          <w:trHeight w:val="568"/>
        </w:trPr>
        <w:tc>
          <w:tcPr>
            <w:tcW w:w="3400" w:type="dxa"/>
            <w:vAlign w:val="bottom"/>
          </w:tcPr>
          <w:p>
            <w:pPr>
              <w:spacing w:after="0"/>
              <w:rPr>
                <w:sz w:val="24"/>
                <w:szCs w:val="24"/>
                <w:color w:val="auto"/>
              </w:rPr>
            </w:pPr>
          </w:p>
        </w:tc>
        <w:tc>
          <w:tcPr>
            <w:tcW w:w="3340" w:type="dxa"/>
            <w:vAlign w:val="bottom"/>
            <w:gridSpan w:val="3"/>
          </w:tcPr>
          <w:p>
            <w:pPr>
              <w:jc w:val="center"/>
              <w:ind w:left="1031"/>
              <w:spacing w:after="0"/>
              <w:rPr>
                <w:sz w:val="20"/>
                <w:szCs w:val="20"/>
                <w:color w:val="auto"/>
              </w:rPr>
            </w:pPr>
            <w:r>
              <w:rPr>
                <w:rFonts w:ascii="Arial" w:cs="Arial" w:eastAsia="Arial" w:hAnsi="Arial"/>
                <w:sz w:val="18"/>
                <w:szCs w:val="18"/>
                <w:b w:val="1"/>
                <w:bCs w:val="1"/>
                <w:color w:val="auto"/>
                <w:w w:val="93"/>
              </w:rPr>
              <w:t>899 Kifer Road</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180"/>
        </w:trPr>
        <w:tc>
          <w:tcPr>
            <w:tcW w:w="3400" w:type="dxa"/>
            <w:vAlign w:val="bottom"/>
          </w:tcPr>
          <w:p>
            <w:pPr>
              <w:spacing w:after="0"/>
              <w:rPr>
                <w:sz w:val="15"/>
                <w:szCs w:val="15"/>
                <w:color w:val="auto"/>
              </w:rPr>
            </w:pPr>
          </w:p>
        </w:tc>
        <w:tc>
          <w:tcPr>
            <w:tcW w:w="3340" w:type="dxa"/>
            <w:vAlign w:val="bottom"/>
            <w:gridSpan w:val="3"/>
          </w:tcPr>
          <w:p>
            <w:pPr>
              <w:jc w:val="center"/>
              <w:ind w:left="1031"/>
              <w:spacing w:after="0" w:line="181" w:lineRule="exact"/>
              <w:rPr>
                <w:sz w:val="20"/>
                <w:szCs w:val="20"/>
                <w:color w:val="auto"/>
              </w:rPr>
            </w:pPr>
            <w:r>
              <w:rPr>
                <w:rFonts w:ascii="Arial" w:cs="Arial" w:eastAsia="Arial" w:hAnsi="Arial"/>
                <w:sz w:val="18"/>
                <w:szCs w:val="18"/>
                <w:b w:val="1"/>
                <w:bCs w:val="1"/>
                <w:color w:val="auto"/>
                <w:w w:val="91"/>
              </w:rPr>
              <w:t>Sunnyvale, California 94086</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210"/>
        </w:trPr>
        <w:tc>
          <w:tcPr>
            <w:tcW w:w="3400" w:type="dxa"/>
            <w:vAlign w:val="bottom"/>
          </w:tcPr>
          <w:p>
            <w:pPr>
              <w:spacing w:after="0"/>
              <w:rPr>
                <w:sz w:val="18"/>
                <w:szCs w:val="18"/>
                <w:color w:val="auto"/>
              </w:rPr>
            </w:pPr>
          </w:p>
        </w:tc>
        <w:tc>
          <w:tcPr>
            <w:tcW w:w="7380" w:type="dxa"/>
            <w:vAlign w:val="bottom"/>
            <w:gridSpan w:val="6"/>
          </w:tcPr>
          <w:p>
            <w:pPr>
              <w:jc w:val="center"/>
              <w:ind w:right="2857"/>
              <w:spacing w:after="0"/>
              <w:rPr>
                <w:sz w:val="20"/>
                <w:szCs w:val="20"/>
                <w:color w:val="auto"/>
              </w:rPr>
            </w:pPr>
            <w:r>
              <w:rPr>
                <w:rFonts w:ascii="Arial" w:cs="Arial" w:eastAsia="Arial" w:hAnsi="Arial"/>
                <w:sz w:val="16"/>
                <w:szCs w:val="16"/>
                <w:b w:val="1"/>
                <w:bCs w:val="1"/>
                <w:color w:val="auto"/>
                <w:w w:val="89"/>
              </w:rPr>
              <w:t>(Address of principal executive offices, including zip code)</w:t>
            </w:r>
          </w:p>
        </w:tc>
      </w:tr>
      <w:tr>
        <w:trPr>
          <w:trHeight w:val="356"/>
        </w:trPr>
        <w:tc>
          <w:tcPr>
            <w:tcW w:w="3400" w:type="dxa"/>
            <w:vAlign w:val="bottom"/>
          </w:tcPr>
          <w:p>
            <w:pPr>
              <w:spacing w:after="0"/>
              <w:rPr>
                <w:sz w:val="24"/>
                <w:szCs w:val="24"/>
                <w:color w:val="auto"/>
              </w:rPr>
            </w:pPr>
          </w:p>
        </w:tc>
        <w:tc>
          <w:tcPr>
            <w:tcW w:w="3300" w:type="dxa"/>
            <w:vAlign w:val="bottom"/>
            <w:gridSpan w:val="2"/>
          </w:tcPr>
          <w:p>
            <w:pPr>
              <w:jc w:val="center"/>
              <w:ind w:left="1051"/>
              <w:spacing w:after="0"/>
              <w:rPr>
                <w:sz w:val="20"/>
                <w:szCs w:val="20"/>
                <w:color w:val="auto"/>
              </w:rPr>
            </w:pPr>
            <w:r>
              <w:rPr>
                <w:rFonts w:ascii="Arial" w:cs="Arial" w:eastAsia="Arial" w:hAnsi="Arial"/>
                <w:sz w:val="18"/>
                <w:szCs w:val="18"/>
                <w:b w:val="1"/>
                <w:bCs w:val="1"/>
                <w:color w:val="auto"/>
                <w:w w:val="90"/>
              </w:rPr>
              <w:t>(408) 235-7700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10"/>
        </w:trPr>
        <w:tc>
          <w:tcPr>
            <w:tcW w:w="3400" w:type="dxa"/>
            <w:vAlign w:val="bottom"/>
          </w:tcPr>
          <w:p>
            <w:pPr>
              <w:spacing w:after="0"/>
              <w:rPr>
                <w:sz w:val="18"/>
                <w:szCs w:val="18"/>
                <w:color w:val="auto"/>
              </w:rPr>
            </w:pPr>
          </w:p>
        </w:tc>
        <w:tc>
          <w:tcPr>
            <w:tcW w:w="7380" w:type="dxa"/>
            <w:vAlign w:val="bottom"/>
            <w:gridSpan w:val="6"/>
          </w:tcPr>
          <w:p>
            <w:pPr>
              <w:jc w:val="center"/>
              <w:ind w:right="2837"/>
              <w:spacing w:after="0"/>
              <w:rPr>
                <w:sz w:val="20"/>
                <w:szCs w:val="20"/>
                <w:color w:val="auto"/>
              </w:rPr>
            </w:pPr>
            <w:r>
              <w:rPr>
                <w:rFonts w:ascii="Arial" w:cs="Arial" w:eastAsia="Arial" w:hAnsi="Arial"/>
                <w:sz w:val="16"/>
                <w:szCs w:val="16"/>
                <w:b w:val="1"/>
                <w:bCs w:val="1"/>
                <w:color w:val="auto"/>
                <w:w w:val="90"/>
              </w:rPr>
              <w:t>(Registrant’s telephone number, including area code)</w:t>
            </w:r>
          </w:p>
        </w:tc>
      </w:tr>
      <w:tr>
        <w:trPr>
          <w:trHeight w:val="317"/>
        </w:trPr>
        <w:tc>
          <w:tcPr>
            <w:tcW w:w="674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Exchange Act:</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486"/>
        </w:trPr>
        <w:tc>
          <w:tcPr>
            <w:tcW w:w="3400" w:type="dxa"/>
            <w:vAlign w:val="bottom"/>
          </w:tcPr>
          <w:p>
            <w:pPr>
              <w:jc w:val="center"/>
              <w:ind w:left="135"/>
              <w:spacing w:after="0"/>
              <w:rPr>
                <w:sz w:val="20"/>
                <w:szCs w:val="20"/>
                <w:color w:val="auto"/>
              </w:rPr>
            </w:pPr>
            <w:r>
              <w:rPr>
                <w:rFonts w:ascii="Arial" w:cs="Arial" w:eastAsia="Arial" w:hAnsi="Arial"/>
                <w:sz w:val="18"/>
                <w:szCs w:val="18"/>
                <w:b w:val="1"/>
                <w:bCs w:val="1"/>
                <w:color w:val="auto"/>
                <w:w w:val="90"/>
              </w:rPr>
              <w:t>Common Stock, $0.001 Par Value</w:t>
            </w:r>
          </w:p>
        </w:tc>
        <w:tc>
          <w:tcPr>
            <w:tcW w:w="3340" w:type="dxa"/>
            <w:vAlign w:val="bottom"/>
            <w:gridSpan w:val="3"/>
          </w:tcPr>
          <w:p>
            <w:pPr>
              <w:jc w:val="center"/>
              <w:ind w:left="931"/>
              <w:spacing w:after="0"/>
              <w:rPr>
                <w:sz w:val="20"/>
                <w:szCs w:val="20"/>
                <w:color w:val="auto"/>
              </w:rPr>
            </w:pPr>
            <w:r>
              <w:rPr>
                <w:rFonts w:ascii="Arial" w:cs="Arial" w:eastAsia="Arial" w:hAnsi="Arial"/>
                <w:sz w:val="16"/>
                <w:szCs w:val="16"/>
                <w:b w:val="1"/>
                <w:bCs w:val="1"/>
                <w:color w:val="auto"/>
              </w:rPr>
              <w:t>FTNT</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00" w:type="dxa"/>
            <w:vAlign w:val="bottom"/>
          </w:tcPr>
          <w:p>
            <w:pPr>
              <w:jc w:val="center"/>
              <w:ind w:left="457"/>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64"/>
        </w:trPr>
        <w:tc>
          <w:tcPr>
            <w:tcW w:w="3400" w:type="dxa"/>
            <w:vAlign w:val="bottom"/>
          </w:tcPr>
          <w:p>
            <w:pPr>
              <w:jc w:val="center"/>
              <w:ind w:left="135"/>
              <w:spacing w:after="0"/>
              <w:rPr>
                <w:sz w:val="20"/>
                <w:szCs w:val="20"/>
                <w:color w:val="auto"/>
              </w:rPr>
            </w:pPr>
            <w:r>
              <w:rPr>
                <w:rFonts w:ascii="Arial" w:cs="Arial" w:eastAsia="Arial" w:hAnsi="Arial"/>
                <w:sz w:val="16"/>
                <w:szCs w:val="16"/>
                <w:b w:val="1"/>
                <w:bCs w:val="1"/>
                <w:color w:val="auto"/>
                <w:w w:val="90"/>
              </w:rPr>
              <w:t>(Title of each class)</w:t>
            </w:r>
          </w:p>
        </w:tc>
        <w:tc>
          <w:tcPr>
            <w:tcW w:w="3340" w:type="dxa"/>
            <w:vAlign w:val="bottom"/>
            <w:gridSpan w:val="3"/>
          </w:tcPr>
          <w:p>
            <w:pPr>
              <w:jc w:val="center"/>
              <w:ind w:left="951"/>
              <w:spacing w:after="0"/>
              <w:rPr>
                <w:sz w:val="20"/>
                <w:szCs w:val="20"/>
                <w:color w:val="auto"/>
              </w:rPr>
            </w:pPr>
            <w:r>
              <w:rPr>
                <w:rFonts w:ascii="Arial" w:cs="Arial" w:eastAsia="Arial" w:hAnsi="Arial"/>
                <w:sz w:val="16"/>
                <w:szCs w:val="16"/>
                <w:b w:val="1"/>
                <w:bCs w:val="1"/>
                <w:color w:val="auto"/>
                <w:w w:val="92"/>
              </w:rPr>
              <w:t>(Trading Symbol)</w:t>
            </w: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300" w:type="dxa"/>
            <w:vAlign w:val="bottom"/>
          </w:tcPr>
          <w:p>
            <w:pPr>
              <w:jc w:val="center"/>
              <w:ind w:left="457"/>
              <w:spacing w:after="0"/>
              <w:rPr>
                <w:sz w:val="20"/>
                <w:szCs w:val="20"/>
                <w:color w:val="auto"/>
              </w:rPr>
            </w:pPr>
            <w:r>
              <w:rPr>
                <w:rFonts w:ascii="Arial" w:cs="Arial" w:eastAsia="Arial" w:hAnsi="Arial"/>
                <w:sz w:val="16"/>
                <w:szCs w:val="16"/>
                <w:b w:val="1"/>
                <w:bCs w:val="1"/>
                <w:color w:val="auto"/>
                <w:w w:val="89"/>
              </w:rPr>
              <w:t>(Name of exchange on which registered)</w:t>
            </w:r>
          </w:p>
        </w:tc>
      </w:tr>
    </w:tbl>
    <w:p>
      <w:pPr>
        <w:spacing w:after="0" w:line="262" w:lineRule="exact"/>
        <w:rPr>
          <w:sz w:val="24"/>
          <w:szCs w:val="24"/>
          <w:color w:val="auto"/>
        </w:rPr>
      </w:pPr>
    </w:p>
    <w:p>
      <w:pPr>
        <w:ind w:right="220" w:firstLine="324"/>
        <w:spacing w:after="0" w:line="26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56" w:lineRule="exact"/>
        <w:rPr>
          <w:sz w:val="24"/>
          <w:szCs w:val="24"/>
          <w:color w:val="auto"/>
        </w:rPr>
      </w:pPr>
    </w:p>
    <w:p>
      <w:pPr>
        <w:ind w:right="40" w:firstLine="270"/>
        <w:spacing w:after="0" w:line="26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29" w:lineRule="exact"/>
        <w:rPr>
          <w:sz w:val="24"/>
          <w:szCs w:val="24"/>
          <w:color w:val="auto"/>
        </w:rPr>
      </w:pPr>
    </w:p>
    <w:p>
      <w:pPr>
        <w:ind w:firstLine="27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229"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2"/>
        </w:trPr>
        <w:tc>
          <w:tcPr>
            <w:tcW w:w="2160" w:type="dxa"/>
            <w:vAlign w:val="bottom"/>
          </w:tcPr>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tc>
        <w:tc>
          <w:tcPr>
            <w:tcW w:w="33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639"/>
        </w:trPr>
        <w:tc>
          <w:tcPr>
            <w:tcW w:w="2160" w:type="dxa"/>
            <w:vAlign w:val="bottom"/>
          </w:tcPr>
          <w:p>
            <w:pPr>
              <w:ind w:left="40"/>
              <w:spacing w:after="0"/>
              <w:rPr>
                <w:sz w:val="20"/>
                <w:szCs w:val="20"/>
                <w:color w:val="auto"/>
              </w:rPr>
            </w:pPr>
            <w:r>
              <w:rPr>
                <w:rFonts w:ascii="Arial" w:cs="Arial" w:eastAsia="Arial" w:hAnsi="Arial"/>
                <w:sz w:val="18"/>
                <w:szCs w:val="18"/>
                <w:color w:val="auto"/>
              </w:rPr>
              <w:t>Large accelerated filer</w:t>
            </w:r>
          </w:p>
        </w:tc>
        <w:tc>
          <w:tcPr>
            <w:tcW w:w="3320" w:type="dxa"/>
            <w:vAlign w:val="bottom"/>
          </w:tcPr>
          <w:p>
            <w:pPr>
              <w:ind w:left="520"/>
              <w:spacing w:after="0" w:line="221" w:lineRule="exact"/>
              <w:rPr>
                <w:sz w:val="20"/>
                <w:szCs w:val="20"/>
                <w:color w:val="auto"/>
              </w:rPr>
            </w:pPr>
            <w:r>
              <w:rPr>
                <w:rFonts w:ascii="MS PGothic" w:cs="MS PGothic" w:eastAsia="MS PGothic" w:hAnsi="MS PGothic"/>
                <w:sz w:val="22"/>
                <w:szCs w:val="22"/>
                <w:color w:val="auto"/>
              </w:rPr>
              <w:t>☒</w:t>
            </w:r>
          </w:p>
        </w:tc>
        <w:tc>
          <w:tcPr>
            <w:tcW w:w="4900" w:type="dxa"/>
            <w:vAlign w:val="bottom"/>
          </w:tcPr>
          <w:p>
            <w:pPr>
              <w:ind w:left="260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10"/>
        </w:trPr>
        <w:tc>
          <w:tcPr>
            <w:tcW w:w="2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900" w:type="dxa"/>
            <w:vAlign w:val="bottom"/>
          </w:tcPr>
          <w:p>
            <w:pPr>
              <w:ind w:left="260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38"/>
        </w:trPr>
        <w:tc>
          <w:tcPr>
            <w:tcW w:w="2160" w:type="dxa"/>
            <w:vAlign w:val="bottom"/>
          </w:tcPr>
          <w:p>
            <w:pPr>
              <w:ind w:left="40"/>
              <w:spacing w:after="0"/>
              <w:rPr>
                <w:sz w:val="20"/>
                <w:szCs w:val="20"/>
                <w:color w:val="auto"/>
              </w:rPr>
            </w:pPr>
            <w:r>
              <w:rPr>
                <w:rFonts w:ascii="Arial" w:cs="Arial" w:eastAsia="Arial" w:hAnsi="Arial"/>
                <w:sz w:val="18"/>
                <w:szCs w:val="18"/>
                <w:color w:val="auto"/>
              </w:rPr>
              <w:t>Non-accelerated filer</w:t>
            </w:r>
          </w:p>
        </w:tc>
        <w:tc>
          <w:tcPr>
            <w:tcW w:w="3320" w:type="dxa"/>
            <w:vAlign w:val="bottom"/>
          </w:tcPr>
          <w:p>
            <w:pPr>
              <w:ind w:left="520"/>
              <w:spacing w:after="0" w:line="221" w:lineRule="exact"/>
              <w:rPr>
                <w:sz w:val="20"/>
                <w:szCs w:val="20"/>
                <w:color w:val="auto"/>
              </w:rPr>
            </w:pPr>
            <w:r>
              <w:rPr>
                <w:rFonts w:ascii="MS PGothic" w:cs="MS PGothic" w:eastAsia="MS PGothic" w:hAnsi="MS PGothic"/>
                <w:sz w:val="22"/>
                <w:szCs w:val="22"/>
                <w:color w:val="auto"/>
              </w:rPr>
              <w:t>☐</w:t>
            </w:r>
          </w:p>
        </w:tc>
        <w:tc>
          <w:tcPr>
            <w:tcW w:w="4900" w:type="dxa"/>
            <w:vAlign w:val="bottom"/>
          </w:tcPr>
          <w:p>
            <w:pPr>
              <w:ind w:left="260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168" w:lineRule="exact"/>
        <w:rPr>
          <w:sz w:val="20"/>
          <w:szCs w:val="20"/>
          <w:color w:val="auto"/>
        </w:rPr>
      </w:pPr>
    </w:p>
    <w:p>
      <w:pPr>
        <w:ind w:firstLine="270"/>
        <w:spacing w:after="0" w:line="26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95" w:lineRule="exact"/>
        <w:rPr>
          <w:sz w:val="20"/>
          <w:szCs w:val="20"/>
          <w:color w:val="auto"/>
        </w:rPr>
      </w:pPr>
    </w:p>
    <w:p>
      <w:pPr>
        <w:ind w:left="280" w:right="1860"/>
        <w:spacing w:after="0" w:line="348"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r>
        <w:rPr>
          <w:rFonts w:ascii="Arial" w:cs="Arial" w:eastAsia="Arial" w:hAnsi="Arial"/>
          <w:sz w:val="18"/>
          <w:szCs w:val="18"/>
          <w:color w:val="auto"/>
        </w:rPr>
        <w:t xml:space="preserve"> As of May 1, 2020, there were 161,648,540 shares of the registrant’s common stock outstanding.</w:t>
      </w:r>
    </w:p>
    <w:p>
      <w:pPr>
        <w:sectPr>
          <w:pgSz w:w="11900" w:h="16838" w:orient="portrait"/>
          <w:cols w:equalWidth="0" w:num="1">
            <w:col w:w="11000"/>
          </w:cols>
          <w:pgMar w:left="320" w:top="121" w:right="57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 Ended March 31, 2020</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660" w:type="dxa"/>
            <w:vAlign w:val="bottom"/>
          </w:tcPr>
          <w:p>
            <w:pPr>
              <w:jc w:val="right"/>
              <w:ind w:right="71"/>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760" w:type="dxa"/>
            <w:vAlign w:val="bottom"/>
          </w:tcPr>
          <w:p>
            <w:pPr>
              <w:spacing w:after="0"/>
              <w:rPr>
                <w:sz w:val="2"/>
                <w:szCs w:val="2"/>
                <w:color w:val="auto"/>
              </w:rPr>
            </w:pPr>
          </w:p>
        </w:tc>
        <w:tc>
          <w:tcPr>
            <w:tcW w:w="9780" w:type="dxa"/>
            <w:vAlign w:val="bottom"/>
            <w:vMerge w:val="restart"/>
          </w:tcPr>
          <w:p>
            <w:pPr>
              <w:ind w:left="3360"/>
              <w:spacing w:after="0"/>
              <w:rPr>
                <w:sz w:val="20"/>
                <w:szCs w:val="20"/>
                <w:color w:val="auto"/>
              </w:rPr>
            </w:pPr>
            <w:r>
              <w:rPr>
                <w:rFonts w:ascii="Arial" w:cs="Arial" w:eastAsia="Arial" w:hAnsi="Arial"/>
                <w:sz w:val="18"/>
                <w:szCs w:val="18"/>
                <w:b w:val="1"/>
                <w:bCs w:val="1"/>
                <w:color w:val="auto"/>
              </w:rPr>
              <w:t>PART I</w:t>
            </w:r>
            <w:r>
              <w:rPr>
                <w:rFonts w:ascii="Arial" w:cs="Arial" w:eastAsia="Arial" w:hAnsi="Arial"/>
                <w:sz w:val="18"/>
                <w:szCs w:val="18"/>
                <w:color w:val="auto"/>
              </w:rPr>
              <w:t>—</w:t>
            </w:r>
            <w:r>
              <w:rPr>
                <w:rFonts w:ascii="Arial" w:cs="Arial" w:eastAsia="Arial" w:hAnsi="Arial"/>
                <w:sz w:val="18"/>
                <w:szCs w:val="18"/>
                <w:b w:val="1"/>
                <w:bCs w:val="1"/>
                <w:color w:val="auto"/>
              </w:rPr>
              <w:t>FINANCIAL INFORMATION</w:t>
            </w: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760" w:type="dxa"/>
            <w:vAlign w:val="bottom"/>
          </w:tcPr>
          <w:p>
            <w:pPr>
              <w:spacing w:after="0"/>
              <w:rPr>
                <w:sz w:val="24"/>
                <w:szCs w:val="24"/>
                <w:color w:val="auto"/>
              </w:rPr>
            </w:pPr>
          </w:p>
        </w:tc>
        <w:tc>
          <w:tcPr>
            <w:tcW w:w="97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760" w:type="dxa"/>
            <w:vAlign w:val="bottom"/>
          </w:tcPr>
          <w:p>
            <w:pPr>
              <w:spacing w:after="0"/>
              <w:rPr>
                <w:sz w:val="20"/>
                <w:szCs w:val="20"/>
                <w:color w:val="auto"/>
              </w:rPr>
            </w:pPr>
            <w:r>
              <w:rPr>
                <w:rFonts w:ascii="Arial" w:cs="Arial" w:eastAsia="Arial" w:hAnsi="Arial"/>
                <w:sz w:val="18"/>
                <w:szCs w:val="18"/>
                <w:color w:val="auto"/>
              </w:rPr>
              <w:t>Item 1.</w:t>
            </w:r>
          </w:p>
        </w:tc>
        <w:tc>
          <w:tcPr>
            <w:tcW w:w="9780" w:type="dxa"/>
            <w:vAlign w:val="bottom"/>
          </w:tcPr>
          <w:p>
            <w:pPr>
              <w:ind w:left="1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 (unaudited)</w:t>
              </w:r>
            </w:hyperlink>
          </w:p>
        </w:tc>
        <w:tc>
          <w:tcPr>
            <w:tcW w:w="66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9780" w:type="dxa"/>
            <w:vAlign w:val="bottom"/>
          </w:tcPr>
          <w:p>
            <w:pPr>
              <w:ind w:left="1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as of March 31, 2020 and December 31, 2019</w:t>
              </w:r>
            </w:hyperlink>
          </w:p>
        </w:tc>
        <w:tc>
          <w:tcPr>
            <w:tcW w:w="66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9780" w:type="dxa"/>
            <w:vAlign w:val="bottom"/>
          </w:tcPr>
          <w:p>
            <w:pPr>
              <w:ind w:left="1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Income for the Three Months Ended March 31, 2020 and 2019</w:t>
              </w:r>
            </w:hyperlink>
          </w:p>
        </w:tc>
        <w:tc>
          <w:tcPr>
            <w:tcW w:w="66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2</w:t>
              </w:r>
            </w:hyperlink>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9780" w:type="dxa"/>
            <w:vAlign w:val="bottom"/>
          </w:tcPr>
          <w:p>
            <w:pPr>
              <w:ind w:left="1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Comprehensive Income for the Three Months Ended March 31, 2020 and 2019</w:t>
              </w:r>
            </w:hyperlink>
          </w:p>
        </w:tc>
        <w:tc>
          <w:tcPr>
            <w:tcW w:w="66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3</w:t>
              </w:r>
            </w:hyperlink>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9780" w:type="dxa"/>
            <w:vAlign w:val="bottom"/>
          </w:tcPr>
          <w:p>
            <w:pPr>
              <w:ind w:left="1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Stockholders’ Equity for the Three Months Ended March 31, 2020 and 2019</w:t>
              </w:r>
            </w:hyperlink>
          </w:p>
        </w:tc>
        <w:tc>
          <w:tcPr>
            <w:tcW w:w="66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9780" w:type="dxa"/>
            <w:vAlign w:val="bottom"/>
          </w:tcPr>
          <w:p>
            <w:pPr>
              <w:ind w:left="1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 for the Three Months Ended March 31, 2020 and 2019</w:t>
              </w:r>
            </w:hyperlink>
          </w:p>
        </w:tc>
        <w:tc>
          <w:tcPr>
            <w:tcW w:w="660" w:type="dxa"/>
            <w:vAlign w:val="bottom"/>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5</w:t>
              </w:r>
            </w:hyperlink>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9780" w:type="dxa"/>
            <w:vAlign w:val="bottom"/>
          </w:tcPr>
          <w:p>
            <w:pPr>
              <w:ind w:left="1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w:t>
              </w:r>
            </w:hyperlink>
          </w:p>
        </w:tc>
        <w:tc>
          <w:tcPr>
            <w:tcW w:w="660" w:type="dxa"/>
            <w:vAlign w:val="bottom"/>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6</w:t>
              </w:r>
            </w:hyperlink>
          </w:p>
        </w:tc>
        <w:tc>
          <w:tcPr>
            <w:tcW w:w="0" w:type="dxa"/>
            <w:vAlign w:val="bottom"/>
          </w:tcPr>
          <w:p>
            <w:pPr>
              <w:spacing w:after="0"/>
              <w:rPr>
                <w:sz w:val="1"/>
                <w:szCs w:val="1"/>
                <w:color w:val="auto"/>
              </w:rPr>
            </w:pP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Item 2.</w:t>
            </w:r>
          </w:p>
        </w:tc>
        <w:tc>
          <w:tcPr>
            <w:tcW w:w="9780" w:type="dxa"/>
            <w:vAlign w:val="bottom"/>
          </w:tcPr>
          <w:p>
            <w:pPr>
              <w:ind w:left="1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Management’s Discussion and Analysis of Financial Condition and Results of Operations</w:t>
              </w:r>
            </w:hyperlink>
          </w:p>
        </w:tc>
        <w:tc>
          <w:tcPr>
            <w:tcW w:w="660" w:type="dxa"/>
            <w:vAlign w:val="bottom"/>
          </w:tcPr>
          <w:p>
            <w:pPr>
              <w:jc w:val="right"/>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22</w:t>
              </w:r>
            </w:hyperlink>
          </w:p>
        </w:tc>
        <w:tc>
          <w:tcPr>
            <w:tcW w:w="0" w:type="dxa"/>
            <w:vAlign w:val="bottom"/>
          </w:tcPr>
          <w:p>
            <w:pPr>
              <w:spacing w:after="0"/>
              <w:rPr>
                <w:sz w:val="1"/>
                <w:szCs w:val="1"/>
                <w:color w:val="auto"/>
              </w:rPr>
            </w:pP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Item 3.</w:t>
            </w:r>
          </w:p>
        </w:tc>
        <w:tc>
          <w:tcPr>
            <w:tcW w:w="9780" w:type="dxa"/>
            <w:vAlign w:val="bottom"/>
          </w:tcPr>
          <w:p>
            <w:pPr>
              <w:ind w:left="1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Quantitative and Qualitative Disclosures about Market Risk</w:t>
              </w:r>
            </w:hyperlink>
          </w:p>
        </w:tc>
        <w:tc>
          <w:tcPr>
            <w:tcW w:w="660" w:type="dxa"/>
            <w:vAlign w:val="bottom"/>
          </w:tcPr>
          <w:p>
            <w:pPr>
              <w:jc w:val="right"/>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33</w:t>
              </w:r>
            </w:hyperlink>
          </w:p>
        </w:tc>
        <w:tc>
          <w:tcPr>
            <w:tcW w:w="0" w:type="dxa"/>
            <w:vAlign w:val="bottom"/>
          </w:tcPr>
          <w:p>
            <w:pPr>
              <w:spacing w:after="0"/>
              <w:rPr>
                <w:sz w:val="1"/>
                <w:szCs w:val="1"/>
                <w:color w:val="auto"/>
              </w:rPr>
            </w:pP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Item 4.</w:t>
            </w:r>
          </w:p>
        </w:tc>
        <w:tc>
          <w:tcPr>
            <w:tcW w:w="9780" w:type="dxa"/>
            <w:vAlign w:val="bottom"/>
          </w:tcPr>
          <w:p>
            <w:pPr>
              <w:ind w:left="1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Controls and Procedures</w:t>
              </w:r>
            </w:hyperlink>
          </w:p>
        </w:tc>
        <w:tc>
          <w:tcPr>
            <w:tcW w:w="660" w:type="dxa"/>
            <w:vAlign w:val="bottom"/>
          </w:tcPr>
          <w:p>
            <w:pPr>
              <w:jc w:val="right"/>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33</w:t>
              </w:r>
            </w:hyperlink>
          </w:p>
        </w:tc>
        <w:tc>
          <w:tcPr>
            <w:tcW w:w="0" w:type="dxa"/>
            <w:vAlign w:val="bottom"/>
          </w:tcPr>
          <w:p>
            <w:pPr>
              <w:spacing w:after="0"/>
              <w:rPr>
                <w:sz w:val="1"/>
                <w:szCs w:val="1"/>
                <w:color w:val="auto"/>
              </w:rPr>
            </w:pPr>
          </w:p>
        </w:tc>
      </w:tr>
      <w:tr>
        <w:trPr>
          <w:trHeight w:val="594"/>
        </w:trPr>
        <w:tc>
          <w:tcPr>
            <w:tcW w:w="760" w:type="dxa"/>
            <w:vAlign w:val="bottom"/>
          </w:tcPr>
          <w:p>
            <w:pPr>
              <w:spacing w:after="0"/>
              <w:rPr>
                <w:sz w:val="24"/>
                <w:szCs w:val="24"/>
                <w:color w:val="auto"/>
              </w:rPr>
            </w:pPr>
          </w:p>
        </w:tc>
        <w:tc>
          <w:tcPr>
            <w:tcW w:w="9780" w:type="dxa"/>
            <w:vAlign w:val="bottom"/>
          </w:tcPr>
          <w:p>
            <w:pPr>
              <w:ind w:left="3520"/>
              <w:spacing w:after="0"/>
              <w:rPr>
                <w:sz w:val="20"/>
                <w:szCs w:val="20"/>
                <w:color w:val="auto"/>
              </w:rPr>
            </w:pPr>
            <w:r>
              <w:rPr>
                <w:rFonts w:ascii="Arial" w:cs="Arial" w:eastAsia="Arial" w:hAnsi="Arial"/>
                <w:sz w:val="18"/>
                <w:szCs w:val="18"/>
                <w:b w:val="1"/>
                <w:bCs w:val="1"/>
                <w:color w:val="auto"/>
              </w:rPr>
              <w:t>PART II—OTHER INFORMATION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760" w:type="dxa"/>
            <w:vAlign w:val="bottom"/>
          </w:tcPr>
          <w:p>
            <w:pPr>
              <w:spacing w:after="0"/>
              <w:rPr>
                <w:sz w:val="20"/>
                <w:szCs w:val="20"/>
                <w:color w:val="auto"/>
              </w:rPr>
            </w:pPr>
            <w:r>
              <w:rPr>
                <w:rFonts w:ascii="Arial" w:cs="Arial" w:eastAsia="Arial" w:hAnsi="Arial"/>
                <w:sz w:val="18"/>
                <w:szCs w:val="18"/>
                <w:color w:val="auto"/>
              </w:rPr>
              <w:t>Item 1.</w:t>
            </w:r>
          </w:p>
        </w:tc>
        <w:tc>
          <w:tcPr>
            <w:tcW w:w="9780" w:type="dxa"/>
            <w:vAlign w:val="bottom"/>
          </w:tcPr>
          <w:p>
            <w:pPr>
              <w:ind w:left="1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Legal Proceedings</w:t>
              </w:r>
            </w:hyperlink>
          </w:p>
        </w:tc>
        <w:tc>
          <w:tcPr>
            <w:tcW w:w="660" w:type="dxa"/>
            <w:vAlign w:val="bottom"/>
          </w:tcPr>
          <w:p>
            <w:pPr>
              <w:jc w:val="right"/>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34</w:t>
              </w:r>
            </w:hyperlink>
          </w:p>
        </w:tc>
        <w:tc>
          <w:tcPr>
            <w:tcW w:w="0" w:type="dxa"/>
            <w:vAlign w:val="bottom"/>
          </w:tcPr>
          <w:p>
            <w:pPr>
              <w:spacing w:after="0"/>
              <w:rPr>
                <w:sz w:val="1"/>
                <w:szCs w:val="1"/>
                <w:color w:val="auto"/>
              </w:rPr>
            </w:pP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Item 1A.</w:t>
            </w:r>
          </w:p>
        </w:tc>
        <w:tc>
          <w:tcPr>
            <w:tcW w:w="9780" w:type="dxa"/>
            <w:vAlign w:val="bottom"/>
          </w:tcPr>
          <w:p>
            <w:pPr>
              <w:ind w:left="1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Risk Factors</w:t>
              </w:r>
            </w:hyperlink>
          </w:p>
        </w:tc>
        <w:tc>
          <w:tcPr>
            <w:tcW w:w="660" w:type="dxa"/>
            <w:vAlign w:val="bottom"/>
          </w:tcPr>
          <w:p>
            <w:pPr>
              <w:jc w:val="right"/>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34</w:t>
              </w:r>
            </w:hyperlink>
          </w:p>
        </w:tc>
        <w:tc>
          <w:tcPr>
            <w:tcW w:w="0" w:type="dxa"/>
            <w:vAlign w:val="bottom"/>
          </w:tcPr>
          <w:p>
            <w:pPr>
              <w:spacing w:after="0"/>
              <w:rPr>
                <w:sz w:val="1"/>
                <w:szCs w:val="1"/>
                <w:color w:val="auto"/>
              </w:rPr>
            </w:pP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Item 2.</w:t>
            </w:r>
          </w:p>
        </w:tc>
        <w:tc>
          <w:tcPr>
            <w:tcW w:w="9780" w:type="dxa"/>
            <w:vAlign w:val="bottom"/>
          </w:tcPr>
          <w:p>
            <w:pPr>
              <w:ind w:left="14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Unregistered Sales of Equity Securities and Use of Proceeds</w:t>
              </w:r>
            </w:hyperlink>
          </w:p>
        </w:tc>
        <w:tc>
          <w:tcPr>
            <w:tcW w:w="660" w:type="dxa"/>
            <w:vAlign w:val="bottom"/>
          </w:tcPr>
          <w:p>
            <w:pPr>
              <w:jc w:val="right"/>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64</w:t>
              </w:r>
            </w:hyperlink>
          </w:p>
        </w:tc>
        <w:tc>
          <w:tcPr>
            <w:tcW w:w="0" w:type="dxa"/>
            <w:vAlign w:val="bottom"/>
          </w:tcPr>
          <w:p>
            <w:pPr>
              <w:spacing w:after="0"/>
              <w:rPr>
                <w:sz w:val="1"/>
                <w:szCs w:val="1"/>
                <w:color w:val="auto"/>
              </w:rPr>
            </w:pP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Item 6.</w:t>
            </w:r>
          </w:p>
        </w:tc>
        <w:tc>
          <w:tcPr>
            <w:tcW w:w="9780" w:type="dxa"/>
            <w:vAlign w:val="bottom"/>
          </w:tcPr>
          <w:p>
            <w:pPr>
              <w:ind w:left="14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Exhibits</w:t>
              </w:r>
            </w:hyperlink>
          </w:p>
        </w:tc>
        <w:tc>
          <w:tcPr>
            <w:tcW w:w="660" w:type="dxa"/>
            <w:vAlign w:val="bottom"/>
          </w:tcPr>
          <w:p>
            <w:pPr>
              <w:jc w:val="right"/>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65</w:t>
              </w:r>
            </w:hyperlink>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9780" w:type="dxa"/>
            <w:vAlign w:val="bottom"/>
          </w:tcPr>
          <w:p>
            <w:pPr>
              <w:ind w:left="14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Exhibit Index</w:t>
              </w:r>
            </w:hyperlink>
          </w:p>
        </w:tc>
        <w:tc>
          <w:tcPr>
            <w:tcW w:w="660" w:type="dxa"/>
            <w:vAlign w:val="bottom"/>
          </w:tcPr>
          <w:p>
            <w:pPr>
              <w:jc w:val="right"/>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65</w:t>
              </w:r>
            </w:hyperlink>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9780" w:type="dxa"/>
            <w:vAlign w:val="bottom"/>
          </w:tcPr>
          <w:p>
            <w:pPr>
              <w:ind w:left="1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Signatures</w:t>
              </w:r>
            </w:hyperlink>
          </w:p>
        </w:tc>
        <w:tc>
          <w:tcPr>
            <w:tcW w:w="660" w:type="dxa"/>
            <w:vAlign w:val="bottom"/>
          </w:tcPr>
          <w:p>
            <w:pPr>
              <w:jc w:val="right"/>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66</w:t>
              </w:r>
            </w:hyperlink>
          </w:p>
        </w:tc>
        <w:tc>
          <w:tcPr>
            <w:tcW w:w="0" w:type="dxa"/>
            <w:vAlign w:val="bottom"/>
          </w:tcPr>
          <w:p>
            <w:pPr>
              <w:spacing w:after="0"/>
              <w:rPr>
                <w:sz w:val="1"/>
                <w:szCs w:val="1"/>
                <w:color w:val="auto"/>
              </w:rPr>
            </w:pPr>
          </w:p>
        </w:tc>
      </w:tr>
    </w:tbl>
    <w:p>
      <w:pPr>
        <w:sectPr>
          <w:pgSz w:w="11900" w:h="16838" w:orient="portrait"/>
          <w:cols w:equalWidth="0" w:num="1">
            <w:col w:w="11200"/>
          </w:cols>
          <w:pgMar w:left="360" w:top="337" w:right="3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7400" w:type="dxa"/>
            <w:vAlign w:val="bottom"/>
          </w:tcPr>
          <w:p>
            <w:pPr>
              <w:jc w:val="center"/>
              <w:ind w:left="2110"/>
              <w:spacing w:after="0"/>
              <w:rPr>
                <w:sz w:val="20"/>
                <w:szCs w:val="20"/>
                <w:color w:val="auto"/>
              </w:rPr>
            </w:pPr>
            <w:r>
              <w:rPr>
                <w:rFonts w:ascii="Arial" w:cs="Arial" w:eastAsia="Arial" w:hAnsi="Arial"/>
                <w:sz w:val="18"/>
                <w:szCs w:val="18"/>
                <w:b w:val="1"/>
                <w:bCs w:val="1"/>
                <w:color w:val="auto"/>
              </w:rPr>
              <w:t>PART I—FINANCIAL INFORMATION</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14"/>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400" w:type="dxa"/>
            <w:vAlign w:val="bottom"/>
          </w:tcPr>
          <w:p>
            <w:pPr>
              <w:ind w:left="480"/>
              <w:spacing w:after="0"/>
              <w:rPr>
                <w:sz w:val="20"/>
                <w:szCs w:val="20"/>
                <w:color w:val="auto"/>
              </w:rPr>
            </w:pPr>
            <w:r>
              <w:rPr>
                <w:rFonts w:ascii="Arial" w:cs="Arial" w:eastAsia="Arial" w:hAnsi="Arial"/>
                <w:sz w:val="18"/>
                <w:szCs w:val="18"/>
                <w:b w:val="1"/>
                <w:bCs w:val="1"/>
                <w:color w:val="auto"/>
              </w:rPr>
              <w:t>Financial Statements</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p>
        </w:tc>
        <w:tc>
          <w:tcPr>
            <w:tcW w:w="7400" w:type="dxa"/>
            <w:vAlign w:val="bottom"/>
          </w:tcPr>
          <w:p>
            <w:pPr>
              <w:jc w:val="center"/>
              <w:ind w:left="2130"/>
              <w:spacing w:after="0"/>
              <w:rPr>
                <w:sz w:val="20"/>
                <w:szCs w:val="20"/>
                <w:color w:val="auto"/>
              </w:rPr>
            </w:pPr>
            <w:r>
              <w:rPr>
                <w:rFonts w:ascii="Arial" w:cs="Arial" w:eastAsia="Arial" w:hAnsi="Arial"/>
                <w:sz w:val="18"/>
                <w:szCs w:val="18"/>
                <w:b w:val="1"/>
                <w:bCs w:val="1"/>
                <w:color w:val="auto"/>
              </w:rPr>
              <w:t>FORTINET, INC.</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9"/>
        </w:trPr>
        <w:tc>
          <w:tcPr>
            <w:tcW w:w="820" w:type="dxa"/>
            <w:vAlign w:val="bottom"/>
          </w:tcPr>
          <w:p>
            <w:pPr>
              <w:spacing w:after="0"/>
              <w:rPr>
                <w:sz w:val="24"/>
                <w:szCs w:val="24"/>
                <w:color w:val="auto"/>
              </w:rPr>
            </w:pPr>
          </w:p>
        </w:tc>
        <w:tc>
          <w:tcPr>
            <w:tcW w:w="7400" w:type="dxa"/>
            <w:vAlign w:val="bottom"/>
          </w:tcPr>
          <w:p>
            <w:pPr>
              <w:jc w:val="center"/>
              <w:ind w:left="211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p>
        </w:tc>
        <w:tc>
          <w:tcPr>
            <w:tcW w:w="7400" w:type="dxa"/>
            <w:vAlign w:val="bottom"/>
          </w:tcPr>
          <w:p>
            <w:pPr>
              <w:jc w:val="center"/>
              <w:ind w:left="2110"/>
              <w:spacing w:after="0"/>
              <w:rPr>
                <w:sz w:val="20"/>
                <w:szCs w:val="20"/>
                <w:color w:val="auto"/>
              </w:rPr>
            </w:pPr>
            <w:r>
              <w:rPr>
                <w:rFonts w:ascii="Arial" w:cs="Arial" w:eastAsia="Arial" w:hAnsi="Arial"/>
                <w:sz w:val="18"/>
                <w:szCs w:val="18"/>
                <w:b w:val="1"/>
                <w:bCs w:val="1"/>
                <w:color w:val="auto"/>
                <w:w w:val="89"/>
              </w:rPr>
              <w:t>(unaudited, in millions, except per share amounts)</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40"/>
        </w:trPr>
        <w:tc>
          <w:tcPr>
            <w:tcW w:w="8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24"/>
                <w:szCs w:val="24"/>
                <w:color w:val="auto"/>
              </w:rPr>
            </w:pPr>
          </w:p>
        </w:tc>
        <w:tc>
          <w:tcPr>
            <w:tcW w:w="1280" w:type="dxa"/>
            <w:vAlign w:val="bottom"/>
          </w:tcPr>
          <w:p>
            <w:pPr>
              <w:jc w:val="right"/>
              <w:ind w:right="191"/>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9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1"/>
              <w:spacing w:after="0"/>
              <w:rPr>
                <w:sz w:val="20"/>
                <w:szCs w:val="20"/>
                <w:color w:val="auto"/>
              </w:rPr>
            </w:pPr>
            <w:r>
              <w:rPr>
                <w:rFonts w:ascii="Arial" w:cs="Arial" w:eastAsia="Arial" w:hAnsi="Arial"/>
                <w:sz w:val="16"/>
                <w:szCs w:val="16"/>
                <w:b w:val="1"/>
                <w:bCs w:val="1"/>
                <w:color w:val="auto"/>
              </w:rPr>
              <w:t>2019</w:t>
            </w:r>
          </w:p>
        </w:tc>
      </w:tr>
      <w:tr>
        <w:trPr>
          <w:trHeight w:val="33"/>
        </w:trPr>
        <w:tc>
          <w:tcPr>
            <w:tcW w:w="820" w:type="dxa"/>
            <w:vAlign w:val="bottom"/>
            <w:tcBorders>
              <w:bottom w:val="single" w:sz="8" w:color="CCEEFF"/>
            </w:tcBorders>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8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1,222.5</w:t>
            </w:r>
          </w:p>
        </w:tc>
      </w:tr>
      <w:tr>
        <w:trPr>
          <w:trHeight w:val="243"/>
        </w:trPr>
        <w:tc>
          <w:tcPr>
            <w:tcW w:w="8220" w:type="dxa"/>
            <w:vAlign w:val="bottom"/>
            <w:gridSpan w:val="2"/>
          </w:tcPr>
          <w:p>
            <w:pPr>
              <w:ind w:left="50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775.2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843.1</w:t>
            </w:r>
          </w:p>
        </w:tc>
      </w:tr>
      <w:tr>
        <w:trPr>
          <w:trHeight w:val="27"/>
        </w:trPr>
        <w:tc>
          <w:tcPr>
            <w:tcW w:w="8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receivable—net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544.3</w:t>
            </w:r>
          </w:p>
        </w:tc>
      </w:tr>
      <w:tr>
        <w:trPr>
          <w:trHeight w:val="243"/>
        </w:trPr>
        <w:tc>
          <w:tcPr>
            <w:tcW w:w="8220" w:type="dxa"/>
            <w:vAlign w:val="bottom"/>
            <w:gridSpan w:val="2"/>
          </w:tcPr>
          <w:p>
            <w:pPr>
              <w:ind w:left="50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117.9</w:t>
            </w:r>
          </w:p>
        </w:tc>
      </w:tr>
      <w:tr>
        <w:trPr>
          <w:trHeight w:val="27"/>
        </w:trPr>
        <w:tc>
          <w:tcPr>
            <w:tcW w:w="8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w:t>
            </w:r>
          </w:p>
        </w:tc>
      </w:tr>
      <w:tr>
        <w:trPr>
          <w:trHeight w:val="237"/>
        </w:trPr>
        <w:tc>
          <w:tcPr>
            <w:tcW w:w="820" w:type="dxa"/>
            <w:vAlign w:val="bottom"/>
          </w:tcPr>
          <w:p>
            <w:pPr>
              <w:spacing w:after="0"/>
              <w:rPr>
                <w:sz w:val="20"/>
                <w:szCs w:val="20"/>
                <w:color w:val="auto"/>
              </w:rPr>
            </w:pPr>
          </w:p>
        </w:tc>
        <w:tc>
          <w:tcPr>
            <w:tcW w:w="7400" w:type="dxa"/>
            <w:vAlign w:val="bottom"/>
          </w:tcPr>
          <w:p>
            <w:pPr>
              <w:ind w:left="1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2,035.3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2,769.0</w:t>
            </w:r>
          </w:p>
        </w:tc>
      </w:tr>
      <w:tr>
        <w:trPr>
          <w:trHeight w:val="27"/>
        </w:trPr>
        <w:tc>
          <w:tcPr>
            <w:tcW w:w="8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144.3</w:t>
            </w: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PROPERTY AND EQUIPMENT—NET</w:t>
            </w:r>
          </w:p>
        </w:tc>
        <w:tc>
          <w:tcPr>
            <w:tcW w:w="2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374.2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344.3</w:t>
            </w:r>
          </w:p>
        </w:tc>
      </w:tr>
      <w:tr>
        <w:trPr>
          <w:trHeight w:val="27"/>
        </w:trPr>
        <w:tc>
          <w:tcPr>
            <w:tcW w:w="8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CONTRACT COSTS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237.0</w:t>
            </w: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226.5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232.6</w:t>
            </w:r>
          </w:p>
        </w:tc>
      </w:tr>
      <w:tr>
        <w:trPr>
          <w:trHeight w:val="27"/>
        </w:trPr>
        <w:tc>
          <w:tcPr>
            <w:tcW w:w="8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w:t>
            </w: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OTHER INTANGIBLE ASSETS—NET</w:t>
            </w:r>
          </w:p>
        </w:tc>
        <w:tc>
          <w:tcPr>
            <w:tcW w:w="2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31.1</w:t>
            </w:r>
          </w:p>
        </w:tc>
      </w:tr>
      <w:tr>
        <w:trPr>
          <w:trHeight w:val="27"/>
        </w:trPr>
        <w:tc>
          <w:tcPr>
            <w:tcW w:w="8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r>
      <w:tr>
        <w:trPr>
          <w:trHeight w:val="297"/>
        </w:trPr>
        <w:tc>
          <w:tcPr>
            <w:tcW w:w="82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3,206.2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3,885.5</w:t>
            </w:r>
          </w:p>
        </w:tc>
      </w:tr>
      <w:tr>
        <w:trPr>
          <w:trHeight w:val="237"/>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8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96.4</w:t>
            </w:r>
          </w:p>
        </w:tc>
      </w:tr>
      <w:tr>
        <w:trPr>
          <w:trHeight w:val="243"/>
        </w:trPr>
        <w:tc>
          <w:tcPr>
            <w:tcW w:w="8220" w:type="dxa"/>
            <w:vAlign w:val="bottom"/>
            <w:gridSpan w:val="2"/>
          </w:tcPr>
          <w:p>
            <w:pPr>
              <w:ind w:left="50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101.8</w:t>
            </w:r>
          </w:p>
        </w:tc>
      </w:tr>
      <w:tr>
        <w:trPr>
          <w:trHeight w:val="27"/>
        </w:trPr>
        <w:tc>
          <w:tcPr>
            <w:tcW w:w="8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Accrued payroll and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w:t>
            </w:r>
          </w:p>
        </w:tc>
      </w:tr>
      <w:tr>
        <w:trPr>
          <w:trHeight w:val="243"/>
        </w:trPr>
        <w:tc>
          <w:tcPr>
            <w:tcW w:w="8220" w:type="dxa"/>
            <w:vAlign w:val="bottom"/>
            <w:gridSpan w:val="2"/>
          </w:tcPr>
          <w:p>
            <w:pPr>
              <w:ind w:left="50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1,230.2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1,173.6</w:t>
            </w:r>
          </w:p>
        </w:tc>
      </w:tr>
      <w:tr>
        <w:trPr>
          <w:trHeight w:val="27"/>
        </w:trPr>
        <w:tc>
          <w:tcPr>
            <w:tcW w:w="820" w:type="dxa"/>
            <w:vAlign w:val="bottom"/>
            <w:tcBorders>
              <w:bottom w:val="single" w:sz="8" w:color="CCEEFF"/>
            </w:tcBorders>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82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1,473.6</w:t>
            </w: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996.6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962.3</w:t>
            </w:r>
          </w:p>
        </w:tc>
      </w:tr>
      <w:tr>
        <w:trPr>
          <w:trHeight w:val="27"/>
        </w:trPr>
        <w:tc>
          <w:tcPr>
            <w:tcW w:w="8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82.8</w:t>
            </w: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44.9</w:t>
            </w:r>
          </w:p>
        </w:tc>
      </w:tr>
      <w:tr>
        <w:trPr>
          <w:trHeight w:val="27"/>
        </w:trPr>
        <w:tc>
          <w:tcPr>
            <w:tcW w:w="820" w:type="dxa"/>
            <w:vAlign w:val="bottom"/>
            <w:tcBorders>
              <w:bottom w:val="single" w:sz="8" w:color="CCEEFF"/>
            </w:tcBorders>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3"/>
        </w:trPr>
        <w:tc>
          <w:tcPr>
            <w:tcW w:w="820" w:type="dxa"/>
            <w:vAlign w:val="bottom"/>
            <w:tcBorders>
              <w:bottom w:val="single" w:sz="8" w:color="CCEEFF"/>
            </w:tcBorders>
            <w:shd w:val="clear" w:color="auto" w:fill="CCEEFF"/>
          </w:tcPr>
          <w:p>
            <w:pPr>
              <w:spacing w:after="0"/>
              <w:rPr>
                <w:sz w:val="22"/>
                <w:szCs w:val="22"/>
                <w:color w:val="auto"/>
              </w:rPr>
            </w:pPr>
          </w:p>
        </w:tc>
        <w:tc>
          <w:tcPr>
            <w:tcW w:w="7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2,563.6</w:t>
            </w:r>
          </w:p>
        </w:tc>
      </w:tr>
      <w:tr>
        <w:trPr>
          <w:trHeight w:val="237"/>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11)</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8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9"/>
        </w:trPr>
        <w:tc>
          <w:tcPr>
            <w:tcW w:w="8220" w:type="dxa"/>
            <w:vAlign w:val="bottom"/>
            <w:gridSpan w:val="2"/>
          </w:tcPr>
          <w:p>
            <w:pPr>
              <w:ind w:left="500"/>
              <w:spacing w:after="0"/>
              <w:rPr>
                <w:sz w:val="20"/>
                <w:szCs w:val="20"/>
                <w:color w:val="auto"/>
              </w:rPr>
            </w:pPr>
            <w:r>
              <w:rPr>
                <w:rFonts w:ascii="Arial" w:cs="Arial" w:eastAsia="Arial" w:hAnsi="Arial"/>
                <w:sz w:val="18"/>
                <w:szCs w:val="18"/>
                <w:color w:val="auto"/>
                <w:w w:val="90"/>
              </w:rPr>
              <w:t>Common stock, $0.001 par value—300 shares authorized; 162.6 and 171.7 shares issued and outstanding</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220" w:type="dxa"/>
            <w:vAlign w:val="bottom"/>
            <w:gridSpan w:val="2"/>
          </w:tcPr>
          <w:p>
            <w:pPr>
              <w:ind w:left="500"/>
              <w:spacing w:after="0"/>
              <w:rPr>
                <w:sz w:val="20"/>
                <w:szCs w:val="20"/>
                <w:color w:val="auto"/>
              </w:rPr>
            </w:pPr>
            <w:r>
              <w:rPr>
                <w:rFonts w:ascii="Arial" w:cs="Arial" w:eastAsia="Arial" w:hAnsi="Arial"/>
                <w:sz w:val="18"/>
                <w:szCs w:val="18"/>
                <w:color w:val="auto"/>
              </w:rPr>
              <w:t>at March 31, 2020 and December 31, 2019, respectively</w:t>
            </w:r>
          </w:p>
        </w:tc>
        <w:tc>
          <w:tcPr>
            <w:tcW w:w="24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0.2</w:t>
            </w:r>
          </w:p>
        </w:tc>
      </w:tr>
      <w:tr>
        <w:trPr>
          <w:trHeight w:val="27"/>
        </w:trPr>
        <w:tc>
          <w:tcPr>
            <w:tcW w:w="8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1,180.3</w:t>
            </w:r>
          </w:p>
        </w:tc>
      </w:tr>
      <w:tr>
        <w:trPr>
          <w:trHeight w:val="243"/>
        </w:trPr>
        <w:tc>
          <w:tcPr>
            <w:tcW w:w="8220" w:type="dxa"/>
            <w:vAlign w:val="bottom"/>
            <w:gridSpan w:val="2"/>
          </w:tcPr>
          <w:p>
            <w:pPr>
              <w:ind w:left="50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7"/>
        </w:trPr>
        <w:tc>
          <w:tcPr>
            <w:tcW w:w="8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Retained earnings (accumulated deficit)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140.3</w:t>
            </w:r>
          </w:p>
        </w:tc>
      </w:tr>
      <w:tr>
        <w:trPr>
          <w:trHeight w:val="236"/>
        </w:trPr>
        <w:tc>
          <w:tcPr>
            <w:tcW w:w="820" w:type="dxa"/>
            <w:vAlign w:val="bottom"/>
          </w:tcPr>
          <w:p>
            <w:pPr>
              <w:spacing w:after="0"/>
              <w:rPr>
                <w:sz w:val="20"/>
                <w:szCs w:val="20"/>
                <w:color w:val="auto"/>
              </w:rPr>
            </w:pPr>
          </w:p>
        </w:tc>
        <w:tc>
          <w:tcPr>
            <w:tcW w:w="7400" w:type="dxa"/>
            <w:vAlign w:val="bottom"/>
          </w:tcPr>
          <w:p>
            <w:pPr>
              <w:ind w:left="10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536.3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1,321.9</w:t>
            </w:r>
          </w:p>
        </w:tc>
      </w:tr>
      <w:tr>
        <w:trPr>
          <w:trHeight w:val="27"/>
        </w:trPr>
        <w:tc>
          <w:tcPr>
            <w:tcW w:w="82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3,206.2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3,885.5</w:t>
            </w:r>
          </w:p>
        </w:tc>
      </w:tr>
      <w:tr>
        <w:trPr>
          <w:trHeight w:val="20"/>
        </w:trPr>
        <w:tc>
          <w:tcPr>
            <w:tcW w:w="8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per share amounts)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8"/>
                <w:szCs w:val="18"/>
                <w:color w:val="auto"/>
              </w:rPr>
            </w:pPr>
          </w:p>
        </w:tc>
        <w:tc>
          <w:tcPr>
            <w:tcW w:w="1220" w:type="dxa"/>
            <w:vAlign w:val="bottom"/>
          </w:tcPr>
          <w:p>
            <w:pPr>
              <w:jc w:val="right"/>
              <w:ind w:right="311"/>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8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9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192.3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309.9</w:t>
            </w:r>
          </w:p>
        </w:tc>
        <w:tc>
          <w:tcPr>
            <w:tcW w:w="0" w:type="dxa"/>
            <w:vAlign w:val="bottom"/>
          </w:tcPr>
          <w:p>
            <w:pPr>
              <w:spacing w:after="0"/>
              <w:rPr>
                <w:sz w:val="1"/>
                <w:szCs w:val="1"/>
                <w:color w:val="auto"/>
              </w:rPr>
            </w:pPr>
          </w:p>
        </w:tc>
      </w:tr>
      <w:tr>
        <w:trPr>
          <w:trHeight w:val="237"/>
        </w:trPr>
        <w:tc>
          <w:tcPr>
            <w:tcW w:w="8220" w:type="dxa"/>
            <w:vAlign w:val="bottom"/>
          </w:tcPr>
          <w:p>
            <w:pPr>
              <w:ind w:left="92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576.9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472.6</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37"/>
        </w:trPr>
        <w:tc>
          <w:tcPr>
            <w:tcW w:w="8220" w:type="dxa"/>
            <w:vAlign w:val="bottom"/>
          </w:tcPr>
          <w:p>
            <w:pPr>
              <w:ind w:left="920"/>
              <w:spacing w:after="0"/>
              <w:rPr>
                <w:sz w:val="20"/>
                <w:szCs w:val="20"/>
                <w:color w:val="auto"/>
              </w:rPr>
            </w:pPr>
            <w:r>
              <w:rPr>
                <w:rFonts w:ascii="Arial" w:cs="Arial" w:eastAsia="Arial" w:hAnsi="Arial"/>
                <w:sz w:val="18"/>
                <w:szCs w:val="18"/>
                <w:color w:val="auto"/>
              </w:rPr>
              <w:t>Total cost of revenue</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37"/>
        </w:trPr>
        <w:tc>
          <w:tcPr>
            <w:tcW w:w="8220" w:type="dxa"/>
            <w:vAlign w:val="bottom"/>
          </w:tcPr>
          <w:p>
            <w:pPr>
              <w:ind w:left="920"/>
              <w:spacing w:after="0"/>
              <w:rPr>
                <w:sz w:val="20"/>
                <w:szCs w:val="20"/>
                <w:color w:val="auto"/>
              </w:rPr>
            </w:pPr>
            <w:r>
              <w:rPr>
                <w:rFonts w:ascii="Arial" w:cs="Arial" w:eastAsia="Arial" w:hAnsi="Arial"/>
                <w:sz w:val="18"/>
                <w:szCs w:val="18"/>
                <w:color w:val="auto"/>
              </w:rPr>
              <w:t>Total gross profit</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448.2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43"/>
        </w:trPr>
        <w:tc>
          <w:tcPr>
            <w:tcW w:w="822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Gain on intellectual property matter</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220" w:type="dxa"/>
            <w:vAlign w:val="bottom"/>
          </w:tcPr>
          <w:p>
            <w:pPr>
              <w:ind w:left="9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332.3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INTEREST INCOME—NET</w:t>
            </w:r>
          </w:p>
        </w:tc>
        <w:tc>
          <w:tcPr>
            <w:tcW w:w="2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EXPENSE—NET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97"/>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104.0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(Note 8):</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82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8220" w:type="dxa"/>
            <w:vAlign w:val="bottom"/>
            <w:vMerge w:val="restart"/>
          </w:tcPr>
          <w:p>
            <w:pPr>
              <w:ind w:left="40"/>
              <w:spacing w:after="0"/>
              <w:rPr>
                <w:sz w:val="20"/>
                <w:szCs w:val="20"/>
                <w:color w:val="auto"/>
              </w:rPr>
            </w:pPr>
            <w:r>
              <w:rPr>
                <w:rFonts w:ascii="Arial" w:cs="Arial" w:eastAsia="Arial" w:hAnsi="Arial"/>
                <w:sz w:val="18"/>
                <w:szCs w:val="18"/>
                <w:color w:val="auto"/>
              </w:rPr>
              <w:t>Weighted-average shares outstanding:</w:t>
            </w: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Pr>
          <w:p>
            <w:pPr>
              <w:ind w:left="50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174.2</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63"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4"/>
          </w:tcPr>
          <w:p>
            <w:pPr>
              <w:jc w:val="right"/>
              <w:ind w:right="673"/>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8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8"/>
                <w:szCs w:val="18"/>
                <w:color w:val="auto"/>
              </w:rPr>
            </w:pPr>
          </w:p>
        </w:tc>
        <w:tc>
          <w:tcPr>
            <w:tcW w:w="1220" w:type="dxa"/>
            <w:vAlign w:val="bottom"/>
          </w:tcPr>
          <w:p>
            <w:pPr>
              <w:jc w:val="right"/>
              <w:ind w:right="313"/>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8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73"/>
              <w:spacing w:after="0"/>
              <w:rPr>
                <w:sz w:val="20"/>
                <w:szCs w:val="20"/>
                <w:color w:val="auto"/>
              </w:rPr>
            </w:pPr>
            <w:r>
              <w:rPr>
                <w:rFonts w:ascii="Arial" w:cs="Arial" w:eastAsia="Arial" w:hAnsi="Arial"/>
                <w:sz w:val="16"/>
                <w:szCs w:val="16"/>
                <w:b w:val="1"/>
                <w:bCs w:val="1"/>
                <w:color w:val="auto"/>
              </w:rPr>
              <w:t>2019</w:t>
            </w:r>
          </w:p>
        </w:tc>
      </w:tr>
      <w:tr>
        <w:trPr>
          <w:trHeight w:val="33"/>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58.8</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unrealized gains (losses) on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Less: tax provision (benefit) related to change in unrealized gains (losses) on investments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0.3</w:t>
            </w:r>
          </w:p>
        </w:tc>
      </w:tr>
      <w:tr>
        <w:trPr>
          <w:trHeight w:val="27"/>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r>
      <w:tr>
        <w:trPr>
          <w:trHeight w:val="257"/>
        </w:trPr>
        <w:tc>
          <w:tcPr>
            <w:tcW w:w="82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59.5</w:t>
            </w: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gridSpan w:val="9"/>
          </w:tcPr>
          <w:p>
            <w:pPr>
              <w:jc w:val="right"/>
              <w:spacing w:after="0"/>
              <w:rPr>
                <w:sz w:val="20"/>
                <w:szCs w:val="20"/>
                <w:color w:val="auto"/>
              </w:rPr>
            </w:pPr>
            <w:r>
              <w:rPr>
                <w:rFonts w:ascii="Arial" w:cs="Arial" w:eastAsia="Arial" w:hAnsi="Arial"/>
                <w:sz w:val="16"/>
                <w:szCs w:val="16"/>
                <w:b w:val="1"/>
                <w:bCs w:val="1"/>
                <w:color w:val="auto"/>
                <w:w w:val="94"/>
              </w:rPr>
              <w:t>Three Months Ended March 31, 2020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40" w:type="dxa"/>
            <w:vAlign w:val="bottom"/>
          </w:tcPr>
          <w:p>
            <w:pPr>
              <w:spacing w:after="0"/>
              <w:rPr>
                <w:sz w:val="18"/>
                <w:szCs w:val="18"/>
                <w:color w:val="auto"/>
              </w:rPr>
            </w:pPr>
          </w:p>
        </w:tc>
        <w:tc>
          <w:tcPr>
            <w:tcW w:w="2040" w:type="dxa"/>
            <w:vAlign w:val="bottom"/>
            <w:gridSpan w:val="4"/>
            <w:vMerge w:val="restart"/>
          </w:tcPr>
          <w:p>
            <w:pPr>
              <w:jc w:val="right"/>
              <w:ind w:right="351"/>
              <w:spacing w:after="0"/>
              <w:rPr>
                <w:sz w:val="20"/>
                <w:szCs w:val="20"/>
                <w:color w:val="auto"/>
              </w:rPr>
            </w:pPr>
            <w:r>
              <w:rPr>
                <w:rFonts w:ascii="Arial" w:cs="Arial" w:eastAsia="Arial" w:hAnsi="Arial"/>
                <w:sz w:val="16"/>
                <w:szCs w:val="16"/>
                <w:b w:val="1"/>
                <w:bCs w:val="1"/>
                <w:color w:val="auto"/>
              </w:rPr>
              <w:t>Common Stock</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Retained</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rPr>
                <w:sz w:val="17"/>
                <w:szCs w:val="17"/>
                <w:color w:val="auto"/>
              </w:rPr>
            </w:pPr>
          </w:p>
        </w:tc>
        <w:tc>
          <w:tcPr>
            <w:tcW w:w="2040" w:type="dxa"/>
            <w:vAlign w:val="bottom"/>
            <w:tcBorders>
              <w:bottom w:val="single" w:sz="8" w:color="auto"/>
            </w:tcBorders>
            <w:gridSpan w:val="4"/>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240" w:type="dxa"/>
            <w:vAlign w:val="bottom"/>
          </w:tcPr>
          <w:p>
            <w:pPr>
              <w:spacing w:after="0"/>
              <w:rPr>
                <w:sz w:val="17"/>
                <w:szCs w:val="17"/>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Other</w:t>
            </w: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Earnings</w:t>
            </w:r>
          </w:p>
        </w:tc>
        <w:tc>
          <w:tcPr>
            <w:tcW w:w="200" w:type="dxa"/>
            <w:vAlign w:val="bottom"/>
          </w:tcPr>
          <w:p>
            <w:pPr>
              <w:spacing w:after="0"/>
              <w:rPr>
                <w:sz w:val="17"/>
                <w:szCs w:val="17"/>
                <w:color w:val="auto"/>
              </w:rPr>
            </w:pPr>
          </w:p>
        </w:tc>
        <w:tc>
          <w:tcPr>
            <w:tcW w:w="820" w:type="dxa"/>
            <w:vAlign w:val="bottom"/>
          </w:tcPr>
          <w:p>
            <w:pPr>
              <w:jc w:val="right"/>
              <w:ind w:right="2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2"/>
        </w:trPr>
        <w:tc>
          <w:tcPr>
            <w:tcW w:w="4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40"/>
              <w:spacing w:after="0" w:line="182" w:lineRule="exact"/>
              <w:rPr>
                <w:sz w:val="20"/>
                <w:szCs w:val="20"/>
                <w:color w:val="auto"/>
              </w:rPr>
            </w:pPr>
            <w:r>
              <w:rPr>
                <w:rFonts w:ascii="Arial" w:cs="Arial" w:eastAsia="Arial" w:hAnsi="Arial"/>
                <w:sz w:val="16"/>
                <w:szCs w:val="16"/>
                <w:b w:val="1"/>
                <w:bCs w:val="1"/>
                <w:color w:val="auto"/>
              </w:rPr>
              <w:t>Paid-In</w:t>
            </w:r>
          </w:p>
        </w:tc>
        <w:tc>
          <w:tcPr>
            <w:tcW w:w="1220" w:type="dxa"/>
            <w:vAlign w:val="bottom"/>
            <w:gridSpan w:val="3"/>
          </w:tcPr>
          <w:p>
            <w:pPr>
              <w:jc w:val="center"/>
              <w:ind w:right="100"/>
              <w:spacing w:after="0" w:line="182" w:lineRule="exact"/>
              <w:rPr>
                <w:sz w:val="20"/>
                <w:szCs w:val="20"/>
                <w:color w:val="auto"/>
              </w:rPr>
            </w:pPr>
            <w:r>
              <w:rPr>
                <w:rFonts w:ascii="Arial" w:cs="Arial" w:eastAsia="Arial" w:hAnsi="Arial"/>
                <w:sz w:val="16"/>
                <w:szCs w:val="16"/>
                <w:b w:val="1"/>
                <w:bCs w:val="1"/>
                <w:color w:val="auto"/>
                <w:w w:val="89"/>
              </w:rPr>
              <w:t>Comprehensive</w:t>
            </w:r>
          </w:p>
        </w:tc>
        <w:tc>
          <w:tcPr>
            <w:tcW w:w="1140" w:type="dxa"/>
            <w:vAlign w:val="bottom"/>
            <w:gridSpan w:val="3"/>
          </w:tcPr>
          <w:p>
            <w:pPr>
              <w:jc w:val="center"/>
              <w:ind w:right="100"/>
              <w:spacing w:after="0" w:line="182" w:lineRule="exact"/>
              <w:rPr>
                <w:sz w:val="20"/>
                <w:szCs w:val="20"/>
                <w:color w:val="auto"/>
              </w:rPr>
            </w:pPr>
            <w:r>
              <w:rPr>
                <w:rFonts w:ascii="Arial" w:cs="Arial" w:eastAsia="Arial" w:hAnsi="Arial"/>
                <w:sz w:val="16"/>
                <w:szCs w:val="16"/>
                <w:b w:val="1"/>
                <w:bCs w:val="1"/>
                <w:color w:val="auto"/>
                <w:w w:val="90"/>
              </w:rPr>
              <w:t>(Accumulated</w:t>
            </w:r>
          </w:p>
        </w:tc>
        <w:tc>
          <w:tcPr>
            <w:tcW w:w="1020" w:type="dxa"/>
            <w:vAlign w:val="bottom"/>
            <w:gridSpan w:val="2"/>
          </w:tcPr>
          <w:p>
            <w:pPr>
              <w:ind w:left="20"/>
              <w:spacing w:after="0" w:line="182" w:lineRule="exact"/>
              <w:rPr>
                <w:sz w:val="20"/>
                <w:szCs w:val="20"/>
                <w:color w:val="auto"/>
              </w:rPr>
            </w:pPr>
            <w:r>
              <w:rPr>
                <w:rFonts w:ascii="Arial" w:cs="Arial" w:eastAsia="Arial" w:hAnsi="Arial"/>
                <w:sz w:val="16"/>
                <w:szCs w:val="16"/>
                <w:b w:val="1"/>
                <w:bCs w:val="1"/>
                <w:color w:val="auto"/>
                <w:w w:val="92"/>
              </w:rPr>
              <w:t>Stockholders’</w:t>
            </w:r>
          </w:p>
        </w:tc>
        <w:tc>
          <w:tcPr>
            <w:tcW w:w="0" w:type="dxa"/>
            <w:vAlign w:val="bottom"/>
          </w:tcPr>
          <w:p>
            <w:pPr>
              <w:spacing w:after="0"/>
              <w:rPr>
                <w:sz w:val="1"/>
                <w:szCs w:val="1"/>
                <w:color w:val="auto"/>
              </w:rPr>
            </w:pPr>
          </w:p>
        </w:tc>
      </w:tr>
      <w:tr>
        <w:trPr>
          <w:trHeight w:val="210"/>
        </w:trPr>
        <w:tc>
          <w:tcPr>
            <w:tcW w:w="4440" w:type="dxa"/>
            <w:vAlign w:val="bottom"/>
          </w:tcPr>
          <w:p>
            <w:pPr>
              <w:spacing w:after="0"/>
              <w:rPr>
                <w:sz w:val="18"/>
                <w:szCs w:val="18"/>
                <w:color w:val="auto"/>
              </w:rPr>
            </w:pPr>
          </w:p>
        </w:tc>
        <w:tc>
          <w:tcPr>
            <w:tcW w:w="1100" w:type="dxa"/>
            <w:vAlign w:val="bottom"/>
            <w:gridSpan w:val="2"/>
          </w:tcPr>
          <w:p>
            <w:pPr>
              <w:ind w:left="26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Arial" w:cs="Arial" w:eastAsia="Arial" w:hAnsi="Arial"/>
                <w:sz w:val="16"/>
                <w:szCs w:val="16"/>
                <w:b w:val="1"/>
                <w:bCs w:val="1"/>
                <w:color w:val="auto"/>
                <w:w w:val="99"/>
              </w:rPr>
              <w:t>Amount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Capital</w:t>
            </w: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Income (Loss)</w:t>
            </w:r>
          </w:p>
        </w:tc>
        <w:tc>
          <w:tcPr>
            <w:tcW w:w="16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Deficit)</w:t>
            </w:r>
          </w:p>
        </w:tc>
        <w:tc>
          <w:tcPr>
            <w:tcW w:w="20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44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2019</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1,321.9</w:t>
            </w:r>
          </w:p>
        </w:tc>
        <w:tc>
          <w:tcPr>
            <w:tcW w:w="0" w:type="dxa"/>
            <w:vAlign w:val="bottom"/>
          </w:tcPr>
          <w:p>
            <w:pPr>
              <w:spacing w:after="0"/>
              <w:rPr>
                <w:sz w:val="1"/>
                <w:szCs w:val="1"/>
                <w:color w:val="auto"/>
              </w:rPr>
            </w:pPr>
          </w:p>
        </w:tc>
      </w:tr>
      <w:tr>
        <w:trPr>
          <w:trHeight w:val="229"/>
        </w:trPr>
        <w:tc>
          <w:tcPr>
            <w:tcW w:w="4440" w:type="dxa"/>
            <w:vAlign w:val="bottom"/>
          </w:tcPr>
          <w:p>
            <w:pPr>
              <w:ind w:left="280"/>
              <w:spacing w:after="0"/>
              <w:rPr>
                <w:sz w:val="20"/>
                <w:szCs w:val="20"/>
                <w:color w:val="auto"/>
              </w:rPr>
            </w:pPr>
            <w:r>
              <w:rPr>
                <w:rFonts w:ascii="Arial" w:cs="Arial" w:eastAsia="Arial" w:hAnsi="Arial"/>
                <w:sz w:val="18"/>
                <w:szCs w:val="18"/>
                <w:color w:val="auto"/>
                <w:w w:val="99"/>
              </w:rPr>
              <w:t>Issuance of common stock in connection with equity</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80"/>
              <w:spacing w:after="0"/>
              <w:rPr>
                <w:sz w:val="20"/>
                <w:szCs w:val="20"/>
                <w:color w:val="auto"/>
              </w:rPr>
            </w:pPr>
            <w:r>
              <w:rPr>
                <w:rFonts w:ascii="Arial" w:cs="Arial" w:eastAsia="Arial" w:hAnsi="Arial"/>
                <w:sz w:val="18"/>
                <w:szCs w:val="18"/>
                <w:color w:val="auto"/>
              </w:rPr>
              <w:t>incentive plans - net of tax withholding</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 and retirement of common stock</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(899.9)</w:t>
            </w: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8"/>
              </w:rPr>
              <w:t>Net unrealized gain (loss) on investments - net of tax</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BALANCE—March 31, 2020</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162.6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1,128.4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536.3</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700" w:type="dxa"/>
            <w:vAlign w:val="bottom"/>
            <w:gridSpan w:val="9"/>
          </w:tcPr>
          <w:p>
            <w:pPr>
              <w:jc w:val="right"/>
              <w:spacing w:after="0"/>
              <w:rPr>
                <w:sz w:val="20"/>
                <w:szCs w:val="20"/>
                <w:color w:val="auto"/>
              </w:rPr>
            </w:pPr>
            <w:r>
              <w:rPr>
                <w:rFonts w:ascii="Arial" w:cs="Arial" w:eastAsia="Arial" w:hAnsi="Arial"/>
                <w:sz w:val="16"/>
                <w:szCs w:val="16"/>
                <w:b w:val="1"/>
                <w:bCs w:val="1"/>
                <w:color w:val="auto"/>
                <w:w w:val="94"/>
              </w:rPr>
              <w:t>Three Months Ended March 31, 2019</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40" w:type="dxa"/>
            <w:vAlign w:val="bottom"/>
          </w:tcPr>
          <w:p>
            <w:pPr>
              <w:spacing w:after="0"/>
              <w:rPr>
                <w:sz w:val="18"/>
                <w:szCs w:val="18"/>
                <w:color w:val="auto"/>
              </w:rPr>
            </w:pPr>
          </w:p>
        </w:tc>
        <w:tc>
          <w:tcPr>
            <w:tcW w:w="2040" w:type="dxa"/>
            <w:vAlign w:val="bottom"/>
            <w:gridSpan w:val="4"/>
            <w:vMerge w:val="restart"/>
          </w:tcPr>
          <w:p>
            <w:pPr>
              <w:jc w:val="right"/>
              <w:ind w:right="351"/>
              <w:spacing w:after="0"/>
              <w:rPr>
                <w:sz w:val="20"/>
                <w:szCs w:val="20"/>
                <w:color w:val="auto"/>
              </w:rPr>
            </w:pPr>
            <w:r>
              <w:rPr>
                <w:rFonts w:ascii="Arial" w:cs="Arial" w:eastAsia="Arial" w:hAnsi="Arial"/>
                <w:sz w:val="16"/>
                <w:szCs w:val="16"/>
                <w:b w:val="1"/>
                <w:bCs w:val="1"/>
                <w:color w:val="auto"/>
              </w:rPr>
              <w:t>Common Stock</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rPr>
                <w:sz w:val="17"/>
                <w:szCs w:val="17"/>
                <w:color w:val="auto"/>
              </w:rPr>
            </w:pPr>
          </w:p>
        </w:tc>
        <w:tc>
          <w:tcPr>
            <w:tcW w:w="2040" w:type="dxa"/>
            <w:vAlign w:val="bottom"/>
            <w:tcBorders>
              <w:bottom w:val="single" w:sz="8" w:color="auto"/>
            </w:tcBorders>
            <w:gridSpan w:val="4"/>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240" w:type="dxa"/>
            <w:vAlign w:val="bottom"/>
          </w:tcPr>
          <w:p>
            <w:pPr>
              <w:spacing w:after="0"/>
              <w:rPr>
                <w:sz w:val="17"/>
                <w:szCs w:val="17"/>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Other</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2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2"/>
        </w:trPr>
        <w:tc>
          <w:tcPr>
            <w:tcW w:w="4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40"/>
              <w:spacing w:after="0" w:line="182" w:lineRule="exact"/>
              <w:rPr>
                <w:sz w:val="20"/>
                <w:szCs w:val="20"/>
                <w:color w:val="auto"/>
              </w:rPr>
            </w:pPr>
            <w:r>
              <w:rPr>
                <w:rFonts w:ascii="Arial" w:cs="Arial" w:eastAsia="Arial" w:hAnsi="Arial"/>
                <w:sz w:val="16"/>
                <w:szCs w:val="16"/>
                <w:b w:val="1"/>
                <w:bCs w:val="1"/>
                <w:color w:val="auto"/>
              </w:rPr>
              <w:t>Paid-In</w:t>
            </w:r>
          </w:p>
        </w:tc>
        <w:tc>
          <w:tcPr>
            <w:tcW w:w="1220" w:type="dxa"/>
            <w:vAlign w:val="bottom"/>
            <w:gridSpan w:val="3"/>
          </w:tcPr>
          <w:p>
            <w:pPr>
              <w:jc w:val="center"/>
              <w:ind w:right="100"/>
              <w:spacing w:after="0" w:line="182" w:lineRule="exact"/>
              <w:rPr>
                <w:sz w:val="20"/>
                <w:szCs w:val="20"/>
                <w:color w:val="auto"/>
              </w:rPr>
            </w:pPr>
            <w:r>
              <w:rPr>
                <w:rFonts w:ascii="Arial" w:cs="Arial" w:eastAsia="Arial" w:hAnsi="Arial"/>
                <w:sz w:val="16"/>
                <w:szCs w:val="16"/>
                <w:b w:val="1"/>
                <w:bCs w:val="1"/>
                <w:color w:val="auto"/>
                <w:w w:val="89"/>
              </w:rPr>
              <w:t>Comprehensive</w:t>
            </w:r>
          </w:p>
        </w:tc>
        <w:tc>
          <w:tcPr>
            <w:tcW w:w="1140" w:type="dxa"/>
            <w:vAlign w:val="bottom"/>
            <w:gridSpan w:val="3"/>
          </w:tcPr>
          <w:p>
            <w:pPr>
              <w:jc w:val="center"/>
              <w:ind w:right="100"/>
              <w:spacing w:after="0" w:line="182" w:lineRule="exact"/>
              <w:rPr>
                <w:sz w:val="20"/>
                <w:szCs w:val="20"/>
                <w:color w:val="auto"/>
              </w:rPr>
            </w:pPr>
            <w:r>
              <w:rPr>
                <w:rFonts w:ascii="Arial" w:cs="Arial" w:eastAsia="Arial" w:hAnsi="Arial"/>
                <w:sz w:val="16"/>
                <w:szCs w:val="16"/>
                <w:b w:val="1"/>
                <w:bCs w:val="1"/>
                <w:color w:val="auto"/>
                <w:w w:val="91"/>
              </w:rPr>
              <w:t>Accumulated</w:t>
            </w:r>
          </w:p>
        </w:tc>
        <w:tc>
          <w:tcPr>
            <w:tcW w:w="1020" w:type="dxa"/>
            <w:vAlign w:val="bottom"/>
            <w:gridSpan w:val="2"/>
          </w:tcPr>
          <w:p>
            <w:pPr>
              <w:ind w:left="20"/>
              <w:spacing w:after="0" w:line="182" w:lineRule="exact"/>
              <w:rPr>
                <w:sz w:val="20"/>
                <w:szCs w:val="20"/>
                <w:color w:val="auto"/>
              </w:rPr>
            </w:pPr>
            <w:r>
              <w:rPr>
                <w:rFonts w:ascii="Arial" w:cs="Arial" w:eastAsia="Arial" w:hAnsi="Arial"/>
                <w:sz w:val="16"/>
                <w:szCs w:val="16"/>
                <w:b w:val="1"/>
                <w:bCs w:val="1"/>
                <w:color w:val="auto"/>
                <w:w w:val="92"/>
              </w:rPr>
              <w:t>Stockholders’</w:t>
            </w:r>
          </w:p>
        </w:tc>
        <w:tc>
          <w:tcPr>
            <w:tcW w:w="0" w:type="dxa"/>
            <w:vAlign w:val="bottom"/>
          </w:tcPr>
          <w:p>
            <w:pPr>
              <w:spacing w:after="0"/>
              <w:rPr>
                <w:sz w:val="1"/>
                <w:szCs w:val="1"/>
                <w:color w:val="auto"/>
              </w:rPr>
            </w:pPr>
          </w:p>
        </w:tc>
      </w:tr>
      <w:tr>
        <w:trPr>
          <w:trHeight w:val="210"/>
        </w:trPr>
        <w:tc>
          <w:tcPr>
            <w:tcW w:w="4440" w:type="dxa"/>
            <w:vAlign w:val="bottom"/>
          </w:tcPr>
          <w:p>
            <w:pPr>
              <w:spacing w:after="0"/>
              <w:rPr>
                <w:sz w:val="18"/>
                <w:szCs w:val="18"/>
                <w:color w:val="auto"/>
              </w:rPr>
            </w:pPr>
          </w:p>
        </w:tc>
        <w:tc>
          <w:tcPr>
            <w:tcW w:w="1100" w:type="dxa"/>
            <w:vAlign w:val="bottom"/>
            <w:gridSpan w:val="2"/>
          </w:tcPr>
          <w:p>
            <w:pPr>
              <w:ind w:left="26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Arial" w:cs="Arial" w:eastAsia="Arial" w:hAnsi="Arial"/>
                <w:sz w:val="16"/>
                <w:szCs w:val="16"/>
                <w:b w:val="1"/>
                <w:bCs w:val="1"/>
                <w:color w:val="auto"/>
                <w:w w:val="99"/>
              </w:rPr>
              <w:t>Amount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Capital</w:t>
            </w:r>
          </w:p>
        </w:tc>
        <w:tc>
          <w:tcPr>
            <w:tcW w:w="2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5"/>
              </w:rPr>
              <w:t>Loss</w:t>
            </w:r>
          </w:p>
        </w:tc>
        <w:tc>
          <w:tcPr>
            <w:tcW w:w="20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Deficit</w:t>
            </w:r>
          </w:p>
        </w:tc>
        <w:tc>
          <w:tcPr>
            <w:tcW w:w="20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44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2018</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1,010.2</w:t>
            </w:r>
          </w:p>
        </w:tc>
        <w:tc>
          <w:tcPr>
            <w:tcW w:w="0" w:type="dxa"/>
            <w:vAlign w:val="bottom"/>
          </w:tcPr>
          <w:p>
            <w:pPr>
              <w:spacing w:after="0"/>
              <w:rPr>
                <w:sz w:val="1"/>
                <w:szCs w:val="1"/>
                <w:color w:val="auto"/>
              </w:rPr>
            </w:pPr>
          </w:p>
        </w:tc>
      </w:tr>
      <w:tr>
        <w:trPr>
          <w:trHeight w:val="229"/>
        </w:trPr>
        <w:tc>
          <w:tcPr>
            <w:tcW w:w="4440" w:type="dxa"/>
            <w:vAlign w:val="bottom"/>
          </w:tcPr>
          <w:p>
            <w:pPr>
              <w:ind w:left="280"/>
              <w:spacing w:after="0"/>
              <w:rPr>
                <w:sz w:val="20"/>
                <w:szCs w:val="20"/>
                <w:color w:val="auto"/>
              </w:rPr>
            </w:pPr>
            <w:r>
              <w:rPr>
                <w:rFonts w:ascii="Arial" w:cs="Arial" w:eastAsia="Arial" w:hAnsi="Arial"/>
                <w:sz w:val="18"/>
                <w:szCs w:val="18"/>
                <w:color w:val="auto"/>
                <w:w w:val="99"/>
              </w:rPr>
              <w:t>Issuance of common stock in connection with equity</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80"/>
              <w:spacing w:after="0"/>
              <w:rPr>
                <w:sz w:val="20"/>
                <w:szCs w:val="20"/>
                <w:color w:val="auto"/>
              </w:rPr>
            </w:pPr>
            <w:r>
              <w:rPr>
                <w:rFonts w:ascii="Arial" w:cs="Arial" w:eastAsia="Arial" w:hAnsi="Arial"/>
                <w:sz w:val="18"/>
                <w:szCs w:val="18"/>
                <w:color w:val="auto"/>
              </w:rPr>
              <w:t>incentive plans - net of tax withholding</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 and retirement of common stock</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0"/>
        </w:trPr>
        <w:tc>
          <w:tcPr>
            <w:tcW w:w="4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Cumulative-effect adjustment from adoption of ASU</w:t>
            </w: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2018-02</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8"/>
        </w:trPr>
        <w:tc>
          <w:tcPr>
            <w:tcW w:w="4440" w:type="dxa"/>
            <w:vAlign w:val="bottom"/>
            <w:tcBorders>
              <w:bottom w:val="single" w:sz="8" w:color="CCEEFF"/>
            </w:tcBorders>
            <w:shd w:val="clear" w:color="auto" w:fill="CCEEFF"/>
          </w:tcPr>
          <w:p>
            <w:pPr>
              <w:spacing w:after="0"/>
              <w:rPr>
                <w:sz w:val="7"/>
                <w:szCs w:val="7"/>
                <w:color w:val="auto"/>
              </w:rPr>
            </w:pPr>
          </w:p>
        </w:tc>
        <w:tc>
          <w:tcPr>
            <w:tcW w:w="1100" w:type="dxa"/>
            <w:vAlign w:val="bottom"/>
            <w:tcBorders>
              <w:bottom w:val="single" w:sz="8" w:color="CCEEFF"/>
            </w:tcBorders>
            <w:gridSpan w:val="2"/>
            <w:vMerge w:val="continue"/>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CCEEFF"/>
            </w:tcBorders>
            <w:vMerge w:val="continue"/>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980" w:type="dxa"/>
            <w:vAlign w:val="bottom"/>
            <w:tcBorders>
              <w:bottom w:val="single" w:sz="8" w:color="CCEEFF"/>
            </w:tcBorders>
            <w:gridSpan w:val="2"/>
            <w:vMerge w:val="continue"/>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88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84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w w:val="98"/>
              </w:rPr>
              <w:t>Net unrealized gain (loss) on investments - net of tax</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57"/>
        </w:trPr>
        <w:tc>
          <w:tcPr>
            <w:tcW w:w="4440" w:type="dxa"/>
            <w:vAlign w:val="bottom"/>
          </w:tcPr>
          <w:p>
            <w:pPr>
              <w:ind w:left="40"/>
              <w:spacing w:after="0"/>
              <w:rPr>
                <w:sz w:val="20"/>
                <w:szCs w:val="20"/>
                <w:color w:val="auto"/>
              </w:rPr>
            </w:pPr>
            <w:r>
              <w:rPr>
                <w:rFonts w:ascii="Arial" w:cs="Arial" w:eastAsia="Arial" w:hAnsi="Arial"/>
                <w:sz w:val="18"/>
                <w:szCs w:val="18"/>
                <w:color w:val="auto"/>
              </w:rPr>
              <w:t>BALANCE—March 31, 2019</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1,108.1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1,058.1</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121" w:right="4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4"/>
          </w:tcPr>
          <w:p>
            <w:pPr>
              <w:jc w:val="right"/>
              <w:ind w:right="568"/>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8"/>
                <w:szCs w:val="18"/>
                <w:color w:val="auto"/>
              </w:rPr>
            </w:pPr>
          </w:p>
        </w:tc>
        <w:tc>
          <w:tcPr>
            <w:tcW w:w="1140" w:type="dxa"/>
            <w:vAlign w:val="bottom"/>
          </w:tcPr>
          <w:p>
            <w:pPr>
              <w:jc w:val="right"/>
              <w:ind w:right="268"/>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8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47"/>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28"/>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440" w:type="dxa"/>
            <w:vAlign w:val="bottom"/>
          </w:tcPr>
          <w:p>
            <w:pPr>
              <w:ind w:left="500"/>
              <w:spacing w:after="0"/>
              <w:rPr>
                <w:sz w:val="20"/>
                <w:szCs w:val="20"/>
                <w:color w:val="auto"/>
              </w:rPr>
            </w:pPr>
            <w:r>
              <w:rPr>
                <w:rFonts w:ascii="Arial" w:cs="Arial" w:eastAsia="Arial" w:hAnsi="Arial"/>
                <w:sz w:val="14"/>
                <w:szCs w:val="14"/>
                <w:color w:val="auto"/>
              </w:rPr>
              <w:t>Net income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7"/>
              <w:spacing w:after="0"/>
              <w:rPr>
                <w:sz w:val="20"/>
                <w:szCs w:val="20"/>
                <w:color w:val="auto"/>
              </w:rPr>
            </w:pPr>
            <w:r>
              <w:rPr>
                <w:rFonts w:ascii="Arial" w:cs="Arial" w:eastAsia="Arial" w:hAnsi="Arial"/>
                <w:sz w:val="14"/>
                <w:szCs w:val="14"/>
                <w:color w:val="auto"/>
              </w:rPr>
              <w:t>104.0</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58.8</w:t>
            </w:r>
          </w:p>
        </w:tc>
        <w:tc>
          <w:tcPr>
            <w:tcW w:w="0" w:type="dxa"/>
            <w:vAlign w:val="bottom"/>
          </w:tcPr>
          <w:p>
            <w:pPr>
              <w:spacing w:after="0"/>
              <w:rPr>
                <w:sz w:val="1"/>
                <w:szCs w:val="1"/>
                <w:color w:val="auto"/>
              </w:rPr>
            </w:pPr>
          </w:p>
        </w:tc>
      </w:tr>
      <w:tr>
        <w:trPr>
          <w:trHeight w:val="276"/>
        </w:trPr>
        <w:tc>
          <w:tcPr>
            <w:tcW w:w="8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440" w:type="dxa"/>
            <w:vAlign w:val="bottom"/>
          </w:tcPr>
          <w:p>
            <w:pPr>
              <w:ind w:left="920"/>
              <w:spacing w:after="0"/>
              <w:rPr>
                <w:sz w:val="20"/>
                <w:szCs w:val="20"/>
                <w:color w:val="auto"/>
              </w:rPr>
            </w:pPr>
            <w:r>
              <w:rPr>
                <w:rFonts w:ascii="Arial" w:cs="Arial" w:eastAsia="Arial" w:hAnsi="Arial"/>
                <w:sz w:val="14"/>
                <w:szCs w:val="14"/>
                <w:color w:val="auto"/>
              </w:rPr>
              <w:t>Stock-based compensation</w:t>
            </w:r>
          </w:p>
        </w:tc>
        <w:tc>
          <w:tcPr>
            <w:tcW w:w="200" w:type="dxa"/>
            <w:vAlign w:val="bottom"/>
          </w:tcPr>
          <w:p>
            <w:pPr>
              <w:spacing w:after="0"/>
              <w:rPr>
                <w:sz w:val="22"/>
                <w:szCs w:val="22"/>
                <w:color w:val="auto"/>
              </w:rPr>
            </w:pPr>
          </w:p>
        </w:tc>
        <w:tc>
          <w:tcPr>
            <w:tcW w:w="1160" w:type="dxa"/>
            <w:vAlign w:val="bottom"/>
          </w:tcPr>
          <w:p>
            <w:pPr>
              <w:jc w:val="right"/>
              <w:ind w:right="47"/>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276"/>
        </w:trPr>
        <w:tc>
          <w:tcPr>
            <w:tcW w:w="84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Amortization of deferred contract costs</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31.3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264"/>
        </w:trPr>
        <w:tc>
          <w:tcPr>
            <w:tcW w:w="8440" w:type="dxa"/>
            <w:vAlign w:val="bottom"/>
          </w:tcPr>
          <w:p>
            <w:pPr>
              <w:ind w:left="9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22"/>
                <w:szCs w:val="22"/>
                <w:color w:val="auto"/>
              </w:rPr>
            </w:pPr>
          </w:p>
        </w:tc>
        <w:tc>
          <w:tcPr>
            <w:tcW w:w="1160" w:type="dxa"/>
            <w:vAlign w:val="bottom"/>
          </w:tcPr>
          <w:p>
            <w:pPr>
              <w:jc w:val="right"/>
              <w:ind w:right="47"/>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76"/>
        </w:trPr>
        <w:tc>
          <w:tcPr>
            <w:tcW w:w="84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Amortization of investment premiums (discounts)</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64"/>
        </w:trPr>
        <w:tc>
          <w:tcPr>
            <w:tcW w:w="8440" w:type="dxa"/>
            <w:vAlign w:val="bottom"/>
          </w:tcPr>
          <w:p>
            <w:pPr>
              <w:ind w:left="920"/>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22"/>
                <w:szCs w:val="22"/>
                <w:color w:val="auto"/>
              </w:rPr>
            </w:pPr>
          </w:p>
        </w:tc>
        <w:tc>
          <w:tcPr>
            <w:tcW w:w="1160" w:type="dxa"/>
            <w:vAlign w:val="bottom"/>
          </w:tcPr>
          <w:p>
            <w:pPr>
              <w:jc w:val="right"/>
              <w:ind w:right="47"/>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6"/>
        </w:trPr>
        <w:tc>
          <w:tcPr>
            <w:tcW w:w="84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Changes in operating assets and liabilities:</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440" w:type="dxa"/>
            <w:vAlign w:val="bottom"/>
          </w:tcPr>
          <w:p>
            <w:pPr>
              <w:ind w:left="1460"/>
              <w:spacing w:after="0"/>
              <w:rPr>
                <w:sz w:val="20"/>
                <w:szCs w:val="20"/>
                <w:color w:val="auto"/>
              </w:rPr>
            </w:pPr>
            <w:r>
              <w:rPr>
                <w:rFonts w:ascii="Arial" w:cs="Arial" w:eastAsia="Arial" w:hAnsi="Arial"/>
                <w:sz w:val="14"/>
                <w:szCs w:val="14"/>
                <w:color w:val="auto"/>
              </w:rPr>
              <w:t>Accounts receivable—net</w:t>
            </w:r>
          </w:p>
        </w:tc>
        <w:tc>
          <w:tcPr>
            <w:tcW w:w="200" w:type="dxa"/>
            <w:vAlign w:val="bottom"/>
          </w:tcPr>
          <w:p>
            <w:pPr>
              <w:spacing w:after="0"/>
              <w:rPr>
                <w:sz w:val="22"/>
                <w:szCs w:val="22"/>
                <w:color w:val="auto"/>
              </w:rPr>
            </w:pPr>
          </w:p>
        </w:tc>
        <w:tc>
          <w:tcPr>
            <w:tcW w:w="1160" w:type="dxa"/>
            <w:vAlign w:val="bottom"/>
          </w:tcPr>
          <w:p>
            <w:pPr>
              <w:jc w:val="right"/>
              <w:ind w:right="47"/>
              <w:spacing w:after="0"/>
              <w:rPr>
                <w:sz w:val="20"/>
                <w:szCs w:val="20"/>
                <w:color w:val="auto"/>
              </w:rPr>
            </w:pPr>
            <w:r>
              <w:rPr>
                <w:rFonts w:ascii="Arial" w:cs="Arial" w:eastAsia="Arial" w:hAnsi="Arial"/>
                <w:sz w:val="14"/>
                <w:szCs w:val="14"/>
                <w:color w:val="auto"/>
              </w:rPr>
              <w:t>69.6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63.6</w:t>
            </w:r>
          </w:p>
        </w:tc>
        <w:tc>
          <w:tcPr>
            <w:tcW w:w="0" w:type="dxa"/>
            <w:vAlign w:val="bottom"/>
          </w:tcPr>
          <w:p>
            <w:pPr>
              <w:spacing w:after="0"/>
              <w:rPr>
                <w:sz w:val="1"/>
                <w:szCs w:val="1"/>
                <w:color w:val="auto"/>
              </w:rPr>
            </w:pPr>
          </w:p>
        </w:tc>
      </w:tr>
      <w:tr>
        <w:trPr>
          <w:trHeight w:val="276"/>
        </w:trPr>
        <w:tc>
          <w:tcPr>
            <w:tcW w:w="84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Inventory</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64"/>
        </w:trPr>
        <w:tc>
          <w:tcPr>
            <w:tcW w:w="8440" w:type="dxa"/>
            <w:vAlign w:val="bottom"/>
          </w:tcPr>
          <w:p>
            <w:pPr>
              <w:ind w:left="146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76"/>
        </w:trPr>
        <w:tc>
          <w:tcPr>
            <w:tcW w:w="84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Deferred contract costs</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264"/>
        </w:trPr>
        <w:tc>
          <w:tcPr>
            <w:tcW w:w="8440" w:type="dxa"/>
            <w:vAlign w:val="bottom"/>
          </w:tcPr>
          <w:p>
            <w:pPr>
              <w:ind w:left="1460"/>
              <w:spacing w:after="0"/>
              <w:rPr>
                <w:sz w:val="20"/>
                <w:szCs w:val="20"/>
                <w:color w:val="auto"/>
              </w:rPr>
            </w:pPr>
            <w:r>
              <w:rPr>
                <w:rFonts w:ascii="Arial" w:cs="Arial" w:eastAsia="Arial" w:hAnsi="Arial"/>
                <w:sz w:val="14"/>
                <w:szCs w:val="14"/>
                <w:color w:val="auto"/>
              </w:rPr>
              <w:t>Deferred tax assets</w:t>
            </w:r>
          </w:p>
        </w:tc>
        <w:tc>
          <w:tcPr>
            <w:tcW w:w="200" w:type="dxa"/>
            <w:vAlign w:val="bottom"/>
          </w:tcPr>
          <w:p>
            <w:pPr>
              <w:spacing w:after="0"/>
              <w:rPr>
                <w:sz w:val="22"/>
                <w:szCs w:val="22"/>
                <w:color w:val="auto"/>
              </w:rPr>
            </w:pPr>
          </w:p>
        </w:tc>
        <w:tc>
          <w:tcPr>
            <w:tcW w:w="1160" w:type="dxa"/>
            <w:vAlign w:val="bottom"/>
          </w:tcPr>
          <w:p>
            <w:pPr>
              <w:jc w:val="right"/>
              <w:ind w:right="47"/>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76"/>
        </w:trPr>
        <w:tc>
          <w:tcPr>
            <w:tcW w:w="84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Other assets</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64"/>
        </w:trPr>
        <w:tc>
          <w:tcPr>
            <w:tcW w:w="8440" w:type="dxa"/>
            <w:vAlign w:val="bottom"/>
          </w:tcPr>
          <w:p>
            <w:pPr>
              <w:ind w:left="1460"/>
              <w:spacing w:after="0"/>
              <w:rPr>
                <w:sz w:val="20"/>
                <w:szCs w:val="20"/>
                <w:color w:val="auto"/>
              </w:rPr>
            </w:pPr>
            <w:r>
              <w:rPr>
                <w:rFonts w:ascii="Arial" w:cs="Arial" w:eastAsia="Arial" w:hAnsi="Arial"/>
                <w:sz w:val="14"/>
                <w:szCs w:val="14"/>
                <w:color w:val="auto"/>
              </w:rPr>
              <w:t>Accounts payable</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76"/>
        </w:trPr>
        <w:tc>
          <w:tcPr>
            <w:tcW w:w="84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Accrued liabilities</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64"/>
        </w:trPr>
        <w:tc>
          <w:tcPr>
            <w:tcW w:w="8440" w:type="dxa"/>
            <w:vAlign w:val="bottom"/>
          </w:tcPr>
          <w:p>
            <w:pPr>
              <w:ind w:left="1460"/>
              <w:spacing w:after="0"/>
              <w:rPr>
                <w:sz w:val="20"/>
                <w:szCs w:val="20"/>
                <w:color w:val="auto"/>
              </w:rPr>
            </w:pPr>
            <w:r>
              <w:rPr>
                <w:rFonts w:ascii="Arial" w:cs="Arial" w:eastAsia="Arial" w:hAnsi="Arial"/>
                <w:sz w:val="14"/>
                <w:szCs w:val="14"/>
                <w:color w:val="auto"/>
              </w:rPr>
              <w:t>Accrued payroll and compensation</w:t>
            </w:r>
          </w:p>
        </w:tc>
        <w:tc>
          <w:tcPr>
            <w:tcW w:w="200" w:type="dxa"/>
            <w:vAlign w:val="bottom"/>
          </w:tcPr>
          <w:p>
            <w:pPr>
              <w:spacing w:after="0"/>
              <w:rPr>
                <w:sz w:val="22"/>
                <w:szCs w:val="22"/>
                <w:color w:val="auto"/>
              </w:rPr>
            </w:pPr>
          </w:p>
        </w:tc>
        <w:tc>
          <w:tcPr>
            <w:tcW w:w="1160" w:type="dxa"/>
            <w:vAlign w:val="bottom"/>
          </w:tcPr>
          <w:p>
            <w:pPr>
              <w:jc w:val="right"/>
              <w:ind w:right="47"/>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76"/>
        </w:trPr>
        <w:tc>
          <w:tcPr>
            <w:tcW w:w="84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Other liabilities</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tcPr>
          <w:p>
            <w:pPr>
              <w:ind w:left="1460"/>
              <w:spacing w:after="0"/>
              <w:rPr>
                <w:sz w:val="20"/>
                <w:szCs w:val="20"/>
                <w:color w:val="auto"/>
              </w:rPr>
            </w:pPr>
            <w:r>
              <w:rPr>
                <w:rFonts w:ascii="Arial" w:cs="Arial" w:eastAsia="Arial" w:hAnsi="Arial"/>
                <w:sz w:val="14"/>
                <w:szCs w:val="14"/>
                <w:color w:val="auto"/>
              </w:rPr>
              <w:t>Deferred revenue</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90.9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79.0</w:t>
            </w:r>
          </w:p>
        </w:tc>
        <w:tc>
          <w:tcPr>
            <w:tcW w:w="0" w:type="dxa"/>
            <w:vAlign w:val="bottom"/>
          </w:tcPr>
          <w:p>
            <w:pPr>
              <w:spacing w:after="0"/>
              <w:rPr>
                <w:sz w:val="1"/>
                <w:szCs w:val="1"/>
                <w:color w:val="auto"/>
              </w:rPr>
            </w:pPr>
          </w:p>
        </w:tc>
      </w:tr>
      <w:tr>
        <w:trPr>
          <w:trHeight w:val="256"/>
        </w:trPr>
        <w:tc>
          <w:tcPr>
            <w:tcW w:w="844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319.4</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58"/>
        </w:trPr>
        <w:tc>
          <w:tcPr>
            <w:tcW w:w="844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Purchases of investments</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(264.5)</w:t>
            </w:r>
          </w:p>
        </w:tc>
        <w:tc>
          <w:tcPr>
            <w:tcW w:w="0" w:type="dxa"/>
            <w:vAlign w:val="bottom"/>
          </w:tcPr>
          <w:p>
            <w:pPr>
              <w:spacing w:after="0"/>
              <w:rPr>
                <w:sz w:val="1"/>
                <w:szCs w:val="1"/>
                <w:color w:val="auto"/>
              </w:rPr>
            </w:pPr>
          </w:p>
        </w:tc>
      </w:tr>
      <w:tr>
        <w:trPr>
          <w:trHeight w:val="264"/>
        </w:trPr>
        <w:tc>
          <w:tcPr>
            <w:tcW w:w="8440" w:type="dxa"/>
            <w:vAlign w:val="bottom"/>
          </w:tcPr>
          <w:p>
            <w:pPr>
              <w:ind w:left="500"/>
              <w:spacing w:after="0"/>
              <w:rPr>
                <w:sz w:val="20"/>
                <w:szCs w:val="20"/>
                <w:color w:val="auto"/>
              </w:rPr>
            </w:pPr>
            <w:r>
              <w:rPr>
                <w:rFonts w:ascii="Arial" w:cs="Arial" w:eastAsia="Arial" w:hAnsi="Arial"/>
                <w:sz w:val="14"/>
                <w:szCs w:val="14"/>
                <w:color w:val="auto"/>
              </w:rPr>
              <w:t>Sales of investments</w:t>
            </w:r>
          </w:p>
        </w:tc>
        <w:tc>
          <w:tcPr>
            <w:tcW w:w="200" w:type="dxa"/>
            <w:vAlign w:val="bottom"/>
          </w:tcPr>
          <w:p>
            <w:pPr>
              <w:spacing w:after="0"/>
              <w:rPr>
                <w:sz w:val="22"/>
                <w:szCs w:val="22"/>
                <w:color w:val="auto"/>
              </w:rPr>
            </w:pPr>
          </w:p>
        </w:tc>
        <w:tc>
          <w:tcPr>
            <w:tcW w:w="1160" w:type="dxa"/>
            <w:vAlign w:val="bottom"/>
          </w:tcPr>
          <w:p>
            <w:pPr>
              <w:jc w:val="right"/>
              <w:ind w:right="47"/>
              <w:spacing w:after="0"/>
              <w:rPr>
                <w:sz w:val="20"/>
                <w:szCs w:val="20"/>
                <w:color w:val="auto"/>
              </w:rPr>
            </w:pPr>
            <w:r>
              <w:rPr>
                <w:rFonts w:ascii="Arial" w:cs="Arial" w:eastAsia="Arial" w:hAnsi="Arial"/>
                <w:sz w:val="14"/>
                <w:szCs w:val="14"/>
                <w:color w:val="auto"/>
              </w:rPr>
              <w:t>126.8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76"/>
        </w:trPr>
        <w:tc>
          <w:tcPr>
            <w:tcW w:w="8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Maturities of investments</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277.2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227.6</w:t>
            </w:r>
          </w:p>
        </w:tc>
        <w:tc>
          <w:tcPr>
            <w:tcW w:w="0" w:type="dxa"/>
            <w:vAlign w:val="bottom"/>
          </w:tcPr>
          <w:p>
            <w:pPr>
              <w:spacing w:after="0"/>
              <w:rPr>
                <w:sz w:val="1"/>
                <w:szCs w:val="1"/>
                <w:color w:val="auto"/>
              </w:rPr>
            </w:pPr>
          </w:p>
        </w:tc>
      </w:tr>
      <w:tr>
        <w:trPr>
          <w:trHeight w:val="264"/>
        </w:trPr>
        <w:tc>
          <w:tcPr>
            <w:tcW w:w="8440" w:type="dxa"/>
            <w:vAlign w:val="bottom"/>
          </w:tcPr>
          <w:p>
            <w:pPr>
              <w:ind w:left="500"/>
              <w:spacing w:after="0"/>
              <w:rPr>
                <w:sz w:val="20"/>
                <w:szCs w:val="20"/>
                <w:color w:val="auto"/>
              </w:rPr>
            </w:pPr>
            <w:r>
              <w:rPr>
                <w:rFonts w:ascii="Arial" w:cs="Arial" w:eastAsia="Arial" w:hAnsi="Arial"/>
                <w:sz w:val="14"/>
                <w:szCs w:val="14"/>
                <w:color w:val="auto"/>
              </w:rPr>
              <w:t>Purchases of property and equipment</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76"/>
        </w:trPr>
        <w:tc>
          <w:tcPr>
            <w:tcW w:w="8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Payments made in connection with business combination, net of cash acquired</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844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Net cash provided by (used in) investing activities</w:t>
            </w: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258"/>
        </w:trPr>
        <w:tc>
          <w:tcPr>
            <w:tcW w:w="844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Repurchase and retirement of common stock</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264"/>
        </w:trPr>
        <w:tc>
          <w:tcPr>
            <w:tcW w:w="8440" w:type="dxa"/>
            <w:vAlign w:val="bottom"/>
          </w:tcPr>
          <w:p>
            <w:pPr>
              <w:ind w:left="500"/>
              <w:spacing w:after="0"/>
              <w:rPr>
                <w:sz w:val="20"/>
                <w:szCs w:val="20"/>
                <w:color w:val="auto"/>
              </w:rPr>
            </w:pPr>
            <w:r>
              <w:rPr>
                <w:rFonts w:ascii="Arial" w:cs="Arial" w:eastAsia="Arial" w:hAnsi="Arial"/>
                <w:sz w:val="14"/>
                <w:szCs w:val="14"/>
                <w:color w:val="auto"/>
              </w:rPr>
              <w:t>Proceeds from issuance of common stock</w:t>
            </w:r>
          </w:p>
        </w:tc>
        <w:tc>
          <w:tcPr>
            <w:tcW w:w="200" w:type="dxa"/>
            <w:vAlign w:val="bottom"/>
          </w:tcPr>
          <w:p>
            <w:pPr>
              <w:spacing w:after="0"/>
              <w:rPr>
                <w:sz w:val="22"/>
                <w:szCs w:val="22"/>
                <w:color w:val="auto"/>
              </w:rPr>
            </w:pPr>
          </w:p>
        </w:tc>
        <w:tc>
          <w:tcPr>
            <w:tcW w:w="1160" w:type="dxa"/>
            <w:vAlign w:val="bottom"/>
          </w:tcPr>
          <w:p>
            <w:pPr>
              <w:jc w:val="right"/>
              <w:ind w:right="47"/>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276"/>
        </w:trPr>
        <w:tc>
          <w:tcPr>
            <w:tcW w:w="8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Taxes paid related to net share settlement of equity awards</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844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Net cash used in financing activities</w:t>
            </w: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(920.4)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250"/>
        </w:trPr>
        <w:tc>
          <w:tcPr>
            <w:tcW w:w="8440" w:type="dxa"/>
            <w:vAlign w:val="bottom"/>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(596.4)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104.5</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EQUIVALENTS—Beginning of period</w:t>
            </w: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1,222.5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1,112.4</w:t>
            </w:r>
          </w:p>
        </w:tc>
        <w:tc>
          <w:tcPr>
            <w:tcW w:w="0" w:type="dxa"/>
            <w:vAlign w:val="bottom"/>
          </w:tcPr>
          <w:p>
            <w:pPr>
              <w:spacing w:after="0"/>
              <w:rPr>
                <w:sz w:val="1"/>
                <w:szCs w:val="1"/>
                <w:color w:val="auto"/>
              </w:rPr>
            </w:pPr>
          </w:p>
        </w:tc>
      </w:tr>
      <w:tr>
        <w:trPr>
          <w:trHeight w:val="283"/>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EQUIVALENTS—End of period</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626.1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1,216.9</w:t>
            </w:r>
          </w:p>
        </w:tc>
        <w:tc>
          <w:tcPr>
            <w:tcW w:w="0" w:type="dxa"/>
            <w:vAlign w:val="bottom"/>
          </w:tcPr>
          <w:p>
            <w:pPr>
              <w:spacing w:after="0"/>
              <w:rPr>
                <w:sz w:val="1"/>
                <w:szCs w:val="1"/>
                <w:color w:val="auto"/>
              </w:rPr>
            </w:pPr>
          </w:p>
        </w:tc>
      </w:tr>
      <w:tr>
        <w:trPr>
          <w:trHeight w:val="250"/>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84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Operating lease liabilities arising from obtaining right-of-use assets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Cash paid to settle liability incurred for repurchase of common stock</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4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Transfers of evaluation units from inventory to property and equipment</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Liability for purchase of property and equipment and asset retirement obligations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25.9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1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Liability incurred for repurchase of common stock</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1" w:right="339" w:bottom="1162"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121" w:right="339" w:bottom="1162"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color w:val="auto"/>
        </w:rPr>
        <w:t>Basis of Presentation and Preparation</w:t>
      </w:r>
      <w:r>
        <w:rPr>
          <w:rFonts w:ascii="Arial" w:cs="Arial" w:eastAsia="Arial" w:hAnsi="Arial"/>
          <w:sz w:val="17"/>
          <w:szCs w:val="17"/>
          <w:color w:val="auto"/>
        </w:rPr>
        <w:t>—The unaudited condensed consolidated financial statements of Fortinet, Inc. and its wholly owned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(collectively, “we,” “us” or “our”) have been prepared in accordance with generally accepted accounting principles in the United States (“GAAP”) for interim financial information, as well as the instructions to Form 10-Q pursuant to the rules and regulations of the U.S. Securities and Exchange Commission (the “SEC”). Accordingly, they do not include all of the information and footnotes required by GAAP for complete financial statements, and should be read in conjunction with our audited consolidated financial statements as of and for the year ended December 31, 2019, contained in our Annual Report on Form 10-K filed with the SEC on February 26, 2020. In the opinion of management, all adjustments, which includes normal recurring adjustments, considered necessary for a fair presentation have been included. All intercompany balances, transactions and cash flows have been eliminated. The results of operations for the three months ended March 31, 2020 are not necessarily indicative of the results for the full year or for any future periods. The condensed consolidated balance sheet as of December 31, 2019 is derived from the audited consolidated financial statements for the year ended December 31, 2019. For 2020, the amounts previously reported as Income taxes payable are included in Accrued liabilities. Prior periods have been reclassified to conform with current period presentation.</w:t>
      </w:r>
    </w:p>
    <w:p>
      <w:pPr>
        <w:spacing w:after="0" w:line="186"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material changes to our significant accounting policies as of and for the three months ended March 31, 2020.</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June 2016, the Financial Accounting Standards Board (“FASB”) issued Accounting Standards Update (“ASU”) 2016-13—Financial Instruments—Credit Losses (Topic 326): Measurement of Credit Losses on Financial Instruments (“Topic 326”), which provides guidance on how an entity should measure credit losses on financial instruments. The standard replaces the existing incurred loss model with an expected credit loss model for financial assets measured at amortized cost, including trade receivables, and requires that credit losses on available-for-sale debt securities be presented as an allowance rather than as a write-down. The new approach to estimating credit losses (referred to as the current expected credit losses model) generally accelerates recognition of credit losses. We adopted Topic 326 on January 1, 2020 using the modified retrospective method. The adoption of this standard did not have a material impact on our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Cloud Computing</w:t>
      </w:r>
    </w:p>
    <w:p>
      <w:pPr>
        <w:spacing w:after="0" w:line="225" w:lineRule="exact"/>
        <w:rPr>
          <w:sz w:val="20"/>
          <w:szCs w:val="20"/>
          <w:color w:val="auto"/>
        </w:rPr>
      </w:pPr>
    </w:p>
    <w:p>
      <w:pPr>
        <w:ind w:right="260" w:firstLine="648"/>
        <w:spacing w:after="0" w:line="296" w:lineRule="auto"/>
        <w:rPr>
          <w:sz w:val="20"/>
          <w:szCs w:val="20"/>
          <w:color w:val="auto"/>
        </w:rPr>
      </w:pPr>
      <w:r>
        <w:rPr>
          <w:rFonts w:ascii="Arial" w:cs="Arial" w:eastAsia="Arial" w:hAnsi="Arial"/>
          <w:sz w:val="16"/>
          <w:szCs w:val="16"/>
          <w:color w:val="auto"/>
        </w:rPr>
        <w:t>In August 2018, the FASB issued ASU 2018-15—Intangibles—Goodwill and Other—Internal-Use Software (Subtopic 350-40): Customer’s Accounting for Implementation Costs Incurred in a Cloud Computing Arrangement That Is a Service Contract, which requires a customer in a cloud computing arrangement that is a service contract to follow the internal-use software guidance in Accounting Standards Codification (“ASC”) Topic 350, Intangibles—Goodwill and Other, to determine which implementation costs to capitalize as assets or expense as incurred. We adopted ASU 2018-15 on January 1, 2020. The adoption of this standard did not have a material impact on our condensed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August 2018, the FASB issued ASU 2018-13—Fair Value Measurement (Topic 820): Disclosure Framework—Changes to the Disclosure Requirements for Fair Value Measurement, which eliminates, adds and modifies certain disclosure requirements for fair value measurements in ASC 820, Fair Value Measurement, as part of its disclosure framework project. We adopted ASU 2018-13 on January 1, 2020. The adoption of this standard did not have a material impact on our disclosures.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Standards Not Yet Effective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December 2019, the FASB issued ASU 2019-12—Income Taxes (Topic 740): Simplifying the Accounting for Income Taxes. The amendments in ASU 2019-12 simplify the accounting for income taxes by removing certain exceptions to the general principles in Topic 740. The amendments also improve consistent application and simplification of GAAP for other areas of Topic 740 by clarifying and amending existing guidance. ASU 2019-12 is effective for us beginning on January 1, 2021. Early adoption of the amendments is permitted. We are currently evaluating the impact of ASU 2019-12 on our condensed consolidated financial statements.</w:t>
      </w:r>
    </w:p>
    <w:p>
      <w:pPr>
        <w:spacing w:after="0" w:line="184"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Our revenue consists of product and service revenue. Product revenue is generated by sales of our FortiGate products and other hardware and software solutions. Service revenue relates to sales of our FortiGuard security subscription, FortiCare technical support services and other services.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by major product and service lines (in millions):</w:t>
      </w: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gridSpan w:val="4"/>
          </w:tcPr>
          <w:p>
            <w:pPr>
              <w:jc w:val="right"/>
              <w:ind w:right="773"/>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7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8"/>
                <w:szCs w:val="18"/>
                <w:color w:val="auto"/>
              </w:rPr>
            </w:pPr>
          </w:p>
        </w:tc>
        <w:tc>
          <w:tcPr>
            <w:tcW w:w="1300" w:type="dxa"/>
            <w:vAlign w:val="bottom"/>
          </w:tcPr>
          <w:p>
            <w:pPr>
              <w:jc w:val="right"/>
              <w:ind w:right="353"/>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7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53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533"/>
              <w:spacing w:after="0"/>
              <w:rPr>
                <w:sz w:val="20"/>
                <w:szCs w:val="20"/>
                <w:color w:val="auto"/>
              </w:rPr>
            </w:pPr>
            <w:r>
              <w:rPr>
                <w:rFonts w:ascii="Arial" w:cs="Arial" w:eastAsia="Arial" w:hAnsi="Arial"/>
                <w:sz w:val="16"/>
                <w:szCs w:val="16"/>
                <w:b w:val="1"/>
                <w:bCs w:val="1"/>
                <w:color w:val="auto"/>
              </w:rPr>
              <w:t>2019</w:t>
            </w:r>
          </w:p>
        </w:tc>
      </w:tr>
      <w:tr>
        <w:trPr>
          <w:trHeight w:val="33"/>
        </w:trPr>
        <w:tc>
          <w:tcPr>
            <w:tcW w:w="7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162.7</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Service:</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Security subscription</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169.6</w:t>
            </w:r>
          </w:p>
        </w:tc>
      </w:tr>
      <w:tr>
        <w:trPr>
          <w:trHeight w:val="243"/>
        </w:trPr>
        <w:tc>
          <w:tcPr>
            <w:tcW w:w="7960" w:type="dxa"/>
            <w:vAlign w:val="bottom"/>
          </w:tcPr>
          <w:p>
            <w:pPr>
              <w:ind w:left="280"/>
              <w:spacing w:after="0"/>
              <w:rPr>
                <w:sz w:val="20"/>
                <w:szCs w:val="20"/>
                <w:color w:val="auto"/>
              </w:rPr>
            </w:pPr>
            <w:r>
              <w:rPr>
                <w:rFonts w:ascii="Arial" w:cs="Arial" w:eastAsia="Arial" w:hAnsi="Arial"/>
                <w:sz w:val="18"/>
                <w:szCs w:val="18"/>
                <w:color w:val="auto"/>
              </w:rPr>
              <w:t>Technical support and other</w:t>
            </w:r>
          </w:p>
        </w:tc>
        <w:tc>
          <w:tcPr>
            <w:tcW w:w="26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140.3</w:t>
            </w:r>
          </w:p>
        </w:tc>
      </w:tr>
      <w:tr>
        <w:trPr>
          <w:trHeight w:val="27"/>
        </w:trPr>
        <w:tc>
          <w:tcPr>
            <w:tcW w:w="7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service revenue</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384.6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309.9</w:t>
            </w:r>
          </w:p>
        </w:tc>
      </w:tr>
      <w:tr>
        <w:trPr>
          <w:trHeight w:val="257"/>
        </w:trPr>
        <w:tc>
          <w:tcPr>
            <w:tcW w:w="79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576.9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472.6</w:t>
            </w:r>
          </w:p>
        </w:tc>
      </w:tr>
      <w:tr>
        <w:trPr>
          <w:trHeight w:val="20"/>
        </w:trPr>
        <w:tc>
          <w:tcPr>
            <w:tcW w:w="7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three months ended March 31, 2020 and March 31, 2019, we recognized $348.9 million and $288.6 million in service revenue that was included in the deferred revenue balance as of December 31, 2019 and December 31,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the Remaining Performance Obligations</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As of March 31, 2020, the aggregate amount of the transaction price allocated to remaining performance obligations was $2.23 billion, which was substantially comprised of deferred security subscription and technical support services revenue. We expect to recognize approximately $1.23 billion as revenue over the next 12 months and the remainder thereafter.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ind w:right="240" w:firstLine="648"/>
        <w:spacing w:after="0" w:line="272" w:lineRule="auto"/>
        <w:rPr>
          <w:sz w:val="20"/>
          <w:szCs w:val="20"/>
          <w:color w:val="auto"/>
        </w:rPr>
      </w:pPr>
      <w:r>
        <w:rPr>
          <w:rFonts w:ascii="Arial" w:cs="Arial" w:eastAsia="Arial" w:hAnsi="Arial"/>
          <w:sz w:val="17"/>
          <w:szCs w:val="17"/>
          <w:color w:val="auto"/>
        </w:rPr>
        <w:t>Trade accounts receivable are recorded at the invoiced amount. On January 1, 2020, we adopted Topic 326, which provides guidance on how to measure credit losses on financial instruments, including accounts receivable. Prior to our adoption of Topic 326, our accounts receivable balance was reduced by an allowance for doubtful accounts that we determined based on our assessment of the collectability of customer accounts. Under Topic 326, our accounts receivable balance is reduced by an allowance for credit losses. We measure expected credit losses of accounts receivable on a collective (pool) basis, aggregating accounts receivable that are either current or no more than 60 days past due, and aggregating accounts receivable that are more than 60 days past due. We apply a credit-loss percentage to each of the pools that is based on our historical credit losses. We review whether each of our significant accounts receivable that is more than 60 days past due continues to exhibit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2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similar risk characteristics with the other accounts receivable in the pool. If we determine that it does not, we evaluate it for expected credit losses on an individual basis.</w:t>
      </w:r>
    </w:p>
    <w:p>
      <w:pPr>
        <w:spacing w:after="0" w:line="17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COVID-19 pandemic and the recent economic downturn prompted us to perform additional credit reviews of our existing customers, including obtaining recent credit reports and reviewing their latest available statements of financial position. After performing our additional reviews, we determined that, while there may be delays in our collections, the risk of credit loss on our trade accounts receivable as of March 31, 2020 was expected to be consistent with prior periods and that our methodology for estimating credit losses was appropriate.</w:t>
      </w:r>
    </w:p>
    <w:p>
      <w:pPr>
        <w:spacing w:after="0" w:line="17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allowance for credit losses was $1.1 million as of March 31, 2020, and the allowance for doubtful accounts was $1.2 million as of December 31, 2019. Provisions, write-offs and recoveries were not material during the three months ended March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Contract Costs</w:t>
      </w:r>
    </w:p>
    <w:p>
      <w:pPr>
        <w:spacing w:after="0" w:line="225"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color w:val="auto"/>
        </w:rPr>
        <w:t>Sales commissions earned by our sales force are considered incremental and recoverable costs of obtaining a contract with a customer. The amortization of deferred contract costs is included in sales and marketing expense in our condensed consolidated statements of income. Amortization of deferred contract costs during the three months ended March 31, 2020 and March 31, 2019 were $31.3 million and $25.1 million, respectively.</w:t>
      </w:r>
    </w:p>
    <w:p>
      <w:pPr>
        <w:sectPr>
          <w:pgSz w:w="11900" w:h="16838" w:orient="portrait"/>
          <w:cols w:equalWidth="0" w:num="1">
            <w:col w:w="11240"/>
          </w:cols>
          <w:pgMar w:left="320" w:top="125" w:right="339" w:bottom="1440" w:gutter="0" w:footer="0" w:header="0"/>
        </w:sectPr>
      </w:pPr>
    </w:p>
    <w:p>
      <w:pPr>
        <w:spacing w:after="0" w:line="14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FAIR VALUE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tables summarize our investments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00"/>
        <w:spacing w:after="0"/>
        <w:tabs>
          <w:tab w:leader="none" w:pos="5080" w:val="left"/>
        </w:tabs>
        <w:rPr>
          <w:sz w:val="20"/>
          <w:szCs w:val="20"/>
          <w:color w:val="auto"/>
        </w:rPr>
      </w:pPr>
      <w:r>
        <w:rPr>
          <w:rFonts w:ascii="Arial" w:cs="Arial" w:eastAsia="Arial" w:hAnsi="Arial"/>
          <w:sz w:val="18"/>
          <w:szCs w:val="18"/>
          <w:color w:val="auto"/>
        </w:rPr>
        <w:t>Corporate debt securities</w:t>
      </w:r>
      <w:r>
        <w:rPr>
          <w:sz w:val="20"/>
          <w:szCs w:val="20"/>
          <w:color w:val="auto"/>
        </w:rPr>
        <w:tab/>
      </w:r>
      <w:r>
        <w:rPr>
          <w:rFonts w:ascii="Arial" w:cs="Arial" w:eastAsia="Arial" w:hAnsi="Arial"/>
          <w:sz w:val="13"/>
          <w:szCs w:val="13"/>
          <w:color w:val="auto"/>
        </w:rPr>
        <w:t>$</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Commercial paper</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U.S. government securities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25"/>
          <w:szCs w:val="25"/>
          <w:color w:val="auto"/>
          <w:vertAlign w:val="superscript"/>
        </w:rPr>
        <w:t>(1)</w:t>
      </w:r>
    </w:p>
    <w:p>
      <w:pPr>
        <w:spacing w:after="0" w:line="12"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8"/>
          <w:szCs w:val="18"/>
          <w:color w:val="auto"/>
        </w:rPr>
        <w:t>Total available-for-sale securities</w:t>
      </w:r>
      <w:r>
        <w:rPr>
          <w:sz w:val="20"/>
          <w:szCs w:val="20"/>
          <w:color w:val="auto"/>
        </w:rPr>
        <w:tab/>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00"/>
        <w:spacing w:after="0"/>
        <w:tabs>
          <w:tab w:leader="none" w:pos="5080" w:val="left"/>
        </w:tabs>
        <w:rPr>
          <w:sz w:val="20"/>
          <w:szCs w:val="20"/>
          <w:color w:val="auto"/>
        </w:rPr>
      </w:pPr>
      <w:r>
        <w:rPr>
          <w:rFonts w:ascii="Arial" w:cs="Arial" w:eastAsia="Arial" w:hAnsi="Arial"/>
          <w:sz w:val="18"/>
          <w:szCs w:val="18"/>
          <w:color w:val="auto"/>
        </w:rPr>
        <w:t>Corporate debt securities</w:t>
      </w:r>
      <w:r>
        <w:rPr>
          <w:sz w:val="20"/>
          <w:szCs w:val="20"/>
          <w:color w:val="auto"/>
        </w:rPr>
        <w:tab/>
      </w:r>
      <w:r>
        <w:rPr>
          <w:rFonts w:ascii="Arial" w:cs="Arial" w:eastAsia="Arial" w:hAnsi="Arial"/>
          <w:sz w:val="13"/>
          <w:szCs w:val="13"/>
          <w:color w:val="auto"/>
        </w:rPr>
        <w:t>$</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Commercial paper</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U.S. government securities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25"/>
          <w:szCs w:val="25"/>
          <w:color w:val="auto"/>
          <w:vertAlign w:val="superscript"/>
        </w:rPr>
        <w:t>(1)</w:t>
      </w:r>
    </w:p>
    <w:p>
      <w:pPr>
        <w:spacing w:after="0" w:line="12"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8"/>
          <w:szCs w:val="18"/>
          <w:color w:val="auto"/>
        </w:rPr>
        <w:t>Total available-for-sale securities</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37465</wp:posOffset>
            </wp:positionV>
            <wp:extent cx="39173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1731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00" w:type="dxa"/>
            <w:vAlign w:val="bottom"/>
          </w:tcPr>
          <w:p>
            <w:pPr>
              <w:jc w:val="center"/>
              <w:ind w:right="373"/>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Unrealized</w:t>
            </w:r>
          </w:p>
        </w:tc>
        <w:tc>
          <w:tcPr>
            <w:tcW w:w="320" w:type="dxa"/>
            <w:vAlign w:val="bottom"/>
          </w:tcPr>
          <w:p>
            <w:pPr>
              <w:spacing w:after="0"/>
              <w:rPr>
                <w:sz w:val="17"/>
                <w:szCs w:val="17"/>
                <w:color w:val="auto"/>
              </w:rPr>
            </w:pPr>
          </w:p>
        </w:tc>
        <w:tc>
          <w:tcPr>
            <w:tcW w:w="1140" w:type="dxa"/>
            <w:vAlign w:val="bottom"/>
          </w:tcPr>
          <w:p>
            <w:pPr>
              <w:jc w:val="center"/>
              <w:ind w:right="233"/>
              <w:spacing w:after="0"/>
              <w:rPr>
                <w:sz w:val="20"/>
                <w:szCs w:val="20"/>
                <w:color w:val="auto"/>
              </w:rPr>
            </w:pPr>
            <w:r>
              <w:rPr>
                <w:rFonts w:ascii="Arial" w:cs="Arial" w:eastAsia="Arial" w:hAnsi="Arial"/>
                <w:sz w:val="16"/>
                <w:szCs w:val="16"/>
                <w:b w:val="1"/>
                <w:bCs w:val="1"/>
                <w:color w:val="auto"/>
              </w:rPr>
              <w:t>Fair</w:t>
            </w:r>
          </w:p>
        </w:tc>
      </w:tr>
      <w:tr>
        <w:trPr>
          <w:trHeight w:val="210"/>
        </w:trPr>
        <w:tc>
          <w:tcPr>
            <w:tcW w:w="1200" w:type="dxa"/>
            <w:vAlign w:val="bottom"/>
          </w:tcPr>
          <w:p>
            <w:pPr>
              <w:jc w:val="center"/>
              <w:ind w:right="393"/>
              <w:spacing w:after="0"/>
              <w:rPr>
                <w:sz w:val="20"/>
                <w:szCs w:val="20"/>
                <w:color w:val="auto"/>
              </w:rPr>
            </w:pPr>
            <w:r>
              <w:rPr>
                <w:rFonts w:ascii="Arial" w:cs="Arial" w:eastAsia="Arial" w:hAnsi="Arial"/>
                <w:sz w:val="16"/>
                <w:szCs w:val="16"/>
                <w:b w:val="1"/>
                <w:bCs w:val="1"/>
                <w:color w:val="auto"/>
                <w:w w:val="89"/>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3"/>
              </w:rPr>
              <w:t>Losses</w:t>
            </w:r>
          </w:p>
        </w:tc>
        <w:tc>
          <w:tcPr>
            <w:tcW w:w="320" w:type="dxa"/>
            <w:vAlign w:val="bottom"/>
          </w:tcPr>
          <w:p>
            <w:pPr>
              <w:spacing w:after="0"/>
              <w:rPr>
                <w:sz w:val="18"/>
                <w:szCs w:val="18"/>
                <w:color w:val="auto"/>
              </w:rPr>
            </w:pPr>
          </w:p>
        </w:tc>
        <w:tc>
          <w:tcPr>
            <w:tcW w:w="1140" w:type="dxa"/>
            <w:vAlign w:val="bottom"/>
          </w:tcPr>
          <w:p>
            <w:pPr>
              <w:jc w:val="center"/>
              <w:ind w:right="233"/>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1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1200" w:type="dxa"/>
            <w:vAlign w:val="bottom"/>
          </w:tcPr>
          <w:p>
            <w:pPr>
              <w:jc w:val="right"/>
              <w:ind w:right="113"/>
              <w:spacing w:after="0"/>
              <w:rPr>
                <w:sz w:val="20"/>
                <w:szCs w:val="20"/>
                <w:color w:val="auto"/>
              </w:rPr>
            </w:pPr>
            <w:r>
              <w:rPr>
                <w:rFonts w:ascii="Arial" w:cs="Arial" w:eastAsia="Arial" w:hAnsi="Arial"/>
                <w:sz w:val="18"/>
                <w:szCs w:val="18"/>
                <w:color w:val="auto"/>
              </w:rPr>
              <w:t>616.3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612.4</w:t>
            </w:r>
          </w:p>
        </w:tc>
      </w:tr>
      <w:tr>
        <w:trPr>
          <w:trHeight w:val="270"/>
        </w:trPr>
        <w:tc>
          <w:tcPr>
            <w:tcW w:w="1200" w:type="dxa"/>
            <w:vAlign w:val="bottom"/>
          </w:tcPr>
          <w:p>
            <w:pPr>
              <w:jc w:val="right"/>
              <w:ind w:right="113"/>
              <w:spacing w:after="0"/>
              <w:rPr>
                <w:sz w:val="20"/>
                <w:szCs w:val="20"/>
                <w:color w:val="auto"/>
              </w:rPr>
            </w:pPr>
            <w:r>
              <w:rPr>
                <w:rFonts w:ascii="Arial" w:cs="Arial" w:eastAsia="Arial" w:hAnsi="Arial"/>
                <w:sz w:val="18"/>
                <w:szCs w:val="18"/>
                <w:color w:val="auto"/>
              </w:rPr>
              <w:t>150.6</w:t>
            </w:r>
          </w:p>
        </w:tc>
        <w:tc>
          <w:tcPr>
            <w:tcW w:w="24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150.6</w:t>
            </w:r>
          </w:p>
        </w:tc>
      </w:tr>
      <w:tr>
        <w:trPr>
          <w:trHeight w:val="270"/>
        </w:trPr>
        <w:tc>
          <w:tcPr>
            <w:tcW w:w="1200" w:type="dxa"/>
            <w:vAlign w:val="bottom"/>
          </w:tcPr>
          <w:p>
            <w:pPr>
              <w:jc w:val="right"/>
              <w:ind w:right="113"/>
              <w:spacing w:after="0"/>
              <w:rPr>
                <w:sz w:val="20"/>
                <w:szCs w:val="20"/>
                <w:color w:val="auto"/>
              </w:rPr>
            </w:pPr>
            <w:r>
              <w:rPr>
                <w:rFonts w:ascii="Arial" w:cs="Arial" w:eastAsia="Arial" w:hAnsi="Arial"/>
                <w:sz w:val="18"/>
                <w:szCs w:val="18"/>
                <w:color w:val="auto"/>
              </w:rPr>
              <w:t>96.6</w:t>
            </w:r>
          </w:p>
        </w:tc>
        <w:tc>
          <w:tcPr>
            <w:tcW w:w="24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97.1</w:t>
            </w:r>
          </w:p>
        </w:tc>
      </w:tr>
      <w:tr>
        <w:trPr>
          <w:trHeight w:val="270"/>
        </w:trPr>
        <w:tc>
          <w:tcPr>
            <w:tcW w:w="1200" w:type="dxa"/>
            <w:vAlign w:val="bottom"/>
          </w:tcPr>
          <w:p>
            <w:pPr>
              <w:jc w:val="right"/>
              <w:ind w:right="113"/>
              <w:spacing w:after="0"/>
              <w:rPr>
                <w:sz w:val="20"/>
                <w:szCs w:val="20"/>
                <w:color w:val="auto"/>
              </w:rPr>
            </w:pPr>
            <w:r>
              <w:rPr>
                <w:rFonts w:ascii="Arial" w:cs="Arial" w:eastAsia="Arial" w:hAnsi="Arial"/>
                <w:sz w:val="18"/>
                <w:szCs w:val="18"/>
                <w:color w:val="auto"/>
              </w:rPr>
              <w:t>87.7</w:t>
            </w:r>
          </w:p>
        </w:tc>
        <w:tc>
          <w:tcPr>
            <w:tcW w:w="24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87.1</w:t>
            </w:r>
          </w:p>
        </w:tc>
      </w:tr>
      <w:tr>
        <w:trPr>
          <w:trHeight w:val="27"/>
        </w:trPr>
        <w:tc>
          <w:tcPr>
            <w:tcW w:w="1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1200" w:type="dxa"/>
            <w:vAlign w:val="bottom"/>
          </w:tcPr>
          <w:p>
            <w:pPr>
              <w:jc w:val="right"/>
              <w:ind w:right="113"/>
              <w:spacing w:after="0"/>
              <w:rPr>
                <w:sz w:val="20"/>
                <w:szCs w:val="20"/>
                <w:color w:val="auto"/>
              </w:rPr>
            </w:pPr>
            <w:r>
              <w:rPr>
                <w:rFonts w:ascii="Arial" w:cs="Arial" w:eastAsia="Arial" w:hAnsi="Arial"/>
                <w:sz w:val="18"/>
                <w:szCs w:val="18"/>
                <w:color w:val="auto"/>
              </w:rPr>
              <w:t>951.2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947.2</w:t>
            </w:r>
          </w:p>
        </w:tc>
      </w:tr>
      <w:tr>
        <w:trPr>
          <w:trHeight w:val="27"/>
        </w:trPr>
        <w:tc>
          <w:tcPr>
            <w:tcW w:w="1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1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71"/>
        </w:trPr>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00" w:type="dxa"/>
            <w:vAlign w:val="bottom"/>
            <w:gridSpan w:val="5"/>
          </w:tcPr>
          <w:p>
            <w:pPr>
              <w:ind w:left="640"/>
              <w:spacing w:after="0"/>
              <w:rPr>
                <w:sz w:val="20"/>
                <w:szCs w:val="20"/>
                <w:color w:val="auto"/>
              </w:rPr>
            </w:pPr>
            <w:r>
              <w:rPr>
                <w:rFonts w:ascii="Arial" w:cs="Arial" w:eastAsia="Arial" w:hAnsi="Arial"/>
                <w:sz w:val="16"/>
                <w:szCs w:val="16"/>
                <w:b w:val="1"/>
                <w:bCs w:val="1"/>
                <w:color w:val="auto"/>
              </w:rPr>
              <w:t>December 31, 2019</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2"/>
        </w:trPr>
        <w:tc>
          <w:tcPr>
            <w:tcW w:w="1200" w:type="dxa"/>
            <w:vAlign w:val="bottom"/>
          </w:tcPr>
          <w:p>
            <w:pPr>
              <w:jc w:val="center"/>
              <w:ind w:right="373"/>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22"/>
                <w:szCs w:val="22"/>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22"/>
                <w:szCs w:val="22"/>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Unrealized</w:t>
            </w:r>
          </w:p>
        </w:tc>
        <w:tc>
          <w:tcPr>
            <w:tcW w:w="320" w:type="dxa"/>
            <w:vAlign w:val="bottom"/>
          </w:tcPr>
          <w:p>
            <w:pPr>
              <w:spacing w:after="0"/>
              <w:rPr>
                <w:sz w:val="22"/>
                <w:szCs w:val="22"/>
                <w:color w:val="auto"/>
              </w:rPr>
            </w:pPr>
          </w:p>
        </w:tc>
        <w:tc>
          <w:tcPr>
            <w:tcW w:w="1140" w:type="dxa"/>
            <w:vAlign w:val="bottom"/>
          </w:tcPr>
          <w:p>
            <w:pPr>
              <w:jc w:val="center"/>
              <w:ind w:right="233"/>
              <w:spacing w:after="0"/>
              <w:rPr>
                <w:sz w:val="20"/>
                <w:szCs w:val="20"/>
                <w:color w:val="auto"/>
              </w:rPr>
            </w:pPr>
            <w:r>
              <w:rPr>
                <w:rFonts w:ascii="Arial" w:cs="Arial" w:eastAsia="Arial" w:hAnsi="Arial"/>
                <w:sz w:val="16"/>
                <w:szCs w:val="16"/>
                <w:b w:val="1"/>
                <w:bCs w:val="1"/>
                <w:color w:val="auto"/>
              </w:rPr>
              <w:t>Fair</w:t>
            </w:r>
          </w:p>
        </w:tc>
      </w:tr>
      <w:tr>
        <w:trPr>
          <w:trHeight w:val="210"/>
        </w:trPr>
        <w:tc>
          <w:tcPr>
            <w:tcW w:w="1200" w:type="dxa"/>
            <w:vAlign w:val="bottom"/>
          </w:tcPr>
          <w:p>
            <w:pPr>
              <w:jc w:val="center"/>
              <w:ind w:right="393"/>
              <w:spacing w:after="0"/>
              <w:rPr>
                <w:sz w:val="20"/>
                <w:szCs w:val="20"/>
                <w:color w:val="auto"/>
              </w:rPr>
            </w:pPr>
            <w:r>
              <w:rPr>
                <w:rFonts w:ascii="Arial" w:cs="Arial" w:eastAsia="Arial" w:hAnsi="Arial"/>
                <w:sz w:val="16"/>
                <w:szCs w:val="16"/>
                <w:b w:val="1"/>
                <w:bCs w:val="1"/>
                <w:color w:val="auto"/>
                <w:w w:val="89"/>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3"/>
              </w:rPr>
              <w:t>Losses</w:t>
            </w:r>
          </w:p>
        </w:tc>
        <w:tc>
          <w:tcPr>
            <w:tcW w:w="320" w:type="dxa"/>
            <w:vAlign w:val="bottom"/>
          </w:tcPr>
          <w:p>
            <w:pPr>
              <w:spacing w:after="0"/>
              <w:rPr>
                <w:sz w:val="18"/>
                <w:szCs w:val="18"/>
                <w:color w:val="auto"/>
              </w:rPr>
            </w:pPr>
          </w:p>
        </w:tc>
        <w:tc>
          <w:tcPr>
            <w:tcW w:w="1140" w:type="dxa"/>
            <w:vAlign w:val="bottom"/>
          </w:tcPr>
          <w:p>
            <w:pPr>
              <w:jc w:val="center"/>
              <w:ind w:right="233"/>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1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1200" w:type="dxa"/>
            <w:vAlign w:val="bottom"/>
          </w:tcPr>
          <w:p>
            <w:pPr>
              <w:jc w:val="right"/>
              <w:ind w:right="113"/>
              <w:spacing w:after="0"/>
              <w:rPr>
                <w:sz w:val="20"/>
                <w:szCs w:val="20"/>
                <w:color w:val="auto"/>
              </w:rPr>
            </w:pPr>
            <w:r>
              <w:rPr>
                <w:rFonts w:ascii="Arial" w:cs="Arial" w:eastAsia="Arial" w:hAnsi="Arial"/>
                <w:sz w:val="18"/>
                <w:szCs w:val="18"/>
                <w:color w:val="auto"/>
              </w:rPr>
              <w:t>576.1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577.0</w:t>
            </w:r>
          </w:p>
        </w:tc>
      </w:tr>
      <w:tr>
        <w:trPr>
          <w:trHeight w:val="270"/>
        </w:trPr>
        <w:tc>
          <w:tcPr>
            <w:tcW w:w="1200" w:type="dxa"/>
            <w:vAlign w:val="bottom"/>
          </w:tcPr>
          <w:p>
            <w:pPr>
              <w:jc w:val="right"/>
              <w:ind w:right="113"/>
              <w:spacing w:after="0"/>
              <w:rPr>
                <w:sz w:val="20"/>
                <w:szCs w:val="20"/>
                <w:color w:val="auto"/>
              </w:rPr>
            </w:pPr>
            <w:r>
              <w:rPr>
                <w:rFonts w:ascii="Arial" w:cs="Arial" w:eastAsia="Arial" w:hAnsi="Arial"/>
                <w:sz w:val="18"/>
                <w:szCs w:val="18"/>
                <w:color w:val="auto"/>
              </w:rPr>
              <w:t>148.7</w:t>
            </w:r>
          </w:p>
        </w:tc>
        <w:tc>
          <w:tcPr>
            <w:tcW w:w="24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148.8</w:t>
            </w:r>
          </w:p>
        </w:tc>
      </w:tr>
      <w:tr>
        <w:trPr>
          <w:trHeight w:val="270"/>
        </w:trPr>
        <w:tc>
          <w:tcPr>
            <w:tcW w:w="1200" w:type="dxa"/>
            <w:vAlign w:val="bottom"/>
          </w:tcPr>
          <w:p>
            <w:pPr>
              <w:jc w:val="right"/>
              <w:ind w:right="113"/>
              <w:spacing w:after="0"/>
              <w:rPr>
                <w:sz w:val="20"/>
                <w:szCs w:val="20"/>
                <w:color w:val="auto"/>
              </w:rPr>
            </w:pPr>
            <w:r>
              <w:rPr>
                <w:rFonts w:ascii="Arial" w:cs="Arial" w:eastAsia="Arial" w:hAnsi="Arial"/>
                <w:sz w:val="18"/>
                <w:szCs w:val="18"/>
                <w:color w:val="auto"/>
              </w:rPr>
              <w:t>195.0</w:t>
            </w:r>
          </w:p>
        </w:tc>
        <w:tc>
          <w:tcPr>
            <w:tcW w:w="24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195.2</w:t>
            </w:r>
          </w:p>
        </w:tc>
      </w:tr>
      <w:tr>
        <w:trPr>
          <w:trHeight w:val="270"/>
        </w:trPr>
        <w:tc>
          <w:tcPr>
            <w:tcW w:w="1200" w:type="dxa"/>
            <w:vAlign w:val="bottom"/>
          </w:tcPr>
          <w:p>
            <w:pPr>
              <w:jc w:val="right"/>
              <w:ind w:right="113"/>
              <w:spacing w:after="0"/>
              <w:rPr>
                <w:sz w:val="20"/>
                <w:szCs w:val="20"/>
                <w:color w:val="auto"/>
              </w:rPr>
            </w:pPr>
            <w:r>
              <w:rPr>
                <w:rFonts w:ascii="Arial" w:cs="Arial" w:eastAsia="Arial" w:hAnsi="Arial"/>
                <w:sz w:val="18"/>
                <w:szCs w:val="18"/>
                <w:color w:val="auto"/>
              </w:rPr>
              <w:t>66.4</w:t>
            </w:r>
          </w:p>
        </w:tc>
        <w:tc>
          <w:tcPr>
            <w:tcW w:w="2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66.4</w:t>
            </w:r>
          </w:p>
        </w:tc>
      </w:tr>
      <w:tr>
        <w:trPr>
          <w:trHeight w:val="27"/>
        </w:trPr>
        <w:tc>
          <w:tcPr>
            <w:tcW w:w="1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1200" w:type="dxa"/>
            <w:vAlign w:val="bottom"/>
          </w:tcPr>
          <w:p>
            <w:pPr>
              <w:jc w:val="right"/>
              <w:ind w:right="113"/>
              <w:spacing w:after="0"/>
              <w:rPr>
                <w:sz w:val="20"/>
                <w:szCs w:val="20"/>
                <w:color w:val="auto"/>
              </w:rPr>
            </w:pPr>
            <w:r>
              <w:rPr>
                <w:rFonts w:ascii="Arial" w:cs="Arial" w:eastAsia="Arial" w:hAnsi="Arial"/>
                <w:sz w:val="18"/>
                <w:szCs w:val="18"/>
                <w:color w:val="auto"/>
              </w:rPr>
              <w:t>986.2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987.4</w:t>
            </w:r>
          </w:p>
        </w:tc>
      </w:tr>
      <w:tr>
        <w:trPr>
          <w:trHeight w:val="27"/>
        </w:trPr>
        <w:tc>
          <w:tcPr>
            <w:tcW w:w="1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1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-2270760</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-1927860</wp:posOffset>
            </wp:positionV>
            <wp:extent cx="7132320" cy="205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-2622550</wp:posOffset>
            </wp:positionV>
            <wp:extent cx="71323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-548005</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-205105</wp:posOffset>
            </wp:positionV>
            <wp:extent cx="7132320" cy="205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-899160</wp:posOffset>
            </wp:positionV>
            <wp:extent cx="7132320" cy="179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-234315</wp:posOffset>
            </wp:positionH>
            <wp:positionV relativeFrom="paragraph">
              <wp:posOffset>-1199515</wp:posOffset>
            </wp:positionV>
            <wp:extent cx="39173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80" w:space="260"/>
            <w:col w:w="5800"/>
          </w:cols>
          <w:pgMar w:left="320" w:top="125" w:right="339" w:bottom="1440" w:gutter="0" w:footer="0" w:header="0"/>
          <w:type w:val="continuous"/>
        </w:sectPr>
      </w:pPr>
    </w:p>
    <w:p>
      <w:pPr>
        <w:spacing w:after="0" w:line="114" w:lineRule="exact"/>
        <w:rPr>
          <w:sz w:val="20"/>
          <w:szCs w:val="20"/>
          <w:color w:val="auto"/>
        </w:rPr>
      </w:pPr>
    </w:p>
    <w:p>
      <w:pPr>
        <w:ind w:left="680" w:hanging="186"/>
        <w:spacing w:after="0"/>
        <w:tabs>
          <w:tab w:leader="none" w:pos="68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The majority of our certificates of deposit and term deposits are foreign deposits.</w:t>
      </w: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76" w:lineRule="exact"/>
        <w:rPr>
          <w:rFonts w:ascii="Arial" w:cs="Arial" w:eastAsia="Arial" w:hAnsi="Arial"/>
          <w:sz w:val="22"/>
          <w:szCs w:val="22"/>
          <w:color w:val="auto"/>
          <w:vertAlign w:val="superscript"/>
        </w:rPr>
      </w:pPr>
    </w:p>
    <w:p>
      <w:pPr>
        <w:ind w:left="5580"/>
        <w:spacing w:after="0"/>
        <w:rPr>
          <w:rFonts w:ascii="Arial" w:cs="Arial" w:eastAsia="Arial" w:hAnsi="Arial"/>
          <w:sz w:val="22"/>
          <w:szCs w:val="22"/>
          <w:color w:val="auto"/>
          <w:vertAlign w:val="superscript"/>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2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tables show the gross unrealized losses and the related fair values of our investments that have been in a continuous unrealized loss position (in millions):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6"/>
          </w:tcPr>
          <w:p>
            <w:pPr>
              <w:ind w:left="400"/>
              <w:spacing w:after="0"/>
              <w:rPr>
                <w:sz w:val="20"/>
                <w:szCs w:val="20"/>
                <w:color w:val="auto"/>
              </w:rPr>
            </w:pPr>
            <w:r>
              <w:rPr>
                <w:rFonts w:ascii="Arial" w:cs="Arial" w:eastAsia="Arial" w:hAnsi="Arial"/>
                <w:sz w:val="16"/>
                <w:szCs w:val="16"/>
                <w:b w:val="1"/>
                <w:bCs w:val="1"/>
                <w:color w:val="auto"/>
              </w:rPr>
              <w:t>March 31, 2020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3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3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100" w:type="dxa"/>
            <w:vAlign w:val="bottom"/>
            <w:gridSpan w:val="6"/>
          </w:tcPr>
          <w:p>
            <w:pPr>
              <w:ind w:left="180"/>
              <w:spacing w:after="0"/>
              <w:rPr>
                <w:sz w:val="20"/>
                <w:szCs w:val="20"/>
                <w:color w:val="auto"/>
              </w:rPr>
            </w:pPr>
            <w:r>
              <w:rPr>
                <w:rFonts w:ascii="Arial" w:cs="Arial" w:eastAsia="Arial" w:hAnsi="Arial"/>
                <w:sz w:val="16"/>
                <w:szCs w:val="16"/>
                <w:b w:val="1"/>
                <w:bCs w:val="1"/>
                <w:color w:val="auto"/>
              </w:rPr>
              <w:t>12 Months or Greater</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b w:val="1"/>
                <w:bCs w:val="1"/>
                <w:color w:val="auto"/>
                <w:w w:val="88"/>
              </w:rPr>
              <w:t>Total</w:t>
            </w:r>
          </w:p>
        </w:tc>
        <w:tc>
          <w:tcPr>
            <w:tcW w:w="960" w:type="dxa"/>
            <w:vAlign w:val="bottom"/>
          </w:tcPr>
          <w:p>
            <w:pPr>
              <w:spacing w:after="0"/>
              <w:rPr>
                <w:sz w:val="20"/>
                <w:szCs w:val="20"/>
                <w:color w:val="auto"/>
              </w:rPr>
            </w:pPr>
          </w:p>
        </w:tc>
      </w:tr>
      <w:tr>
        <w:trPr>
          <w:trHeight w:val="33"/>
        </w:trPr>
        <w:tc>
          <w:tcPr>
            <w:tcW w:w="3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Arial" w:cs="Arial" w:eastAsia="Arial" w:hAnsi="Arial"/>
                <w:sz w:val="16"/>
                <w:szCs w:val="16"/>
                <w:b w:val="1"/>
                <w:bCs w:val="1"/>
                <w:color w:val="auto"/>
              </w:rPr>
              <w:t>Fair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4"/>
              <w:spacing w:after="0"/>
              <w:rPr>
                <w:sz w:val="20"/>
                <w:szCs w:val="20"/>
                <w:color w:val="auto"/>
              </w:rPr>
            </w:pPr>
            <w:r>
              <w:rPr>
                <w:rFonts w:ascii="Arial" w:cs="Arial" w:eastAsia="Arial" w:hAnsi="Arial"/>
                <w:sz w:val="16"/>
                <w:szCs w:val="16"/>
                <w:b w:val="1"/>
                <w:bCs w:val="1"/>
                <w:color w:val="auto"/>
                <w:w w:val="93"/>
              </w:rPr>
              <w:t>Unrealized</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3"/>
          </w:tcPr>
          <w:p>
            <w:pPr>
              <w:jc w:val="center"/>
              <w:ind w:right="159"/>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2"/>
              <w:spacing w:after="0"/>
              <w:rPr>
                <w:sz w:val="20"/>
                <w:szCs w:val="20"/>
                <w:color w:val="auto"/>
              </w:rPr>
            </w:pPr>
            <w:r>
              <w:rPr>
                <w:rFonts w:ascii="Arial" w:cs="Arial" w:eastAsia="Arial" w:hAnsi="Arial"/>
                <w:sz w:val="16"/>
                <w:szCs w:val="16"/>
                <w:b w:val="1"/>
                <w:bCs w:val="1"/>
                <w:color w:val="auto"/>
                <w:w w:val="93"/>
              </w:rPr>
              <w:t>Unrealized</w:t>
            </w:r>
          </w:p>
        </w:tc>
      </w:tr>
      <w:tr>
        <w:trPr>
          <w:trHeight w:val="210"/>
        </w:trPr>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4"/>
              <w:spacing w:after="0"/>
              <w:rPr>
                <w:sz w:val="20"/>
                <w:szCs w:val="20"/>
                <w:color w:val="auto"/>
              </w:rPr>
            </w:pPr>
            <w:r>
              <w:rPr>
                <w:rFonts w:ascii="Arial" w:cs="Arial" w:eastAsia="Arial" w:hAnsi="Arial"/>
                <w:sz w:val="16"/>
                <w:szCs w:val="16"/>
                <w:b w:val="1"/>
                <w:bCs w:val="1"/>
                <w:color w:val="auto"/>
                <w:w w:val="79"/>
              </w:rPr>
              <w:t>Losses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3"/>
          </w:tcPr>
          <w:p>
            <w:pPr>
              <w:jc w:val="center"/>
              <w:ind w:right="159"/>
              <w:spacing w:after="0"/>
              <w:rPr>
                <w:sz w:val="20"/>
                <w:szCs w:val="20"/>
                <w:color w:val="auto"/>
              </w:rPr>
            </w:pPr>
            <w:r>
              <w:rPr>
                <w:rFonts w:ascii="Arial" w:cs="Arial" w:eastAsia="Arial" w:hAnsi="Arial"/>
                <w:sz w:val="16"/>
                <w:szCs w:val="16"/>
                <w:b w:val="1"/>
                <w:bCs w:val="1"/>
                <w:color w:val="auto"/>
                <w:w w:val="88"/>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2"/>
              <w:spacing w:after="0"/>
              <w:rPr>
                <w:sz w:val="20"/>
                <w:szCs w:val="20"/>
                <w:color w:val="auto"/>
              </w:rPr>
            </w:pPr>
            <w:r>
              <w:rPr>
                <w:rFonts w:ascii="Arial" w:cs="Arial" w:eastAsia="Arial" w:hAnsi="Arial"/>
                <w:sz w:val="16"/>
                <w:szCs w:val="16"/>
                <w:b w:val="1"/>
                <w:bCs w:val="1"/>
                <w:color w:val="auto"/>
                <w:w w:val="79"/>
              </w:rPr>
              <w:t>Losses</w:t>
            </w:r>
          </w:p>
        </w:tc>
      </w:tr>
      <w:tr>
        <w:trPr>
          <w:trHeight w:val="33"/>
        </w:trPr>
        <w:tc>
          <w:tcPr>
            <w:tcW w:w="3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3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482.3</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394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Certificates of deposit and term deposits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57"/>
        </w:trPr>
        <w:tc>
          <w:tcPr>
            <w:tcW w:w="3940" w:type="dxa"/>
            <w:vAlign w:val="bottom"/>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569.8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576.9</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3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91"/>
        </w:trPr>
        <w:tc>
          <w:tcPr>
            <w:tcW w:w="3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6"/>
          </w:tcPr>
          <w:p>
            <w:pPr>
              <w:ind w:left="280"/>
              <w:spacing w:after="0"/>
              <w:rPr>
                <w:sz w:val="20"/>
                <w:szCs w:val="20"/>
                <w:color w:val="auto"/>
              </w:rPr>
            </w:pPr>
            <w:r>
              <w:rPr>
                <w:rFonts w:ascii="Arial" w:cs="Arial" w:eastAsia="Arial" w:hAnsi="Arial"/>
                <w:sz w:val="16"/>
                <w:szCs w:val="16"/>
                <w:b w:val="1"/>
                <w:bCs w:val="1"/>
                <w:color w:val="auto"/>
              </w:rPr>
              <w:t>December 31, 2019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
        </w:trPr>
        <w:tc>
          <w:tcPr>
            <w:tcW w:w="3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3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100" w:type="dxa"/>
            <w:vAlign w:val="bottom"/>
            <w:gridSpan w:val="6"/>
          </w:tcPr>
          <w:p>
            <w:pPr>
              <w:ind w:left="180"/>
              <w:spacing w:after="0"/>
              <w:rPr>
                <w:sz w:val="20"/>
                <w:szCs w:val="20"/>
                <w:color w:val="auto"/>
              </w:rPr>
            </w:pPr>
            <w:r>
              <w:rPr>
                <w:rFonts w:ascii="Arial" w:cs="Arial" w:eastAsia="Arial" w:hAnsi="Arial"/>
                <w:sz w:val="16"/>
                <w:szCs w:val="16"/>
                <w:b w:val="1"/>
                <w:bCs w:val="1"/>
                <w:color w:val="auto"/>
              </w:rPr>
              <w:t>12 Months or Greater</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b w:val="1"/>
                <w:bCs w:val="1"/>
                <w:color w:val="auto"/>
                <w:w w:val="88"/>
              </w:rPr>
              <w:t>Total</w:t>
            </w:r>
          </w:p>
        </w:tc>
        <w:tc>
          <w:tcPr>
            <w:tcW w:w="960" w:type="dxa"/>
            <w:vAlign w:val="bottom"/>
          </w:tcPr>
          <w:p>
            <w:pPr>
              <w:spacing w:after="0"/>
              <w:rPr>
                <w:sz w:val="20"/>
                <w:szCs w:val="20"/>
                <w:color w:val="auto"/>
              </w:rPr>
            </w:pPr>
          </w:p>
        </w:tc>
      </w:tr>
      <w:tr>
        <w:trPr>
          <w:trHeight w:val="33"/>
        </w:trPr>
        <w:tc>
          <w:tcPr>
            <w:tcW w:w="3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Arial" w:cs="Arial" w:eastAsia="Arial" w:hAnsi="Arial"/>
                <w:sz w:val="16"/>
                <w:szCs w:val="16"/>
                <w:b w:val="1"/>
                <w:bCs w:val="1"/>
                <w:color w:val="auto"/>
              </w:rPr>
              <w:t>Fair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4"/>
              <w:spacing w:after="0"/>
              <w:rPr>
                <w:sz w:val="20"/>
                <w:szCs w:val="20"/>
                <w:color w:val="auto"/>
              </w:rPr>
            </w:pPr>
            <w:r>
              <w:rPr>
                <w:rFonts w:ascii="Arial" w:cs="Arial" w:eastAsia="Arial" w:hAnsi="Arial"/>
                <w:sz w:val="16"/>
                <w:szCs w:val="16"/>
                <w:b w:val="1"/>
                <w:bCs w:val="1"/>
                <w:color w:val="auto"/>
                <w:w w:val="93"/>
              </w:rPr>
              <w:t>Unrealized</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3"/>
          </w:tcPr>
          <w:p>
            <w:pPr>
              <w:jc w:val="center"/>
              <w:ind w:right="159"/>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2"/>
              <w:spacing w:after="0"/>
              <w:rPr>
                <w:sz w:val="20"/>
                <w:szCs w:val="20"/>
                <w:color w:val="auto"/>
              </w:rPr>
            </w:pPr>
            <w:r>
              <w:rPr>
                <w:rFonts w:ascii="Arial" w:cs="Arial" w:eastAsia="Arial" w:hAnsi="Arial"/>
                <w:sz w:val="16"/>
                <w:szCs w:val="16"/>
                <w:b w:val="1"/>
                <w:bCs w:val="1"/>
                <w:color w:val="auto"/>
                <w:w w:val="93"/>
              </w:rPr>
              <w:t>Unrealized</w:t>
            </w:r>
          </w:p>
        </w:tc>
      </w:tr>
      <w:tr>
        <w:trPr>
          <w:trHeight w:val="210"/>
        </w:trPr>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4"/>
              <w:spacing w:after="0"/>
              <w:rPr>
                <w:sz w:val="20"/>
                <w:szCs w:val="20"/>
                <w:color w:val="auto"/>
              </w:rPr>
            </w:pPr>
            <w:r>
              <w:rPr>
                <w:rFonts w:ascii="Arial" w:cs="Arial" w:eastAsia="Arial" w:hAnsi="Arial"/>
                <w:sz w:val="16"/>
                <w:szCs w:val="16"/>
                <w:b w:val="1"/>
                <w:bCs w:val="1"/>
                <w:color w:val="auto"/>
                <w:w w:val="79"/>
              </w:rPr>
              <w:t>Losses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3"/>
          </w:tcPr>
          <w:p>
            <w:pPr>
              <w:jc w:val="center"/>
              <w:ind w:right="159"/>
              <w:spacing w:after="0"/>
              <w:rPr>
                <w:sz w:val="20"/>
                <w:szCs w:val="20"/>
                <w:color w:val="auto"/>
              </w:rPr>
            </w:pPr>
            <w:r>
              <w:rPr>
                <w:rFonts w:ascii="Arial" w:cs="Arial" w:eastAsia="Arial" w:hAnsi="Arial"/>
                <w:sz w:val="16"/>
                <w:szCs w:val="16"/>
                <w:b w:val="1"/>
                <w:bCs w:val="1"/>
                <w:color w:val="auto"/>
                <w:w w:val="88"/>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2"/>
              <w:spacing w:after="0"/>
              <w:rPr>
                <w:sz w:val="20"/>
                <w:szCs w:val="20"/>
                <w:color w:val="auto"/>
              </w:rPr>
            </w:pPr>
            <w:r>
              <w:rPr>
                <w:rFonts w:ascii="Arial" w:cs="Arial" w:eastAsia="Arial" w:hAnsi="Arial"/>
                <w:sz w:val="16"/>
                <w:szCs w:val="16"/>
                <w:b w:val="1"/>
                <w:bCs w:val="1"/>
                <w:color w:val="auto"/>
                <w:w w:val="79"/>
              </w:rPr>
              <w:t>Losses</w:t>
            </w:r>
          </w:p>
        </w:tc>
      </w:tr>
      <w:tr>
        <w:trPr>
          <w:trHeight w:val="33"/>
        </w:trPr>
        <w:tc>
          <w:tcPr>
            <w:tcW w:w="3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3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394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government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940" w:type="dxa"/>
            <w:vAlign w:val="bottom"/>
          </w:tcPr>
          <w:p>
            <w:pPr>
              <w:ind w:left="500"/>
              <w:spacing w:after="0"/>
              <w:rPr>
                <w:sz w:val="20"/>
                <w:szCs w:val="20"/>
                <w:color w:val="auto"/>
              </w:rPr>
            </w:pPr>
            <w:r>
              <w:rPr>
                <w:rFonts w:ascii="Arial" w:cs="Arial" w:eastAsia="Arial" w:hAnsi="Arial"/>
                <w:sz w:val="18"/>
                <w:szCs w:val="18"/>
                <w:color w:val="auto"/>
              </w:rPr>
              <w:t>Certificates of deposit and term deposits</w:t>
            </w:r>
          </w:p>
        </w:tc>
        <w:tc>
          <w:tcPr>
            <w:tcW w:w="2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39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0"/>
        </w:trPr>
        <w:tc>
          <w:tcPr>
            <w:tcW w:w="39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35"/>
        </w:trPr>
        <w:tc>
          <w:tcPr>
            <w:tcW w:w="6440" w:type="dxa"/>
            <w:vAlign w:val="bottom"/>
            <w:gridSpan w:val="7"/>
          </w:tcPr>
          <w:p>
            <w:pPr>
              <w:ind w:left="660"/>
              <w:spacing w:after="0"/>
              <w:rPr>
                <w:sz w:val="20"/>
                <w:szCs w:val="20"/>
                <w:color w:val="auto"/>
              </w:rPr>
            </w:pPr>
            <w:r>
              <w:rPr>
                <w:rFonts w:ascii="Arial" w:cs="Arial" w:eastAsia="Arial" w:hAnsi="Arial"/>
                <w:sz w:val="18"/>
                <w:szCs w:val="18"/>
                <w:color w:val="auto"/>
                <w:w w:val="97"/>
              </w:rPr>
              <w:t>The contractual maturities of our investments were as follows (in millions):</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40"/>
        </w:trPr>
        <w:tc>
          <w:tcPr>
            <w:tcW w:w="3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ind w:left="200"/>
              <w:spacing w:after="0"/>
              <w:rPr>
                <w:sz w:val="20"/>
                <w:szCs w:val="20"/>
                <w:color w:val="auto"/>
              </w:rPr>
            </w:pPr>
            <w:r>
              <w:rPr>
                <w:rFonts w:ascii="Arial" w:cs="Arial" w:eastAsia="Arial" w:hAnsi="Arial"/>
                <w:sz w:val="16"/>
                <w:szCs w:val="16"/>
                <w:b w:val="1"/>
                <w:bCs w:val="1"/>
                <w:color w:val="auto"/>
              </w:rPr>
              <w:t>March 31,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5"/>
          </w:tcPr>
          <w:p>
            <w:pPr>
              <w:jc w:val="right"/>
              <w:ind w:right="352"/>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ind w:left="40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gridSpan w:val="4"/>
          </w:tcPr>
          <w:p>
            <w:pPr>
              <w:jc w:val="right"/>
              <w:ind w:right="652"/>
              <w:spacing w:after="0"/>
              <w:rPr>
                <w:sz w:val="20"/>
                <w:szCs w:val="20"/>
                <w:color w:val="auto"/>
              </w:rPr>
            </w:pPr>
            <w:r>
              <w:rPr>
                <w:rFonts w:ascii="Arial" w:cs="Arial" w:eastAsia="Arial" w:hAnsi="Arial"/>
                <w:sz w:val="16"/>
                <w:szCs w:val="16"/>
                <w:b w:val="1"/>
                <w:bCs w:val="1"/>
                <w:color w:val="auto"/>
              </w:rPr>
              <w:t>2019</w:t>
            </w:r>
          </w:p>
        </w:tc>
      </w:tr>
      <w:tr>
        <w:trPr>
          <w:trHeight w:val="33"/>
        </w:trPr>
        <w:tc>
          <w:tcPr>
            <w:tcW w:w="39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775.2</w:t>
            </w:r>
          </w:p>
        </w:tc>
        <w:tc>
          <w:tcPr>
            <w:tcW w:w="660" w:type="dxa"/>
            <w:vAlign w:val="bottom"/>
            <w:tcBorders>
              <w:bottom w:val="single" w:sz="8" w:color="CCEEFF"/>
            </w:tcBorders>
            <w:gridSpan w:val="3"/>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843.1</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Due within one to three years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172.0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144.3</w:t>
            </w:r>
          </w:p>
        </w:tc>
      </w:tr>
      <w:tr>
        <w:trPr>
          <w:trHeight w:val="27"/>
        </w:trPr>
        <w:tc>
          <w:tcPr>
            <w:tcW w:w="39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3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947.2</w:t>
            </w:r>
          </w:p>
        </w:tc>
        <w:tc>
          <w:tcPr>
            <w:tcW w:w="660" w:type="dxa"/>
            <w:vAlign w:val="bottom"/>
            <w:gridSpan w:val="3"/>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987.4</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Available-for-sale securities are reported at fair value, with unrealized gains and losses and the related tax impact included as a separate component of stockholders’ equity and in comprehensive income. Accrued interest of $4.7 million as of March 31, 2020 is excluded from both the fair value and the amortized cost of our available-for-sale securities and is recorded in Prepaid expenses and other current assets in our condensed consolidated balance sheet. We have elected to not record an allowance for credit losses for accrued interest for available-for-sale securities and will reverse the accrued interest against interest income in the period in which we determine the accrued interest to be uncollectible.</w:t>
      </w:r>
    </w:p>
    <w:p>
      <w:pPr>
        <w:spacing w:after="0" w:line="17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Prior to 2020, we followed the guidance in ASC 320 Investments—Debt and Equity Securities in determining whether unrealized losses were other than temporary. We adopted Topic 326 on January 1, 2020, and now consider whether unrealized losses have resulted from a credit loss or other factors. The unrealized losses on our available-for-sale securities as of March 31, 2020 and as of December 31, 2019 were caused by fluctuations in market value and interest rates as a result of the economic environment. We concluded that an allowance for credit losses was unnecessary as of March 31, 2020 and that the impairments as of December 31, 2019 were not other than temporary because (i) the decline in market value was attributable to changes in market conditions and not credit quality, and (ii) we concluded that neither do we intend to sell nor is it more likely than not that we will be required to sell these investments prior to recovery of their amortized cost basis.</w:t>
      </w:r>
    </w:p>
    <w:p>
      <w:pPr>
        <w:spacing w:after="0" w:line="177" w:lineRule="exact"/>
        <w:rPr>
          <w:sz w:val="20"/>
          <w:szCs w:val="20"/>
          <w:color w:val="auto"/>
        </w:rPr>
      </w:pPr>
    </w:p>
    <w:p>
      <w:pPr>
        <w:ind w:right="760" w:firstLine="648"/>
        <w:spacing w:after="0" w:line="308" w:lineRule="auto"/>
        <w:rPr>
          <w:sz w:val="20"/>
          <w:szCs w:val="20"/>
          <w:color w:val="auto"/>
        </w:rPr>
      </w:pPr>
      <w:r>
        <w:rPr>
          <w:rFonts w:ascii="Arial" w:cs="Arial" w:eastAsia="Arial" w:hAnsi="Arial"/>
          <w:sz w:val="17"/>
          <w:szCs w:val="17"/>
          <w:color w:val="auto"/>
        </w:rPr>
        <w:t>Realized losses on available-for-sale securities were insignificant in the periods presented and are included in Other expense—net in our consolidated statements of income. We use the specific identification method to determine the cost basis of investments sold.</w:t>
      </w:r>
    </w:p>
    <w:p>
      <w:pPr>
        <w:sectPr>
          <w:pgSz w:w="11900" w:h="16838" w:orient="portrait"/>
          <w:cols w:equalWidth="0" w:num="1">
            <w:col w:w="11240"/>
          </w:cols>
          <w:pgMar w:left="320" w:top="125" w:right="33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2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Fair Value Accounting—We apply the following fair value hierarchy for disclosure of the inputs used to measure fair value. This hierarchy prioritizes the inputs into three broad levels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225" w:lineRule="exact"/>
        <w:rPr>
          <w:sz w:val="20"/>
          <w:szCs w:val="20"/>
          <w:color w:val="auto"/>
        </w:rPr>
      </w:pPr>
    </w:p>
    <w:p>
      <w:pPr>
        <w:ind w:left="1300" w:right="80" w:hanging="647"/>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70" w:lineRule="exact"/>
        <w:rPr>
          <w:sz w:val="20"/>
          <w:szCs w:val="20"/>
          <w:color w:val="auto"/>
        </w:rPr>
      </w:pPr>
    </w:p>
    <w:p>
      <w:pPr>
        <w:ind w:left="1300" w:right="300" w:hanging="647"/>
        <w:spacing w:after="0" w:line="277" w:lineRule="auto"/>
        <w:rPr>
          <w:sz w:val="20"/>
          <w:szCs w:val="20"/>
          <w:color w:val="auto"/>
        </w:rPr>
      </w:pPr>
      <w:r>
        <w:rPr>
          <w:rFonts w:ascii="Arial" w:cs="Arial" w:eastAsia="Arial" w:hAnsi="Arial"/>
          <w:sz w:val="18"/>
          <w:szCs w:val="18"/>
          <w:color w:val="auto"/>
        </w:rPr>
        <w:t>Level 3—Unobservable inputs based on our own assumptions used to measure assets and liabilities at fair value. The inputs require significant management judgment or estimation.</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measure the fair value of money market funds and certain U.S. government securities using quoted prices in active markets for identical assets. The fair value of all other financial instruments was based on quoted prices for similar assets in active markets, or model-driven valuations using significant inputs derived from or corroborated by observable market data.</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investments within Level 1 if quoted prices are available in active markets for identical securities.</w:t>
      </w:r>
    </w:p>
    <w:p>
      <w:pPr>
        <w:spacing w:after="0" w:line="225"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We classify items within Level 2 if the investments are valued using model-driven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at Fair Value on a Recurring Basis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present the fair value of our financial assets measured at fair value on a recurring basis as of March 31, 2020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(in millions):</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5"/>
          </w:tcPr>
          <w:p>
            <w:pPr>
              <w:ind w:left="400"/>
              <w:spacing w:after="0"/>
              <w:rPr>
                <w:sz w:val="20"/>
                <w:szCs w:val="20"/>
                <w:color w:val="auto"/>
              </w:rPr>
            </w:pPr>
            <w:r>
              <w:rPr>
                <w:rFonts w:ascii="Arial" w:cs="Arial" w:eastAsia="Arial" w:hAnsi="Arial"/>
                <w:sz w:val="16"/>
                <w:szCs w:val="16"/>
                <w:b w:val="1"/>
                <w:bCs w:val="1"/>
                <w:color w:val="auto"/>
              </w:rPr>
              <w:t>March 31, 2020</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5"/>
          </w:tcPr>
          <w:p>
            <w:pPr>
              <w:ind w:left="340"/>
              <w:spacing w:after="0"/>
              <w:rPr>
                <w:sz w:val="20"/>
                <w:szCs w:val="20"/>
                <w:color w:val="auto"/>
              </w:rPr>
            </w:pPr>
            <w:r>
              <w:rPr>
                <w:rFonts w:ascii="Arial" w:cs="Arial" w:eastAsia="Arial" w:hAnsi="Arial"/>
                <w:sz w:val="16"/>
                <w:szCs w:val="16"/>
                <w:b w:val="1"/>
                <w:bCs w:val="1"/>
                <w:color w:val="auto"/>
              </w:rPr>
              <w:t>December 31, 2019</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2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37"/>
        </w:trPr>
        <w:tc>
          <w:tcPr>
            <w:tcW w:w="2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20"/>
              <w:spacing w:after="0" w:line="13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20"/>
              <w:spacing w:after="0" w:line="13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2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Prices in</w:t>
            </w: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Prices in</w:t>
            </w: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60" w:type="dxa"/>
            <w:vAlign w:val="bottom"/>
          </w:tcPr>
          <w:p>
            <w:pPr>
              <w:spacing w:after="0"/>
              <w:rPr>
                <w:sz w:val="11"/>
                <w:szCs w:val="11"/>
                <w:color w:val="auto"/>
              </w:rPr>
            </w:pPr>
          </w:p>
        </w:tc>
        <w:tc>
          <w:tcPr>
            <w:tcW w:w="96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87"/>
              </w:rPr>
              <w:t>Significant</w:t>
            </w:r>
          </w:p>
        </w:tc>
      </w:tr>
      <w:tr>
        <w:trPr>
          <w:trHeight w:val="135"/>
        </w:trPr>
        <w:tc>
          <w:tcPr>
            <w:tcW w:w="2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Active</w:t>
            </w:r>
          </w:p>
        </w:tc>
        <w:tc>
          <w:tcPr>
            <w:tcW w:w="14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Active</w:t>
            </w:r>
          </w:p>
        </w:tc>
        <w:tc>
          <w:tcPr>
            <w:tcW w:w="14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1"/>
                <w:szCs w:val="11"/>
                <w:color w:val="auto"/>
              </w:rPr>
            </w:pPr>
          </w:p>
        </w:tc>
        <w:tc>
          <w:tcPr>
            <w:tcW w:w="960" w:type="dxa"/>
            <w:vAlign w:val="bottom"/>
          </w:tcPr>
          <w:p>
            <w:pPr>
              <w:jc w:val="center"/>
              <w:ind w:right="82"/>
              <w:spacing w:after="0" w:line="135" w:lineRule="exact"/>
              <w:rPr>
                <w:sz w:val="20"/>
                <w:szCs w:val="20"/>
                <w:color w:val="auto"/>
              </w:rPr>
            </w:pPr>
            <w:r>
              <w:rPr>
                <w:rFonts w:ascii="Arial" w:cs="Arial" w:eastAsia="Arial" w:hAnsi="Arial"/>
                <w:sz w:val="13"/>
                <w:szCs w:val="13"/>
                <w:b w:val="1"/>
                <w:bCs w:val="1"/>
                <w:color w:val="auto"/>
                <w:w w:val="92"/>
              </w:rPr>
              <w:t>Other</w:t>
            </w:r>
          </w:p>
        </w:tc>
      </w:tr>
      <w:tr>
        <w:trPr>
          <w:trHeight w:val="135"/>
        </w:trPr>
        <w:tc>
          <w:tcPr>
            <w:tcW w:w="2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w w:val="87"/>
              </w:rPr>
              <w:t>Aggregate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Observable</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Unobservable</w:t>
            </w:r>
          </w:p>
        </w:tc>
        <w:tc>
          <w:tcPr>
            <w:tcW w:w="160" w:type="dxa"/>
            <w:vAlign w:val="bottom"/>
          </w:tcPr>
          <w:p>
            <w:pPr>
              <w:spacing w:after="0"/>
              <w:rPr>
                <w:sz w:val="11"/>
                <w:szCs w:val="11"/>
                <w:color w:val="auto"/>
              </w:rPr>
            </w:pPr>
          </w:p>
        </w:tc>
        <w:tc>
          <w:tcPr>
            <w:tcW w:w="74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w w:val="83"/>
              </w:rPr>
              <w:t>Aggregate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Observable</w:t>
            </w:r>
          </w:p>
        </w:tc>
        <w:tc>
          <w:tcPr>
            <w:tcW w:w="160" w:type="dxa"/>
            <w:vAlign w:val="bottom"/>
          </w:tcPr>
          <w:p>
            <w:pPr>
              <w:spacing w:after="0"/>
              <w:rPr>
                <w:sz w:val="11"/>
                <w:szCs w:val="11"/>
                <w:color w:val="auto"/>
              </w:rPr>
            </w:pPr>
          </w:p>
        </w:tc>
        <w:tc>
          <w:tcPr>
            <w:tcW w:w="96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86"/>
              </w:rPr>
              <w:t>Unobservable</w:t>
            </w:r>
          </w:p>
        </w:tc>
      </w:tr>
      <w:tr>
        <w:trPr>
          <w:trHeight w:val="135"/>
        </w:trPr>
        <w:tc>
          <w:tcPr>
            <w:tcW w:w="2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Remaining</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Remaining</w:t>
            </w:r>
          </w:p>
        </w:tc>
        <w:tc>
          <w:tcPr>
            <w:tcW w:w="160" w:type="dxa"/>
            <w:vAlign w:val="bottom"/>
          </w:tcPr>
          <w:p>
            <w:pPr>
              <w:spacing w:after="0"/>
              <w:rPr>
                <w:sz w:val="11"/>
                <w:szCs w:val="11"/>
                <w:color w:val="auto"/>
              </w:rPr>
            </w:pPr>
          </w:p>
        </w:tc>
        <w:tc>
          <w:tcPr>
            <w:tcW w:w="74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Remaining</w:t>
            </w:r>
          </w:p>
        </w:tc>
        <w:tc>
          <w:tcPr>
            <w:tcW w:w="160" w:type="dxa"/>
            <w:vAlign w:val="bottom"/>
          </w:tcPr>
          <w:p>
            <w:pPr>
              <w:spacing w:after="0"/>
              <w:rPr>
                <w:sz w:val="11"/>
                <w:szCs w:val="11"/>
                <w:color w:val="auto"/>
              </w:rPr>
            </w:pPr>
          </w:p>
        </w:tc>
        <w:tc>
          <w:tcPr>
            <w:tcW w:w="96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87"/>
              </w:rPr>
              <w:t>Remaining</w:t>
            </w:r>
          </w:p>
        </w:tc>
      </w:tr>
      <w:tr>
        <w:trPr>
          <w:trHeight w:val="174"/>
        </w:trPr>
        <w:tc>
          <w:tcPr>
            <w:tcW w:w="2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92"/>
              </w:rPr>
              <w:t>Value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79"/>
              </w:rPr>
              <w:t>Assets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87"/>
              </w:rPr>
              <w:t>Inputs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87"/>
              </w:rPr>
              <w:t>Inputs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79"/>
              </w:rPr>
              <w:t>Assets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87"/>
              </w:rPr>
              <w:t>Inputs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87"/>
              </w:rPr>
              <w:t>Inputs</w:t>
            </w:r>
          </w:p>
        </w:tc>
      </w:tr>
      <w:tr>
        <w:trPr>
          <w:trHeight w:val="223"/>
        </w:trPr>
        <w:tc>
          <w:tcPr>
            <w:tcW w:w="2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(Level 1)</w:t>
            </w:r>
          </w:p>
        </w:tc>
        <w:tc>
          <w:tcPr>
            <w:tcW w:w="140" w:type="dxa"/>
            <w:vAlign w:val="bottom"/>
          </w:tcPr>
          <w:p>
            <w:pPr>
              <w:spacing w:after="0"/>
              <w:rPr>
                <w:sz w:val="19"/>
                <w:szCs w:val="19"/>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(Level 2)</w:t>
            </w:r>
          </w:p>
        </w:tc>
        <w:tc>
          <w:tcPr>
            <w:tcW w:w="14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(Level 3)</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(Level 1)</w:t>
            </w:r>
          </w:p>
        </w:tc>
        <w:tc>
          <w:tcPr>
            <w:tcW w:w="140" w:type="dxa"/>
            <w:vAlign w:val="bottom"/>
          </w:tcPr>
          <w:p>
            <w:pPr>
              <w:spacing w:after="0"/>
              <w:rPr>
                <w:sz w:val="19"/>
                <w:szCs w:val="19"/>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(Level 2)</w:t>
            </w:r>
          </w:p>
        </w:tc>
        <w:tc>
          <w:tcPr>
            <w:tcW w:w="160" w:type="dxa"/>
            <w:vAlign w:val="bottom"/>
          </w:tcPr>
          <w:p>
            <w:pPr>
              <w:spacing w:after="0"/>
              <w:rPr>
                <w:sz w:val="19"/>
                <w:szCs w:val="19"/>
                <w:color w:val="auto"/>
              </w:rPr>
            </w:pPr>
          </w:p>
        </w:tc>
        <w:tc>
          <w:tcPr>
            <w:tcW w:w="960" w:type="dxa"/>
            <w:vAlign w:val="bottom"/>
          </w:tcPr>
          <w:p>
            <w:pPr>
              <w:jc w:val="center"/>
              <w:ind w:right="62"/>
              <w:spacing w:after="0"/>
              <w:rPr>
                <w:sz w:val="20"/>
                <w:szCs w:val="20"/>
                <w:color w:val="auto"/>
              </w:rPr>
            </w:pPr>
            <w:r>
              <w:rPr>
                <w:rFonts w:ascii="Arial" w:cs="Arial" w:eastAsia="Arial" w:hAnsi="Arial"/>
                <w:sz w:val="16"/>
                <w:szCs w:val="16"/>
                <w:b w:val="1"/>
                <w:bCs w:val="1"/>
                <w:color w:val="auto"/>
                <w:w w:val="95"/>
              </w:rPr>
              <w:t>(Level 3)</w:t>
            </w:r>
          </w:p>
        </w:tc>
      </w:tr>
      <w:tr>
        <w:trPr>
          <w:trHeight w:val="33"/>
        </w:trPr>
        <w:tc>
          <w:tcPr>
            <w:tcW w:w="2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2700" w:type="dxa"/>
            <w:vAlign w:val="bottom"/>
          </w:tcPr>
          <w:p>
            <w:pPr>
              <w:ind w:left="48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613.4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2"/>
              <w:spacing w:after="0"/>
              <w:rPr>
                <w:sz w:val="20"/>
                <w:szCs w:val="20"/>
                <w:color w:val="auto"/>
              </w:rPr>
            </w:pPr>
            <w:r>
              <w:rPr>
                <w:rFonts w:ascii="Arial" w:cs="Arial" w:eastAsia="Arial" w:hAnsi="Arial"/>
                <w:sz w:val="18"/>
                <w:szCs w:val="18"/>
                <w:color w:val="auto"/>
              </w:rPr>
              <w:t>613.4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577.0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2"/>
              <w:spacing w:after="0"/>
              <w:rPr>
                <w:sz w:val="20"/>
                <w:szCs w:val="20"/>
                <w:color w:val="auto"/>
              </w:rPr>
            </w:pPr>
            <w:r>
              <w:rPr>
                <w:rFonts w:ascii="Arial" w:cs="Arial" w:eastAsia="Arial" w:hAnsi="Arial"/>
                <w:sz w:val="18"/>
                <w:szCs w:val="18"/>
                <w:color w:val="auto"/>
              </w:rPr>
              <w:t>577.0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7"/>
        </w:trPr>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164.6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165.8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29"/>
        </w:trPr>
        <w:tc>
          <w:tcPr>
            <w:tcW w:w="2700" w:type="dxa"/>
            <w:vAlign w:val="bottom"/>
          </w:tcPr>
          <w:p>
            <w:pPr>
              <w:ind w:left="480"/>
              <w:spacing w:after="0"/>
              <w:rPr>
                <w:sz w:val="20"/>
                <w:szCs w:val="20"/>
                <w:color w:val="auto"/>
              </w:rPr>
            </w:pPr>
            <w:r>
              <w:rPr>
                <w:rFonts w:ascii="Arial" w:cs="Arial" w:eastAsia="Arial" w:hAnsi="Arial"/>
                <w:sz w:val="18"/>
                <w:szCs w:val="18"/>
                <w:color w:val="auto"/>
              </w:rPr>
              <w:t>Certificates of deposit and</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2700" w:type="dxa"/>
            <w:vAlign w:val="bottom"/>
          </w:tcPr>
          <w:p>
            <w:pPr>
              <w:ind w:left="480"/>
              <w:spacing w:after="0"/>
              <w:rPr>
                <w:sz w:val="20"/>
                <w:szCs w:val="20"/>
                <w:color w:val="auto"/>
              </w:rPr>
            </w:pPr>
            <w:r>
              <w:rPr>
                <w:rFonts w:ascii="Arial" w:cs="Arial" w:eastAsia="Arial" w:hAnsi="Arial"/>
                <w:sz w:val="18"/>
                <w:szCs w:val="18"/>
                <w:color w:val="auto"/>
              </w:rPr>
              <w:t>term deposits</w:t>
            </w:r>
          </w:p>
        </w:tc>
        <w:tc>
          <w:tcPr>
            <w:tcW w:w="160" w:type="dxa"/>
            <w:vAlign w:val="bottom"/>
          </w:tcPr>
          <w:p>
            <w:pPr>
              <w:spacing w:after="0"/>
              <w:rPr>
                <w:sz w:val="20"/>
                <w:szCs w:val="20"/>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7"/>
        </w:trPr>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U.S. government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195.2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43"/>
        </w:trPr>
        <w:tc>
          <w:tcPr>
            <w:tcW w:w="2700" w:type="dxa"/>
            <w:vAlign w:val="bottom"/>
          </w:tcPr>
          <w:p>
            <w:pPr>
              <w:ind w:left="48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3"/>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3"/>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7"/>
        </w:trPr>
        <w:tc>
          <w:tcPr>
            <w:tcW w:w="2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1,125.9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260.8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865.1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1,019.4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210.2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809.2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2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Reported as: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2700" w:type="dxa"/>
            <w:vAlign w:val="bottom"/>
          </w:tcPr>
          <w:p>
            <w:pPr>
              <w:ind w:left="480"/>
              <w:spacing w:after="0"/>
              <w:rPr>
                <w:sz w:val="20"/>
                <w:szCs w:val="20"/>
                <w:color w:val="auto"/>
              </w:rPr>
            </w:pPr>
            <w:r>
              <w:rPr>
                <w:rFonts w:ascii="Arial" w:cs="Arial" w:eastAsia="Arial" w:hAnsi="Arial"/>
                <w:sz w:val="18"/>
                <w:szCs w:val="18"/>
                <w:color w:val="auto"/>
              </w:rPr>
              <w:t>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178.7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775.2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843.1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2700" w:type="dxa"/>
            <w:vAlign w:val="bottom"/>
          </w:tcPr>
          <w:p>
            <w:pPr>
              <w:ind w:left="480"/>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172.0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2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57"/>
        </w:trPr>
        <w:tc>
          <w:tcPr>
            <w:tcW w:w="2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1,125.9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1,019.4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0"/>
        </w:trPr>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20"/>
          </w:cols>
          <w:pgMar w:left="320" w:top="125" w:right="35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2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There were no transfers between Level 1 and Level 2 of the fair value hierarchy during the three months ended March 31, 2020 and year ended December 31, 2019.</w:t>
      </w:r>
    </w:p>
    <w:p>
      <w:pPr>
        <w:spacing w:after="0" w:line="166"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consisted of the following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20" w:type="dxa"/>
            <w:vAlign w:val="bottom"/>
          </w:tcPr>
          <w:p>
            <w:pPr>
              <w:spacing w:after="0"/>
              <w:rPr>
                <w:sz w:val="17"/>
                <w:szCs w:val="17"/>
                <w:color w:val="auto"/>
              </w:rPr>
            </w:pPr>
          </w:p>
        </w:tc>
        <w:tc>
          <w:tcPr>
            <w:tcW w:w="1300" w:type="dxa"/>
            <w:vAlign w:val="bottom"/>
          </w:tcPr>
          <w:p>
            <w:pPr>
              <w:jc w:val="center"/>
              <w:ind w:left="475"/>
              <w:spacing w:after="0"/>
              <w:rPr>
                <w:sz w:val="20"/>
                <w:szCs w:val="20"/>
                <w:color w:val="auto"/>
              </w:rPr>
            </w:pPr>
            <w:r>
              <w:rPr>
                <w:rFonts w:ascii="Arial" w:cs="Arial" w:eastAsia="Arial" w:hAnsi="Arial"/>
                <w:sz w:val="16"/>
                <w:szCs w:val="16"/>
                <w:b w:val="1"/>
                <w:bCs w:val="1"/>
                <w:color w:val="auto"/>
                <w:w w:val="94"/>
              </w:rPr>
              <w:t>March 31,</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jc w:val="center"/>
              <w:ind w:right="232"/>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7320" w:type="dxa"/>
            <w:vAlign w:val="bottom"/>
          </w:tcPr>
          <w:p>
            <w:pPr>
              <w:spacing w:after="0"/>
              <w:rPr>
                <w:sz w:val="18"/>
                <w:szCs w:val="18"/>
                <w:color w:val="auto"/>
              </w:rPr>
            </w:pPr>
          </w:p>
        </w:tc>
        <w:tc>
          <w:tcPr>
            <w:tcW w:w="1300" w:type="dxa"/>
            <w:vAlign w:val="bottom"/>
          </w:tcPr>
          <w:p>
            <w:pPr>
              <w:jc w:val="center"/>
              <w:ind w:left="515"/>
              <w:spacing w:after="0"/>
              <w:rPr>
                <w:sz w:val="20"/>
                <w:szCs w:val="20"/>
                <w:color w:val="auto"/>
              </w:rPr>
            </w:pPr>
            <w:r>
              <w:rPr>
                <w:rFonts w:ascii="Arial" w:cs="Arial" w:eastAsia="Arial" w:hAnsi="Arial"/>
                <w:sz w:val="16"/>
                <w:szCs w:val="16"/>
                <w:b w:val="1"/>
                <w:bCs w:val="1"/>
                <w:color w:val="auto"/>
                <w:w w:val="95"/>
              </w:rPr>
              <w:t>2020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center"/>
              <w:ind w:right="192"/>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300" w:type="dxa"/>
            <w:vAlign w:val="bottom"/>
            <w:tcBorders>
              <w:bottom w:val="single" w:sz="8" w:color="CCEEFF"/>
            </w:tcBorders>
            <w:shd w:val="clear" w:color="auto" w:fill="CCEEFF"/>
          </w:tcPr>
          <w:p>
            <w:pPr>
              <w:jc w:val="right"/>
              <w:ind w:right="111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13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1300" w:type="dxa"/>
            <w:vAlign w:val="bottom"/>
            <w:tcBorders>
              <w:bottom w:val="single" w:sz="8" w:color="auto"/>
            </w:tcBorders>
            <w:shd w:val="clear" w:color="auto" w:fill="CCEEFF"/>
          </w:tcPr>
          <w:p>
            <w:pPr>
              <w:jc w:val="right"/>
              <w:ind w:right="111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5.  PROPERTY AND EQUIPMENT—Net</w:t>
            </w:r>
          </w:p>
        </w:tc>
        <w:tc>
          <w:tcPr>
            <w:tcW w:w="1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732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tcPr>
          <w:p>
            <w:pPr>
              <w:ind w:left="660"/>
              <w:spacing w:after="0"/>
              <w:rPr>
                <w:sz w:val="20"/>
                <w:szCs w:val="20"/>
                <w:color w:val="auto"/>
              </w:rPr>
            </w:pPr>
            <w:r>
              <w:rPr>
                <w:rFonts w:ascii="Arial" w:cs="Arial" w:eastAsia="Arial" w:hAnsi="Arial"/>
                <w:sz w:val="18"/>
                <w:szCs w:val="18"/>
                <w:color w:val="auto"/>
              </w:rPr>
              <w:t>Property and equipment—net consisted of the following (in millions):</w:t>
            </w: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320" w:type="dxa"/>
            <w:vAlign w:val="bottom"/>
          </w:tcPr>
          <w:p>
            <w:pPr>
              <w:spacing w:after="0"/>
              <w:rPr>
                <w:sz w:val="24"/>
                <w:szCs w:val="24"/>
                <w:color w:val="auto"/>
              </w:rPr>
            </w:pPr>
          </w:p>
        </w:tc>
        <w:tc>
          <w:tcPr>
            <w:tcW w:w="1300" w:type="dxa"/>
            <w:vAlign w:val="bottom"/>
          </w:tcPr>
          <w:p>
            <w:pPr>
              <w:jc w:val="center"/>
              <w:ind w:left="475"/>
              <w:spacing w:after="0"/>
              <w:rPr>
                <w:sz w:val="20"/>
                <w:szCs w:val="20"/>
                <w:color w:val="auto"/>
              </w:rPr>
            </w:pPr>
            <w:r>
              <w:rPr>
                <w:rFonts w:ascii="Arial" w:cs="Arial" w:eastAsia="Arial" w:hAnsi="Arial"/>
                <w:sz w:val="16"/>
                <w:szCs w:val="16"/>
                <w:b w:val="1"/>
                <w:bCs w:val="1"/>
                <w:color w:val="auto"/>
                <w:w w:val="94"/>
              </w:rPr>
              <w:t>March 31,</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jc w:val="center"/>
              <w:ind w:right="232"/>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7320" w:type="dxa"/>
            <w:vAlign w:val="bottom"/>
          </w:tcPr>
          <w:p>
            <w:pPr>
              <w:spacing w:after="0"/>
              <w:rPr>
                <w:sz w:val="18"/>
                <w:szCs w:val="18"/>
                <w:color w:val="auto"/>
              </w:rPr>
            </w:pPr>
          </w:p>
        </w:tc>
        <w:tc>
          <w:tcPr>
            <w:tcW w:w="1300" w:type="dxa"/>
            <w:vAlign w:val="bottom"/>
          </w:tcPr>
          <w:p>
            <w:pPr>
              <w:jc w:val="center"/>
              <w:ind w:left="515"/>
              <w:spacing w:after="0"/>
              <w:rPr>
                <w:sz w:val="20"/>
                <w:szCs w:val="20"/>
                <w:color w:val="auto"/>
              </w:rPr>
            </w:pPr>
            <w:r>
              <w:rPr>
                <w:rFonts w:ascii="Arial" w:cs="Arial" w:eastAsia="Arial" w:hAnsi="Arial"/>
                <w:sz w:val="16"/>
                <w:szCs w:val="16"/>
                <w:b w:val="1"/>
                <w:bCs w:val="1"/>
                <w:color w:val="auto"/>
                <w:w w:val="95"/>
              </w:rPr>
              <w:t>2020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center"/>
              <w:ind w:right="192"/>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300" w:type="dxa"/>
            <w:vAlign w:val="bottom"/>
            <w:tcBorders>
              <w:bottom w:val="single" w:sz="8" w:color="CCEEFF"/>
            </w:tcBorders>
            <w:shd w:val="clear" w:color="auto" w:fill="CCEEFF"/>
          </w:tcPr>
          <w:p>
            <w:pPr>
              <w:jc w:val="right"/>
              <w:ind w:right="111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Building and building improvements</w:t>
            </w:r>
          </w:p>
        </w:tc>
        <w:tc>
          <w:tcPr>
            <w:tcW w:w="13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148.0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1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3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Evaluation units</w:t>
            </w:r>
          </w:p>
        </w:tc>
        <w:tc>
          <w:tcPr>
            <w:tcW w:w="1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13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13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37"/>
        </w:trPr>
        <w:tc>
          <w:tcPr>
            <w:tcW w:w="7320" w:type="dxa"/>
            <w:vAlign w:val="bottom"/>
          </w:tcPr>
          <w:p>
            <w:pPr>
              <w:ind w:left="500"/>
              <w:spacing w:after="0"/>
              <w:rPr>
                <w:sz w:val="20"/>
                <w:szCs w:val="20"/>
                <w:color w:val="auto"/>
              </w:rPr>
            </w:pPr>
            <w:r>
              <w:rPr>
                <w:rFonts w:ascii="Arial" w:cs="Arial" w:eastAsia="Arial" w:hAnsi="Arial"/>
                <w:sz w:val="18"/>
                <w:szCs w:val="18"/>
                <w:color w:val="auto"/>
              </w:rPr>
              <w:t>Total property and equipment</w:t>
            </w:r>
          </w:p>
        </w:tc>
        <w:tc>
          <w:tcPr>
            <w:tcW w:w="13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521.1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481.3</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13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(146.9)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57"/>
        </w:trPr>
        <w:tc>
          <w:tcPr>
            <w:tcW w:w="7320" w:type="dxa"/>
            <w:vAlign w:val="bottom"/>
          </w:tcPr>
          <w:p>
            <w:pPr>
              <w:ind w:left="40"/>
              <w:spacing w:after="0"/>
              <w:rPr>
                <w:sz w:val="20"/>
                <w:szCs w:val="20"/>
                <w:color w:val="auto"/>
              </w:rPr>
            </w:pPr>
            <w:r>
              <w:rPr>
                <w:rFonts w:ascii="Arial" w:cs="Arial" w:eastAsia="Arial" w:hAnsi="Arial"/>
                <w:sz w:val="18"/>
                <w:szCs w:val="18"/>
                <w:color w:val="auto"/>
              </w:rPr>
              <w:t>Property and equipment—net</w:t>
            </w:r>
          </w:p>
        </w:tc>
        <w:tc>
          <w:tcPr>
            <w:tcW w:w="1300" w:type="dxa"/>
            <w:vAlign w:val="bottom"/>
            <w:tcBorders>
              <w:top w:val="single" w:sz="8" w:color="auto"/>
              <w:bottom w:val="single" w:sz="8" w:color="auto"/>
            </w:tcBorders>
          </w:tcPr>
          <w:p>
            <w:pPr>
              <w:jc w:val="right"/>
              <w:ind w:right="1115"/>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374.2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Depreciation expense was $13.6 million and $12.7 million during the three months ended March 31, 2020 and March 31, 2019, respectively.</w:t>
      </w:r>
    </w:p>
    <w:p>
      <w:pPr>
        <w:spacing w:after="0" w:line="233"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PRIVATELY HELD COMPANIES</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investments in the equity securities of privately held companies totaled $1.0 million and $5.3 million as of March 31, 2020 and December 31, 2019, respectively. These investments are accounted for at cost, adjusted for changes in observable prices minus impairment. We own less than 20% of the voting securities in each of these investments and do not have the ability to exercise significant influence over operating and financial policies of the respective entities. These investments are recorded as Other assets in our condensed consolidated balance sheets and would be measured at fair value if indicators of an increase in value or impairment existed. During the three months ended March 31, 2020, we determined that one investment was impaired. As a result, we recognized and included a non-cash impairment charge of $4.3 million in Other expense—net in our condensed consolidated statements of income. As of March 31, 2020, no other events have occurred that would affect the carrying value of these investments.</w:t>
      </w:r>
    </w:p>
    <w:p>
      <w:pPr>
        <w:spacing w:after="0" w:line="162"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of March 31, 2020 and December 31, 2019, we had goodwill of $67.2 million. There were no impairments to goodwill during the three months ended March 31, 2020 or during prior periods.</w:t>
      </w:r>
    </w:p>
    <w:p>
      <w:pPr>
        <w:sectPr>
          <w:pgSz w:w="11900" w:h="16838" w:orient="portrait"/>
          <w:cols w:equalWidth="0" w:num="1">
            <w:col w:w="11240"/>
          </w:cols>
          <w:pgMar w:left="320" w:top="125"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other intangible assets—net as of March 31, 2020 and December 31, 2019 (in millions, except years):</w:t>
      </w:r>
    </w:p>
    <w:p>
      <w:pPr>
        <w:spacing w:after="0" w:line="200" w:lineRule="exact"/>
        <w:rPr>
          <w:sz w:val="20"/>
          <w:szCs w:val="20"/>
          <w:color w:val="auto"/>
        </w:rPr>
      </w:pPr>
    </w:p>
    <w:p>
      <w:pPr>
        <w:spacing w:after="0" w:line="201" w:lineRule="exact"/>
        <w:rPr>
          <w:sz w:val="20"/>
          <w:szCs w:val="20"/>
          <w:color w:val="auto"/>
        </w:rPr>
      </w:pPr>
    </w:p>
    <w:p>
      <w:pPr>
        <w:ind w:left="7780"/>
        <w:spacing w:after="0"/>
        <w:rPr>
          <w:sz w:val="20"/>
          <w:szCs w:val="20"/>
          <w:color w:val="auto"/>
        </w:rPr>
      </w:pPr>
      <w:r>
        <w:rPr>
          <w:rFonts w:ascii="Arial" w:cs="Arial" w:eastAsia="Arial" w:hAnsi="Arial"/>
          <w:sz w:val="16"/>
          <w:szCs w:val="16"/>
          <w:b w:val="1"/>
          <w:bCs w:val="1"/>
          <w:color w:val="auto"/>
        </w:rPr>
        <w:t>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37465</wp:posOffset>
            </wp:positionV>
            <wp:extent cx="3703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Weighted-Average</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4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Useful Life (in</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54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Years)</w:t>
            </w:r>
          </w:p>
        </w:tc>
        <w:tc>
          <w:tcPr>
            <w:tcW w:w="28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2"/>
              <w:spacing w:after="0"/>
              <w:rPr>
                <w:sz w:val="20"/>
                <w:szCs w:val="20"/>
                <w:color w:val="auto"/>
              </w:rPr>
            </w:pPr>
            <w:r>
              <w:rPr>
                <w:rFonts w:ascii="Arial" w:cs="Arial" w:eastAsia="Arial" w:hAnsi="Arial"/>
                <w:sz w:val="16"/>
                <w:szCs w:val="16"/>
                <w:b w:val="1"/>
                <w:bCs w:val="1"/>
                <w:color w:val="auto"/>
              </w:rPr>
              <w:t>Net</w:t>
            </w:r>
          </w:p>
        </w:tc>
      </w:tr>
      <w:tr>
        <w:trPr>
          <w:trHeight w:val="33"/>
        </w:trPr>
        <w:tc>
          <w:tcPr>
            <w:tcW w:w="54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400" w:type="dxa"/>
            <w:vAlign w:val="bottom"/>
          </w:tcPr>
          <w:p>
            <w:pPr>
              <w:ind w:left="280"/>
              <w:spacing w:after="0"/>
              <w:rPr>
                <w:sz w:val="20"/>
                <w:szCs w:val="20"/>
                <w:color w:val="auto"/>
              </w:rPr>
            </w:pPr>
            <w:r>
              <w:rPr>
                <w:rFonts w:ascii="Arial" w:cs="Arial" w:eastAsia="Arial" w:hAnsi="Arial"/>
                <w:sz w:val="18"/>
                <w:szCs w:val="18"/>
                <w:color w:val="auto"/>
              </w:rPr>
              <w:t>Finite-lived intangible assets:</w:t>
            </w: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Developed technologies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w:t>
            </w:r>
          </w:p>
        </w:tc>
      </w:tr>
      <w:tr>
        <w:trPr>
          <w:trHeight w:val="243"/>
        </w:trPr>
        <w:tc>
          <w:tcPr>
            <w:tcW w:w="540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14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4.1</w:t>
            </w:r>
          </w:p>
        </w:tc>
      </w:tr>
      <w:tr>
        <w:trPr>
          <w:trHeight w:val="27"/>
        </w:trPr>
        <w:tc>
          <w:tcPr>
            <w:tcW w:w="54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intangible assets—net</w:t>
            </w: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27.1</w:t>
            </w:r>
          </w:p>
        </w:tc>
      </w:tr>
      <w:tr>
        <w:trPr>
          <w:trHeight w:val="20"/>
        </w:trPr>
        <w:tc>
          <w:tcPr>
            <w:tcW w:w="5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ind w:left="7680"/>
        <w:spacing w:after="0"/>
        <w:rPr>
          <w:sz w:val="20"/>
          <w:szCs w:val="20"/>
          <w:color w:val="auto"/>
        </w:rPr>
      </w:pPr>
      <w:r>
        <w:rPr>
          <w:rFonts w:ascii="Arial" w:cs="Arial" w:eastAsia="Arial" w:hAnsi="Arial"/>
          <w:sz w:val="16"/>
          <w:szCs w:val="16"/>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37465</wp:posOffset>
            </wp:positionV>
            <wp:extent cx="3703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Weighted-Average</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4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Useful Life (in</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54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Years)</w:t>
            </w:r>
          </w:p>
        </w:tc>
        <w:tc>
          <w:tcPr>
            <w:tcW w:w="28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2"/>
              <w:spacing w:after="0"/>
              <w:rPr>
                <w:sz w:val="20"/>
                <w:szCs w:val="20"/>
                <w:color w:val="auto"/>
              </w:rPr>
            </w:pPr>
            <w:r>
              <w:rPr>
                <w:rFonts w:ascii="Arial" w:cs="Arial" w:eastAsia="Arial" w:hAnsi="Arial"/>
                <w:sz w:val="16"/>
                <w:szCs w:val="16"/>
                <w:b w:val="1"/>
                <w:bCs w:val="1"/>
                <w:color w:val="auto"/>
              </w:rPr>
              <w:t>Net</w:t>
            </w:r>
          </w:p>
        </w:tc>
      </w:tr>
      <w:tr>
        <w:trPr>
          <w:trHeight w:val="33"/>
        </w:trPr>
        <w:tc>
          <w:tcPr>
            <w:tcW w:w="54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400" w:type="dxa"/>
            <w:vAlign w:val="bottom"/>
          </w:tcPr>
          <w:p>
            <w:pPr>
              <w:ind w:left="280"/>
              <w:spacing w:after="0"/>
              <w:rPr>
                <w:sz w:val="20"/>
                <w:szCs w:val="20"/>
                <w:color w:val="auto"/>
              </w:rPr>
            </w:pPr>
            <w:r>
              <w:rPr>
                <w:rFonts w:ascii="Arial" w:cs="Arial" w:eastAsia="Arial" w:hAnsi="Arial"/>
                <w:sz w:val="18"/>
                <w:szCs w:val="18"/>
                <w:color w:val="auto"/>
              </w:rPr>
              <w:t>Finite-lived intangible assets:</w:t>
            </w: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Developed technologies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w:t>
            </w:r>
          </w:p>
        </w:tc>
      </w:tr>
      <w:tr>
        <w:trPr>
          <w:trHeight w:val="243"/>
        </w:trPr>
        <w:tc>
          <w:tcPr>
            <w:tcW w:w="540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14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5.5</w:t>
            </w:r>
          </w:p>
        </w:tc>
      </w:tr>
      <w:tr>
        <w:trPr>
          <w:trHeight w:val="27"/>
        </w:trPr>
        <w:tc>
          <w:tcPr>
            <w:tcW w:w="54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intangible assets—net</w:t>
            </w: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31.1</w:t>
            </w:r>
          </w:p>
        </w:tc>
      </w:tr>
      <w:tr>
        <w:trPr>
          <w:trHeight w:val="20"/>
        </w:trPr>
        <w:tc>
          <w:tcPr>
            <w:tcW w:w="5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Amortization expense was $4.0 million and $3.0 million during the three months ended March 31, 2020 and March 31, 2019, respectively.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estimated future amortization expense of finite-lived intangible assets—net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tcPr>
          <w:p>
            <w:pPr>
              <w:jc w:val="right"/>
              <w:ind w:right="752"/>
              <w:spacing w:after="0"/>
              <w:rPr>
                <w:sz w:val="20"/>
                <w:szCs w:val="20"/>
                <w:color w:val="auto"/>
              </w:rPr>
            </w:pPr>
            <w:r>
              <w:rPr>
                <w:rFonts w:ascii="Arial" w:cs="Arial" w:eastAsia="Arial" w:hAnsi="Arial"/>
                <w:sz w:val="16"/>
                <w:szCs w:val="16"/>
                <w:b w:val="1"/>
                <w:bCs w:val="1"/>
                <w:color w:val="auto"/>
              </w:rPr>
              <w:t>Amount</w:t>
            </w:r>
          </w:p>
        </w:tc>
      </w:tr>
      <w:tr>
        <w:trPr>
          <w:trHeight w:val="33"/>
        </w:trPr>
        <w:tc>
          <w:tcPr>
            <w:tcW w:w="90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3"/>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Years:</w:t>
            </w:r>
          </w:p>
        </w:tc>
        <w:tc>
          <w:tcPr>
            <w:tcW w:w="4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43"/>
        </w:trPr>
        <w:tc>
          <w:tcPr>
            <w:tcW w:w="9000" w:type="dxa"/>
            <w:vAlign w:val="bottom"/>
          </w:tcPr>
          <w:p>
            <w:pPr>
              <w:ind w:left="380"/>
              <w:spacing w:after="0"/>
              <w:rPr>
                <w:sz w:val="20"/>
                <w:szCs w:val="20"/>
                <w:color w:val="auto"/>
              </w:rPr>
            </w:pPr>
            <w:r>
              <w:rPr>
                <w:rFonts w:ascii="Arial" w:cs="Arial" w:eastAsia="Arial" w:hAnsi="Arial"/>
                <w:sz w:val="18"/>
                <w:szCs w:val="18"/>
                <w:color w:val="auto"/>
              </w:rPr>
              <w:t>2020 (the remainder of 2020)</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8.7</w:t>
            </w:r>
          </w:p>
        </w:tc>
      </w:tr>
      <w:tr>
        <w:trPr>
          <w:trHeight w:val="27"/>
        </w:trPr>
        <w:tc>
          <w:tcPr>
            <w:tcW w:w="9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r>
      <w:tr>
        <w:trPr>
          <w:trHeight w:val="243"/>
        </w:trPr>
        <w:tc>
          <w:tcPr>
            <w:tcW w:w="9000" w:type="dxa"/>
            <w:vAlign w:val="bottom"/>
          </w:tcPr>
          <w:p>
            <w:pPr>
              <w:ind w:left="380"/>
              <w:spacing w:after="0"/>
              <w:rPr>
                <w:sz w:val="20"/>
                <w:szCs w:val="20"/>
                <w:color w:val="auto"/>
              </w:rPr>
            </w:pPr>
            <w:r>
              <w:rPr>
                <w:rFonts w:ascii="Arial" w:cs="Arial" w:eastAsia="Arial" w:hAnsi="Arial"/>
                <w:sz w:val="18"/>
                <w:szCs w:val="18"/>
                <w:color w:val="auto"/>
              </w:rPr>
              <w:t>2022</w:t>
            </w:r>
          </w:p>
        </w:tc>
        <w:tc>
          <w:tcPr>
            <w:tcW w:w="48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6.4</w:t>
            </w:r>
          </w:p>
        </w:tc>
      </w:tr>
      <w:tr>
        <w:trPr>
          <w:trHeight w:val="27"/>
        </w:trPr>
        <w:tc>
          <w:tcPr>
            <w:tcW w:w="9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9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2023</w:t>
            </w:r>
          </w:p>
        </w:tc>
        <w:tc>
          <w:tcPr>
            <w:tcW w:w="4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r>
      <w:tr>
        <w:trPr>
          <w:trHeight w:val="257"/>
        </w:trPr>
        <w:tc>
          <w:tcPr>
            <w:tcW w:w="9000" w:type="dxa"/>
            <w:vAlign w:val="bottom"/>
          </w:tcPr>
          <w:p>
            <w:pPr>
              <w:ind w:left="4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27.1</w:t>
            </w:r>
          </w:p>
        </w:tc>
      </w:tr>
      <w:tr>
        <w:trPr>
          <w:trHeight w:val="20"/>
        </w:trPr>
        <w:tc>
          <w:tcPr>
            <w:tcW w:w="90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during the period, plus the dilutive effects of restricted stock units (“RSUs”) and stock options. Dilutive shares of common stock are determined by applying the treasury stock method.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2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is as follows (in millions, except per share amounts):</w:t>
      </w:r>
    </w:p>
    <w:p>
      <w:pPr>
        <w:spacing w:after="0" w:line="306" w:lineRule="exact"/>
        <w:rPr>
          <w:sz w:val="20"/>
          <w:szCs w:val="20"/>
          <w:color w:val="auto"/>
        </w:rPr>
      </w:pPr>
    </w:p>
    <w:p>
      <w:pPr>
        <w:ind w:left="888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37465</wp:posOffset>
            </wp:positionV>
            <wp:extent cx="18859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66" w:lineRule="exact"/>
        <w:rPr>
          <w:sz w:val="20"/>
          <w:szCs w:val="20"/>
          <w:color w:val="auto"/>
        </w:rPr>
      </w:pPr>
    </w:p>
    <w:p>
      <w:pPr>
        <w:ind w:left="8460"/>
        <w:spacing w:after="0"/>
        <w:tabs>
          <w:tab w:leader="none" w:pos="9980" w:val="left"/>
        </w:tabs>
        <w:rPr>
          <w:sz w:val="20"/>
          <w:szCs w:val="20"/>
          <w:color w:val="auto"/>
        </w:rPr>
      </w:pPr>
      <w:r>
        <w:rPr>
          <w:rFonts w:ascii="Arial" w:cs="Arial" w:eastAsia="Arial" w:hAnsi="Arial"/>
          <w:sz w:val="16"/>
          <w:szCs w:val="16"/>
          <w:b w:val="1"/>
          <w:bCs w:val="1"/>
          <w:color w:val="auto"/>
        </w:rPr>
        <w:t>March 31,</w:t>
      </w:r>
      <w:r>
        <w:rPr>
          <w:sz w:val="20"/>
          <w:szCs w:val="20"/>
          <w:color w:val="auto"/>
        </w:rPr>
        <w:tab/>
      </w:r>
      <w:r>
        <w:rPr>
          <w:rFonts w:ascii="Arial" w:cs="Arial" w:eastAsia="Arial" w:hAnsi="Arial"/>
          <w:sz w:val="15"/>
          <w:szCs w:val="15"/>
          <w:b w:val="1"/>
          <w:bCs w:val="1"/>
          <w:color w:val="auto"/>
        </w:rPr>
        <w:t>March 31,</w:t>
      </w:r>
    </w:p>
    <w:p>
      <w:pPr>
        <w:spacing w:after="0" w:line="26" w:lineRule="exact"/>
        <w:rPr>
          <w:sz w:val="20"/>
          <w:szCs w:val="20"/>
          <w:color w:val="auto"/>
        </w:rPr>
      </w:pPr>
    </w:p>
    <w:p>
      <w:pPr>
        <w:ind w:left="8680"/>
        <w:spacing w:after="0"/>
        <w:tabs>
          <w:tab w:leader="none" w:pos="1020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33020</wp:posOffset>
            </wp:positionV>
            <wp:extent cx="6943725"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43725" cy="17970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7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Numerator:</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31750</wp:posOffset>
            </wp:positionV>
            <wp:extent cx="6943725"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43725" cy="222885"/>
                    </a:xfrm>
                    <a:prstGeom prst="rect">
                      <a:avLst/>
                    </a:prstGeom>
                    <a:noFill/>
                  </pic:spPr>
                </pic:pic>
              </a:graphicData>
            </a:graphic>
          </wp:anchor>
        </w:drawing>
      </w:r>
    </w:p>
    <w:p>
      <w:pPr>
        <w:spacing w:after="0" w:line="39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34290</wp:posOffset>
            </wp:positionV>
            <wp:extent cx="694372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43725" cy="171450"/>
                    </a:xfrm>
                    <a:prstGeom prst="rect">
                      <a:avLst/>
                    </a:prstGeom>
                    <a:noFill/>
                  </pic:spPr>
                </pic:pic>
              </a:graphicData>
            </a:graphic>
          </wp:anchor>
        </w:drawing>
      </w:r>
    </w:p>
    <w:p>
      <w:pPr>
        <w:spacing w:after="0" w:line="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Basic shares:</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Weighted-average common stock outstanding-basic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46355</wp:posOffset>
            </wp:positionV>
            <wp:extent cx="694372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43725" cy="188595"/>
                    </a:xfrm>
                    <a:prstGeom prst="rect">
                      <a:avLst/>
                    </a:prstGeom>
                    <a:noFill/>
                  </pic:spPr>
                </pic:pic>
              </a:graphicData>
            </a:graphic>
          </wp:anchor>
        </w:drawing>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Diluted shares:</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Weighted-average common stock outstanding-basic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46355</wp:posOffset>
            </wp:positionV>
            <wp:extent cx="694372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43725" cy="171450"/>
                    </a:xfrm>
                    <a:prstGeom prst="rect">
                      <a:avLst/>
                    </a:prstGeom>
                    <a:noFill/>
                  </pic:spPr>
                </pic:pic>
              </a:graphicData>
            </a:graphic>
          </wp:anchor>
        </w:drawing>
      </w:r>
    </w:p>
    <w:p>
      <w:pPr>
        <w:spacing w:after="0" w:line="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Effect of potentially dilutive securities:</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tabs>
          <w:tab w:leader="none" w:pos="880" w:val="left"/>
          <w:tab w:leader="none" w:pos="1520" w:val="left"/>
          <w:tab w:leader="none" w:pos="2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104.0</w:t>
        <w:tab/>
        <w:t>$</w:t>
      </w:r>
      <w:r>
        <w:rPr>
          <w:sz w:val="20"/>
          <w:szCs w:val="20"/>
          <w:color w:val="auto"/>
        </w:rPr>
        <w:tab/>
      </w:r>
      <w:r>
        <w:rPr>
          <w:rFonts w:ascii="Arial" w:cs="Arial" w:eastAsia="Arial" w:hAnsi="Arial"/>
          <w:sz w:val="16"/>
          <w:szCs w:val="16"/>
          <w:color w:val="auto"/>
        </w:rPr>
        <w:t>58.8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18859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ind w:right="240"/>
        <w:spacing w:after="0"/>
        <w:tabs>
          <w:tab w:leader="none" w:pos="380" w:val="left"/>
        </w:tabs>
        <w:rPr>
          <w:sz w:val="20"/>
          <w:szCs w:val="20"/>
          <w:color w:val="auto"/>
        </w:rPr>
      </w:pPr>
      <w:r>
        <w:rPr>
          <w:rFonts w:ascii="Arial" w:cs="Arial" w:eastAsia="Arial" w:hAnsi="Arial"/>
          <w:sz w:val="18"/>
          <w:szCs w:val="18"/>
          <w:color w:val="auto"/>
        </w:rPr>
        <w:t>170.6</w:t>
      </w:r>
      <w:r>
        <w:rPr>
          <w:sz w:val="20"/>
          <w:szCs w:val="20"/>
          <w:color w:val="auto"/>
        </w:rPr>
        <w:tab/>
      </w:r>
      <w:r>
        <w:rPr>
          <w:rFonts w:ascii="Arial" w:cs="Arial" w:eastAsia="Arial" w:hAnsi="Arial"/>
          <w:sz w:val="15"/>
          <w:szCs w:val="15"/>
          <w:color w:val="auto"/>
        </w:rPr>
        <w:t>170.2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18859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54" w:lineRule="exact"/>
        <w:rPr>
          <w:sz w:val="20"/>
          <w:szCs w:val="20"/>
          <w:color w:val="auto"/>
        </w:rPr>
      </w:pPr>
    </w:p>
    <w:p>
      <w:pPr>
        <w:jc w:val="right"/>
        <w:ind w:right="240"/>
        <w:spacing w:after="0"/>
        <w:tabs>
          <w:tab w:leader="none" w:pos="380" w:val="left"/>
        </w:tabs>
        <w:rPr>
          <w:sz w:val="20"/>
          <w:szCs w:val="20"/>
          <w:color w:val="auto"/>
        </w:rPr>
      </w:pPr>
      <w:r>
        <w:rPr>
          <w:rFonts w:ascii="Arial" w:cs="Arial" w:eastAsia="Arial" w:hAnsi="Arial"/>
          <w:sz w:val="18"/>
          <w:szCs w:val="18"/>
          <w:color w:val="auto"/>
        </w:rPr>
        <w:t>170.6</w:t>
      </w:r>
      <w:r>
        <w:rPr>
          <w:sz w:val="20"/>
          <w:szCs w:val="20"/>
          <w:color w:val="auto"/>
        </w:rPr>
        <w:tab/>
      </w:r>
      <w:r>
        <w:rPr>
          <w:rFonts w:ascii="Arial" w:cs="Arial" w:eastAsia="Arial" w:hAnsi="Arial"/>
          <w:sz w:val="15"/>
          <w:szCs w:val="15"/>
          <w:color w:val="auto"/>
        </w:rPr>
        <w:t>170.2</w:t>
      </w:r>
    </w:p>
    <w:p>
      <w:pPr>
        <w:spacing w:after="0" w:line="333" w:lineRule="exact"/>
        <w:rPr>
          <w:sz w:val="20"/>
          <w:szCs w:val="20"/>
          <w:color w:val="auto"/>
        </w:rPr>
      </w:pPr>
    </w:p>
    <w:p>
      <w:pPr>
        <w:sectPr>
          <w:pgSz w:w="11900" w:h="16838" w:orient="portrait"/>
          <w:cols w:equalWidth="0" w:num="2">
            <w:col w:w="7420" w:space="720"/>
            <w:col w:w="3080"/>
          </w:cols>
          <w:pgMar w:left="320" w:top="125" w:right="359" w:bottom="1440" w:gutter="0" w:footer="0" w:header="0"/>
          <w:type w:val="continuous"/>
        </w:sectPr>
      </w:pPr>
    </w:p>
    <w:tbl>
      <w:tblPr>
        <w:tblLayout w:type="fixed"/>
        <w:tblInd w:w="160" w:type="dxa"/>
        <w:tblCellMar>
          <w:top w:w="0" w:type="dxa"/>
          <w:left w:w="0" w:type="dxa"/>
          <w:bottom w:w="0" w:type="dxa"/>
          <w:right w:w="0" w:type="dxa"/>
        </w:tblCellMar>
      </w:tblPr>
      <w:tr>
        <w:trPr>
          <w:trHeight w:val="230"/>
        </w:trPr>
        <w:tc>
          <w:tcPr>
            <w:tcW w:w="7960" w:type="dxa"/>
            <w:vAlign w:val="bottom"/>
          </w:tcPr>
          <w:p>
            <w:pPr>
              <w:ind w:left="920"/>
              <w:spacing w:after="0"/>
              <w:rPr>
                <w:sz w:val="20"/>
                <w:szCs w:val="20"/>
                <w:color w:val="auto"/>
              </w:rPr>
            </w:pPr>
            <w:r>
              <w:rPr>
                <w:rFonts w:ascii="Arial" w:cs="Arial" w:eastAsia="Arial" w:hAnsi="Arial"/>
                <w:sz w:val="18"/>
                <w:szCs w:val="18"/>
                <w:color w:val="auto"/>
              </w:rPr>
              <w:t>RSUs</w:t>
            </w:r>
          </w:p>
        </w:tc>
        <w:tc>
          <w:tcPr>
            <w:tcW w:w="5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3.3</w:t>
            </w:r>
          </w:p>
        </w:tc>
      </w:tr>
      <w:tr>
        <w:trPr>
          <w:trHeight w:val="27"/>
        </w:trPr>
        <w:tc>
          <w:tcPr>
            <w:tcW w:w="7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Stock options</w:t>
            </w: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r>
      <w:tr>
        <w:trPr>
          <w:trHeight w:val="297"/>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Weighted-average shares used to compute diluted net income per share</w:t>
            </w:r>
          </w:p>
        </w:tc>
        <w:tc>
          <w:tcPr>
            <w:tcW w:w="5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174.2</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174.8</w:t>
            </w:r>
          </w:p>
        </w:tc>
      </w:tr>
      <w:tr>
        <w:trPr>
          <w:trHeight w:val="23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5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303"/>
        </w:trPr>
        <w:tc>
          <w:tcPr>
            <w:tcW w:w="79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Basic</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0.35</w:t>
            </w:r>
          </w:p>
        </w:tc>
      </w:tr>
      <w:tr>
        <w:trPr>
          <w:trHeight w:val="250"/>
        </w:trPr>
        <w:tc>
          <w:tcPr>
            <w:tcW w:w="7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0.34</w:t>
            </w:r>
          </w:p>
        </w:tc>
      </w:tr>
      <w:tr>
        <w:trPr>
          <w:trHeight w:val="20"/>
        </w:trPr>
        <w:tc>
          <w:tcPr>
            <w:tcW w:w="79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weighted-average shares of common stock were excluded from the computation of diluted net income per share for the periods presented, as their effect would have been antidilutive (in millions):</w:t>
      </w:r>
    </w:p>
    <w:p>
      <w:pPr>
        <w:spacing w:after="0" w:line="306" w:lineRule="exact"/>
        <w:rPr>
          <w:sz w:val="20"/>
          <w:szCs w:val="20"/>
          <w:color w:val="auto"/>
        </w:rPr>
      </w:pPr>
    </w:p>
    <w:p>
      <w:pPr>
        <w:ind w:left="890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37465</wp:posOffset>
            </wp:positionV>
            <wp:extent cx="18688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66" w:lineRule="exact"/>
        <w:rPr>
          <w:sz w:val="20"/>
          <w:szCs w:val="20"/>
          <w:color w:val="auto"/>
        </w:rPr>
      </w:pPr>
    </w:p>
    <w:tbl>
      <w:tblPr>
        <w:tblLayout w:type="fixed"/>
        <w:tblInd w:w="160" w:type="dxa"/>
        <w:tblCellMar>
          <w:top w:w="0" w:type="dxa"/>
          <w:left w:w="0" w:type="dxa"/>
          <w:bottom w:w="0" w:type="dxa"/>
          <w:right w:w="0" w:type="dxa"/>
        </w:tblCellMar>
      </w:tblPr>
      <w:tr>
        <w:trPr>
          <w:trHeight w:val="203"/>
        </w:trPr>
        <w:tc>
          <w:tcPr>
            <w:tcW w:w="7980" w:type="dxa"/>
            <w:vAlign w:val="bottom"/>
          </w:tcPr>
          <w:p>
            <w:pPr>
              <w:spacing w:after="0"/>
              <w:rPr>
                <w:sz w:val="17"/>
                <w:szCs w:val="17"/>
                <w:color w:val="auto"/>
              </w:rPr>
            </w:pPr>
          </w:p>
        </w:tc>
        <w:tc>
          <w:tcPr>
            <w:tcW w:w="1080" w:type="dxa"/>
            <w:vAlign w:val="bottom"/>
          </w:tcPr>
          <w:p>
            <w:pPr>
              <w:jc w:val="center"/>
              <w:ind w:left="239"/>
              <w:spacing w:after="0"/>
              <w:rPr>
                <w:sz w:val="20"/>
                <w:szCs w:val="20"/>
                <w:color w:val="auto"/>
              </w:rPr>
            </w:pPr>
            <w:r>
              <w:rPr>
                <w:rFonts w:ascii="Arial" w:cs="Arial" w:eastAsia="Arial" w:hAnsi="Arial"/>
                <w:sz w:val="16"/>
                <w:szCs w:val="16"/>
                <w:b w:val="1"/>
                <w:bCs w:val="1"/>
                <w:color w:val="auto"/>
                <w:w w:val="97"/>
              </w:rPr>
              <w:t>March 31,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294"/>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906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2020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474"/>
              <w:spacing w:after="0"/>
              <w:rPr>
                <w:sz w:val="20"/>
                <w:szCs w:val="20"/>
                <w:color w:val="auto"/>
              </w:rPr>
            </w:pPr>
            <w:r>
              <w:rPr>
                <w:rFonts w:ascii="Arial" w:cs="Arial" w:eastAsia="Arial" w:hAnsi="Arial"/>
                <w:sz w:val="16"/>
                <w:szCs w:val="16"/>
                <w:b w:val="1"/>
                <w:bCs w:val="1"/>
                <w:color w:val="auto"/>
              </w:rPr>
              <w:t>2019</w:t>
            </w:r>
          </w:p>
        </w:tc>
      </w:tr>
      <w:tr>
        <w:trPr>
          <w:trHeight w:val="33"/>
        </w:trPr>
        <w:tc>
          <w:tcPr>
            <w:tcW w:w="79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r>
      <w:tr>
        <w:trPr>
          <w:trHeight w:val="243"/>
        </w:trPr>
        <w:tc>
          <w:tcPr>
            <w:tcW w:w="9060" w:type="dxa"/>
            <w:vAlign w:val="bottom"/>
            <w:gridSpan w:val="2"/>
          </w:tcPr>
          <w:p>
            <w:pPr>
              <w:ind w:left="20"/>
              <w:spacing w:after="0"/>
              <w:rPr>
                <w:sz w:val="20"/>
                <w:szCs w:val="20"/>
                <w:color w:val="auto"/>
              </w:rPr>
            </w:pPr>
            <w:r>
              <w:rPr>
                <w:rFonts w:ascii="Arial" w:cs="Arial" w:eastAsia="Arial" w:hAnsi="Arial"/>
                <w:sz w:val="18"/>
                <w:szCs w:val="18"/>
                <w:color w:val="auto"/>
              </w:rPr>
              <w:t>Stock options</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0.3</w:t>
            </w:r>
          </w:p>
        </w:tc>
        <w:tc>
          <w:tcPr>
            <w:tcW w:w="1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0.3</w:t>
            </w:r>
          </w:p>
        </w:tc>
      </w:tr>
      <w:tr>
        <w:trPr>
          <w:trHeight w:val="27"/>
        </w:trPr>
        <w:tc>
          <w:tcPr>
            <w:tcW w:w="79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0.9</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have operating leases for offices, research and development facilities and data centers. Our leases have remaining terms that range from less than one year to approximately seven years, some of which include one or more options to renew, with renewal terms of up to five years. We do not include renewal options in our lease terms for calculating our lease liability, as the renewal options allow us to maintain operational flexibility and we are not reasonably certain we will exercise these renewal options at the time of the lease commencement.</w:t>
      </w:r>
    </w:p>
    <w:p>
      <w:pPr>
        <w:spacing w:after="0" w:line="171"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During the year ended December 31, 2019, we entered into a finance lease with $3.6 million lease liabilities arising from obtaining right-of-use assets with a lease term of approximately two years. Our remaining finance leases were not material to our condensed consolidated financial statements. The related assumptions and further disclosures for finance leases are not material.</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125" w:right="35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 (in millions):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980" w:type="dxa"/>
            <w:vAlign w:val="bottom"/>
          </w:tcPr>
          <w:p>
            <w:pPr>
              <w:jc w:val="center"/>
              <w:ind w:left="295"/>
              <w:spacing w:after="0"/>
              <w:rPr>
                <w:sz w:val="20"/>
                <w:szCs w:val="20"/>
                <w:color w:val="auto"/>
              </w:rPr>
            </w:pPr>
            <w:r>
              <w:rPr>
                <w:rFonts w:ascii="Arial" w:cs="Arial" w:eastAsia="Arial" w:hAnsi="Arial"/>
                <w:sz w:val="16"/>
                <w:szCs w:val="16"/>
                <w:b w:val="1"/>
                <w:bCs w:val="1"/>
                <w:color w:val="auto"/>
                <w:w w:val="93"/>
              </w:rPr>
              <w:t>Three Months Ended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jc w:val="center"/>
              <w:ind w:right="194"/>
              <w:spacing w:after="0"/>
              <w:rPr>
                <w:sz w:val="20"/>
                <w:szCs w:val="20"/>
                <w:color w:val="auto"/>
              </w:rPr>
            </w:pPr>
            <w:r>
              <w:rPr>
                <w:rFonts w:ascii="Arial" w:cs="Arial" w:eastAsia="Arial" w:hAnsi="Arial"/>
                <w:sz w:val="16"/>
                <w:szCs w:val="16"/>
                <w:b w:val="1"/>
                <w:bCs w:val="1"/>
                <w:color w:val="auto"/>
                <w:w w:val="93"/>
              </w:rPr>
              <w:t>Three Months Ended</w:t>
            </w:r>
          </w:p>
        </w:tc>
      </w:tr>
      <w:tr>
        <w:trPr>
          <w:trHeight w:val="33"/>
        </w:trPr>
        <w:tc>
          <w:tcPr>
            <w:tcW w:w="64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09"/>
        </w:trPr>
        <w:tc>
          <w:tcPr>
            <w:tcW w:w="6400" w:type="dxa"/>
            <w:vAlign w:val="bottom"/>
          </w:tcPr>
          <w:p>
            <w:pPr>
              <w:spacing w:after="0"/>
              <w:rPr>
                <w:sz w:val="18"/>
                <w:szCs w:val="18"/>
                <w:color w:val="auto"/>
              </w:rPr>
            </w:pPr>
          </w:p>
        </w:tc>
        <w:tc>
          <w:tcPr>
            <w:tcW w:w="1980" w:type="dxa"/>
            <w:vAlign w:val="bottom"/>
          </w:tcPr>
          <w:p>
            <w:pPr>
              <w:jc w:val="center"/>
              <w:ind w:left="255"/>
              <w:spacing w:after="0"/>
              <w:rPr>
                <w:sz w:val="20"/>
                <w:szCs w:val="20"/>
                <w:color w:val="auto"/>
              </w:rPr>
            </w:pPr>
            <w:r>
              <w:rPr>
                <w:rFonts w:ascii="Arial" w:cs="Arial" w:eastAsia="Arial" w:hAnsi="Arial"/>
                <w:sz w:val="16"/>
                <w:szCs w:val="16"/>
                <w:b w:val="1"/>
                <w:bCs w:val="1"/>
                <w:color w:val="auto"/>
                <w:w w:val="97"/>
              </w:rPr>
              <w:t>March 31,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jc w:val="center"/>
              <w:ind w:right="234"/>
              <w:spacing w:after="0"/>
              <w:rPr>
                <w:sz w:val="20"/>
                <w:szCs w:val="20"/>
                <w:color w:val="auto"/>
              </w:rPr>
            </w:pPr>
            <w:r>
              <w:rPr>
                <w:rFonts w:ascii="Arial" w:cs="Arial" w:eastAsia="Arial" w:hAnsi="Arial"/>
                <w:sz w:val="16"/>
                <w:szCs w:val="16"/>
                <w:b w:val="1"/>
                <w:bCs w:val="1"/>
                <w:color w:val="auto"/>
                <w:w w:val="97"/>
              </w:rPr>
              <w:t>March 31,</w:t>
            </w:r>
          </w:p>
        </w:tc>
      </w:tr>
      <w:tr>
        <w:trPr>
          <w:trHeight w:val="210"/>
        </w:trPr>
        <w:tc>
          <w:tcPr>
            <w:tcW w:w="6400" w:type="dxa"/>
            <w:vAlign w:val="bottom"/>
          </w:tcPr>
          <w:p>
            <w:pPr>
              <w:spacing w:after="0"/>
              <w:rPr>
                <w:sz w:val="18"/>
                <w:szCs w:val="18"/>
                <w:color w:val="auto"/>
              </w:rPr>
            </w:pPr>
          </w:p>
        </w:tc>
        <w:tc>
          <w:tcPr>
            <w:tcW w:w="1980" w:type="dxa"/>
            <w:vAlign w:val="bottom"/>
          </w:tcPr>
          <w:p>
            <w:pPr>
              <w:jc w:val="center"/>
              <w:ind w:left="295"/>
              <w:spacing w:after="0"/>
              <w:rPr>
                <w:sz w:val="20"/>
                <w:szCs w:val="20"/>
                <w:color w:val="auto"/>
              </w:rPr>
            </w:pPr>
            <w:r>
              <w:rPr>
                <w:rFonts w:ascii="Arial" w:cs="Arial" w:eastAsia="Arial" w:hAnsi="Arial"/>
                <w:sz w:val="16"/>
                <w:szCs w:val="16"/>
                <w:b w:val="1"/>
                <w:bCs w:val="1"/>
                <w:color w:val="auto"/>
                <w:w w:val="89"/>
              </w:rPr>
              <w:t>2020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jc w:val="center"/>
              <w:ind w:right="194"/>
              <w:spacing w:after="0"/>
              <w:rPr>
                <w:sz w:val="20"/>
                <w:szCs w:val="20"/>
                <w:color w:val="auto"/>
              </w:rPr>
            </w:pPr>
            <w:r>
              <w:rPr>
                <w:rFonts w:ascii="Arial" w:cs="Arial" w:eastAsia="Arial" w:hAnsi="Arial"/>
                <w:sz w:val="16"/>
                <w:szCs w:val="16"/>
                <w:b w:val="1"/>
                <w:bCs w:val="1"/>
                <w:color w:val="auto"/>
                <w:w w:val="89"/>
              </w:rPr>
              <w:t>2019</w:t>
            </w:r>
          </w:p>
        </w:tc>
      </w:tr>
      <w:tr>
        <w:trPr>
          <w:trHeight w:val="33"/>
        </w:trPr>
        <w:tc>
          <w:tcPr>
            <w:tcW w:w="64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3"/>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expense</w:t>
            </w:r>
          </w:p>
        </w:tc>
        <w:tc>
          <w:tcPr>
            <w:tcW w:w="1980" w:type="dxa"/>
            <w:vAlign w:val="bottom"/>
            <w:tcBorders>
              <w:bottom w:val="single" w:sz="8" w:color="CCEEFF"/>
            </w:tcBorders>
            <w:shd w:val="clear" w:color="auto" w:fill="CCEEFF"/>
          </w:tcPr>
          <w:p>
            <w:pPr>
              <w:jc w:val="right"/>
              <w:ind w:right="1775"/>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w:t>
            </w:r>
          </w:p>
        </w:tc>
      </w:tr>
      <w:tr>
        <w:trPr>
          <w:trHeight w:val="270"/>
        </w:trPr>
        <w:tc>
          <w:tcPr>
            <w:tcW w:w="64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Variable lease expense </w:t>
            </w:r>
            <w:r>
              <w:rPr>
                <w:rFonts w:ascii="Arial" w:cs="Arial" w:eastAsia="Arial" w:hAnsi="Arial"/>
                <w:sz w:val="25"/>
                <w:szCs w:val="25"/>
                <w:color w:val="auto"/>
                <w:vertAlign w:val="superscript"/>
              </w:rPr>
              <w:t>(1)</w:t>
            </w:r>
          </w:p>
        </w:tc>
        <w:tc>
          <w:tcPr>
            <w:tcW w:w="1980" w:type="dxa"/>
            <w:vAlign w:val="bottom"/>
          </w:tcPr>
          <w:p>
            <w:pPr>
              <w:spacing w:after="0"/>
              <w:rPr>
                <w:sz w:val="23"/>
                <w:szCs w:val="23"/>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95"/>
              </w:rPr>
              <w:t>0.6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80" w:type="dxa"/>
            <w:vAlign w:val="bottom"/>
          </w:tcPr>
          <w:p>
            <w:pPr>
              <w:jc w:val="right"/>
              <w:ind w:right="34"/>
              <w:spacing w:after="0"/>
              <w:rPr>
                <w:sz w:val="20"/>
                <w:szCs w:val="20"/>
                <w:color w:val="auto"/>
              </w:rPr>
            </w:pPr>
            <w:r>
              <w:rPr>
                <w:rFonts w:ascii="Arial" w:cs="Arial" w:eastAsia="Arial" w:hAnsi="Arial"/>
                <w:sz w:val="18"/>
                <w:szCs w:val="18"/>
                <w:color w:val="auto"/>
              </w:rPr>
              <w:t>0.6</w:t>
            </w: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lease expense</w:t>
            </w:r>
          </w:p>
        </w:tc>
        <w:tc>
          <w:tcPr>
            <w:tcW w:w="19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r>
      <w:tr>
        <w:trPr>
          <w:trHeight w:val="257"/>
        </w:trPr>
        <w:tc>
          <w:tcPr>
            <w:tcW w:w="6400" w:type="dxa"/>
            <w:vAlign w:val="bottom"/>
          </w:tcPr>
          <w:p>
            <w:pPr>
              <w:ind w:left="380"/>
              <w:spacing w:after="0"/>
              <w:rPr>
                <w:sz w:val="20"/>
                <w:szCs w:val="20"/>
                <w:color w:val="auto"/>
              </w:rPr>
            </w:pPr>
            <w:r>
              <w:rPr>
                <w:rFonts w:ascii="Arial" w:cs="Arial" w:eastAsia="Arial" w:hAnsi="Arial"/>
                <w:sz w:val="18"/>
                <w:szCs w:val="18"/>
                <w:color w:val="auto"/>
              </w:rPr>
              <w:t>Total lease expense</w:t>
            </w:r>
          </w:p>
        </w:tc>
        <w:tc>
          <w:tcPr>
            <w:tcW w:w="1980" w:type="dxa"/>
            <w:vAlign w:val="bottom"/>
            <w:tcBorders>
              <w:top w:val="single" w:sz="8" w:color="auto"/>
              <w:bottom w:val="single" w:sz="8" w:color="auto"/>
            </w:tcBorders>
          </w:tcPr>
          <w:p>
            <w:pPr>
              <w:jc w:val="right"/>
              <w:ind w:right="1775"/>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5.8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4.9</w:t>
            </w:r>
          </w:p>
        </w:tc>
      </w:tr>
      <w:tr>
        <w:trPr>
          <w:trHeight w:val="20"/>
        </w:trPr>
        <w:tc>
          <w:tcPr>
            <w:tcW w:w="64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9"/>
          <w:szCs w:val="9"/>
          <w:color w:val="auto"/>
        </w:rPr>
      </w:pPr>
      <w:r>
        <w:rPr>
          <w:rFonts w:ascii="Arial" w:cs="Arial" w:eastAsia="Arial" w:hAnsi="Arial"/>
          <w:sz w:val="14"/>
          <w:szCs w:val="14"/>
          <w:color w:val="auto"/>
        </w:rPr>
        <w:t>Variable lease expense for the three months ended March 31, 2020 and March 31, 2019 predominantly included common area maintenance charges and parking expense.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Supplemental balance sheet information related to our operating leases was as follows (in millions, except lease term and discount rate):</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720" w:type="dxa"/>
            <w:vAlign w:val="bottom"/>
          </w:tcPr>
          <w:p>
            <w:pPr>
              <w:jc w:val="right"/>
              <w:ind w:right="94"/>
              <w:spacing w:after="0"/>
              <w:rPr>
                <w:sz w:val="20"/>
                <w:szCs w:val="20"/>
                <w:color w:val="auto"/>
              </w:rPr>
            </w:pPr>
            <w:r>
              <w:rPr>
                <w:rFonts w:ascii="Arial" w:cs="Arial" w:eastAsia="Arial" w:hAnsi="Arial"/>
                <w:sz w:val="16"/>
                <w:szCs w:val="16"/>
                <w:b w:val="1"/>
                <w:bCs w:val="1"/>
                <w:color w:val="auto"/>
              </w:rPr>
              <w:t>March 31,</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0" w:type="dxa"/>
            <w:vAlign w:val="bottom"/>
          </w:tcPr>
          <w:p>
            <w:pPr>
              <w:jc w:val="right"/>
              <w:ind w:right="672"/>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4300" w:type="dxa"/>
            <w:vAlign w:val="bottom"/>
          </w:tcPr>
          <w:p>
            <w:pPr>
              <w:spacing w:after="0"/>
              <w:rPr>
                <w:sz w:val="18"/>
                <w:szCs w:val="18"/>
                <w:color w:val="auto"/>
              </w:rPr>
            </w:pPr>
          </w:p>
        </w:tc>
        <w:tc>
          <w:tcPr>
            <w:tcW w:w="2000" w:type="dxa"/>
            <w:vAlign w:val="bottom"/>
          </w:tcPr>
          <w:p>
            <w:pPr>
              <w:ind w:left="20"/>
              <w:spacing w:after="0"/>
              <w:rPr>
                <w:sz w:val="20"/>
                <w:szCs w:val="20"/>
                <w:color w:val="auto"/>
              </w:rPr>
            </w:pPr>
            <w:r>
              <w:rPr>
                <w:rFonts w:ascii="Arial" w:cs="Arial" w:eastAsia="Arial" w:hAnsi="Arial"/>
                <w:sz w:val="16"/>
                <w:szCs w:val="16"/>
                <w:b w:val="1"/>
                <w:bCs w:val="1"/>
                <w:color w:val="auto"/>
              </w:rPr>
              <w:t>Classification</w:t>
            </w:r>
          </w:p>
        </w:tc>
        <w:tc>
          <w:tcPr>
            <w:tcW w:w="1720" w:type="dxa"/>
            <w:vAlign w:val="bottom"/>
          </w:tcPr>
          <w:p>
            <w:pPr>
              <w:jc w:val="right"/>
              <w:ind w:right="274"/>
              <w:spacing w:after="0"/>
              <w:rPr>
                <w:sz w:val="20"/>
                <w:szCs w:val="20"/>
                <w:color w:val="auto"/>
              </w:rPr>
            </w:pPr>
            <w:r>
              <w:rPr>
                <w:rFonts w:ascii="Arial" w:cs="Arial" w:eastAsia="Arial" w:hAnsi="Arial"/>
                <w:sz w:val="16"/>
                <w:szCs w:val="16"/>
                <w:b w:val="1"/>
                <w:bCs w:val="1"/>
                <w:color w:val="auto"/>
              </w:rPr>
              <w:t>2020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tcPr>
          <w:p>
            <w:pPr>
              <w:jc w:val="right"/>
              <w:ind w:right="95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43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ROU assets - non-current</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720" w:type="dxa"/>
            <w:vAlign w:val="bottom"/>
            <w:tcBorders>
              <w:bottom w:val="single" w:sz="8" w:color="auto"/>
            </w:tcBorders>
            <w:shd w:val="clear" w:color="auto" w:fill="CCEEFF"/>
          </w:tcPr>
          <w:p>
            <w:pPr>
              <w:jc w:val="right"/>
              <w:ind w:right="151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 - current</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720" w:type="dxa"/>
            <w:vAlign w:val="bottom"/>
            <w:tcBorders>
              <w:bottom w:val="single" w:sz="8" w:color="CCEEFF"/>
            </w:tcBorders>
            <w:shd w:val="clear" w:color="auto" w:fill="CCEEFF"/>
          </w:tcPr>
          <w:p>
            <w:pPr>
              <w:jc w:val="right"/>
              <w:ind w:right="151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Operating lease liabilities - non-current</w:t>
            </w:r>
          </w:p>
        </w:tc>
        <w:tc>
          <w:tcPr>
            <w:tcW w:w="200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720" w:type="dxa"/>
            <w:vAlign w:val="bottom"/>
          </w:tcPr>
          <w:p>
            <w:pPr>
              <w:spacing w:after="0"/>
              <w:rPr>
                <w:sz w:val="21"/>
                <w:szCs w:val="21"/>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0" w:type="dxa"/>
            <w:vAlign w:val="bottom"/>
          </w:tcPr>
          <w:p>
            <w:pPr>
              <w:jc w:val="right"/>
              <w:ind w:right="92"/>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lease liabilities</w:t>
            </w:r>
          </w:p>
        </w:tc>
        <w:tc>
          <w:tcPr>
            <w:tcW w:w="20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151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 in years -</w:t>
            </w:r>
          </w:p>
        </w:tc>
        <w:tc>
          <w:tcPr>
            <w:tcW w:w="20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7"/>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0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2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Pr>
          <w:p>
            <w:pPr>
              <w:ind w:left="40"/>
              <w:spacing w:after="0"/>
              <w:rPr>
                <w:sz w:val="20"/>
                <w:szCs w:val="20"/>
                <w:color w:val="auto"/>
              </w:rPr>
            </w:pPr>
            <w:r>
              <w:rPr>
                <w:rFonts w:ascii="Arial" w:cs="Arial" w:eastAsia="Arial" w:hAnsi="Arial"/>
                <w:sz w:val="18"/>
                <w:szCs w:val="18"/>
                <w:color w:val="auto"/>
              </w:rPr>
              <w:t>Weighted average discount rate - operating leases</w:t>
            </w:r>
          </w:p>
        </w:tc>
        <w:tc>
          <w:tcPr>
            <w:tcW w:w="2000" w:type="dxa"/>
            <w:vAlign w:val="bottom"/>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leases was as follows (in millions):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Three Months Ended</w:t>
            </w:r>
          </w:p>
        </w:tc>
        <w:tc>
          <w:tcPr>
            <w:tcW w:w="280" w:type="dxa"/>
            <w:vAlign w:val="bottom"/>
          </w:tcPr>
          <w:p>
            <w:pPr>
              <w:spacing w:after="0"/>
              <w:rPr>
                <w:sz w:val="18"/>
                <w:szCs w:val="18"/>
                <w:color w:val="auto"/>
              </w:rPr>
            </w:pPr>
          </w:p>
        </w:tc>
        <w:tc>
          <w:tcPr>
            <w:tcW w:w="2080" w:type="dxa"/>
            <w:vAlign w:val="bottom"/>
          </w:tcPr>
          <w:p>
            <w:pPr>
              <w:jc w:val="center"/>
              <w:ind w:right="195"/>
              <w:spacing w:after="0"/>
              <w:rPr>
                <w:sz w:val="20"/>
                <w:szCs w:val="20"/>
                <w:color w:val="auto"/>
              </w:rPr>
            </w:pPr>
            <w:r>
              <w:rPr>
                <w:rFonts w:ascii="Arial" w:cs="Arial" w:eastAsia="Arial" w:hAnsi="Arial"/>
                <w:sz w:val="16"/>
                <w:szCs w:val="16"/>
                <w:b w:val="1"/>
                <w:bCs w:val="1"/>
                <w:color w:val="auto"/>
                <w:w w:val="93"/>
              </w:rPr>
              <w:t>Three Months Ended</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March 31,</w:t>
            </w:r>
          </w:p>
        </w:tc>
        <w:tc>
          <w:tcPr>
            <w:tcW w:w="280" w:type="dxa"/>
            <w:vAlign w:val="bottom"/>
          </w:tcPr>
          <w:p>
            <w:pPr>
              <w:spacing w:after="0"/>
              <w:rPr>
                <w:sz w:val="18"/>
                <w:szCs w:val="18"/>
                <w:color w:val="auto"/>
              </w:rPr>
            </w:pPr>
          </w:p>
        </w:tc>
        <w:tc>
          <w:tcPr>
            <w:tcW w:w="2080" w:type="dxa"/>
            <w:vAlign w:val="bottom"/>
          </w:tcPr>
          <w:p>
            <w:pPr>
              <w:jc w:val="center"/>
              <w:ind w:right="235"/>
              <w:spacing w:after="0"/>
              <w:rPr>
                <w:sz w:val="20"/>
                <w:szCs w:val="20"/>
                <w:color w:val="auto"/>
              </w:rPr>
            </w:pPr>
            <w:r>
              <w:rPr>
                <w:rFonts w:ascii="Arial" w:cs="Arial" w:eastAsia="Arial" w:hAnsi="Arial"/>
                <w:sz w:val="16"/>
                <w:szCs w:val="16"/>
                <w:b w:val="1"/>
                <w:bCs w:val="1"/>
                <w:color w:val="auto"/>
                <w:w w:val="97"/>
              </w:rPr>
              <w:t>March 31,</w:t>
            </w:r>
          </w:p>
        </w:tc>
        <w:tc>
          <w:tcPr>
            <w:tcW w:w="0" w:type="dxa"/>
            <w:vAlign w:val="bottom"/>
          </w:tcPr>
          <w:p>
            <w:pPr>
              <w:spacing w:after="0"/>
              <w:rPr>
                <w:sz w:val="1"/>
                <w:szCs w:val="1"/>
                <w:color w:val="auto"/>
              </w:rPr>
            </w:pPr>
          </w:p>
        </w:tc>
      </w:tr>
      <w:tr>
        <w:trPr>
          <w:trHeight w:val="210"/>
        </w:trPr>
        <w:tc>
          <w:tcPr>
            <w:tcW w:w="5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jc w:val="center"/>
              <w:ind w:right="175"/>
              <w:spacing w:after="0"/>
              <w:rPr>
                <w:sz w:val="20"/>
                <w:szCs w:val="20"/>
                <w:color w:val="auto"/>
              </w:rPr>
            </w:pPr>
            <w:r>
              <w:rPr>
                <w:rFonts w:ascii="Arial" w:cs="Arial" w:eastAsia="Arial" w:hAnsi="Arial"/>
                <w:sz w:val="16"/>
                <w:szCs w:val="16"/>
                <w:b w:val="1"/>
                <w:bCs w:val="1"/>
                <w:color w:val="auto"/>
                <w:w w:val="95"/>
              </w:rPr>
              <w:t>2020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jc w:val="center"/>
              <w:ind w:right="195"/>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33"/>
        </w:trPr>
        <w:tc>
          <w:tcPr>
            <w:tcW w:w="54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9"/>
              </w:rPr>
              <w:t>Cash paid for amounts included in the measurement of lease liabilities</w:t>
            </w: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5480" w:type="dxa"/>
            <w:vAlign w:val="bottom"/>
          </w:tcPr>
          <w:p>
            <w:pPr>
              <w:ind w:left="40"/>
              <w:spacing w:after="0"/>
              <w:rPr>
                <w:sz w:val="20"/>
                <w:szCs w:val="20"/>
                <w:color w:val="auto"/>
              </w:rPr>
            </w:pPr>
            <w:r>
              <w:rPr>
                <w:rFonts w:ascii="Arial" w:cs="Arial" w:eastAsia="Arial" w:hAnsi="Arial"/>
                <w:sz w:val="18"/>
                <w:szCs w:val="18"/>
                <w:color w:val="auto"/>
              </w:rPr>
              <w:t>Operating cash flows used for operating leases</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15"/>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5"/>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84"/>
        </w:trPr>
        <w:tc>
          <w:tcPr>
            <w:tcW w:w="5480" w:type="dxa"/>
            <w:vAlign w:val="bottom"/>
            <w:tcBorders>
              <w:top w:val="single" w:sz="8" w:color="CCEEFF"/>
            </w:tcBorders>
            <w:shd w:val="clear" w:color="auto" w:fill="CCEEFF"/>
          </w:tcPr>
          <w:p>
            <w:pPr>
              <w:spacing w:after="0"/>
              <w:rPr>
                <w:sz w:val="24"/>
                <w:szCs w:val="24"/>
                <w:color w:val="auto"/>
              </w:rPr>
            </w:pPr>
          </w:p>
        </w:tc>
        <w:tc>
          <w:tcPr>
            <w:tcW w:w="92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20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208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Lease liabilities arising from obtaining right-of-use assets</w:t>
            </w: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ind w:right="590"/>
              <w:spacing w:after="0"/>
              <w:rPr>
                <w:sz w:val="20"/>
                <w:szCs w:val="20"/>
                <w:color w:val="auto"/>
              </w:rPr>
            </w:pPr>
            <w:r>
              <w:rPr>
                <w:rFonts w:ascii="Arial" w:cs="Arial" w:eastAsia="Arial" w:hAnsi="Arial"/>
                <w:sz w:val="18"/>
                <w:szCs w:val="18"/>
                <w:color w:val="auto"/>
              </w:rPr>
              <w:t>14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548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operating lease liabilities as of March 31, 2020 were as follows (in millions):</w:t>
      </w:r>
    </w:p>
    <w:p>
      <w:pPr>
        <w:spacing w:after="0" w:line="383" w:lineRule="exact"/>
        <w:rPr>
          <w:sz w:val="20"/>
          <w:szCs w:val="20"/>
          <w:color w:val="auto"/>
        </w:rPr>
      </w:pPr>
    </w:p>
    <w:p>
      <w:pPr>
        <w:ind w:left="40"/>
        <w:spacing w:after="0"/>
        <w:tabs>
          <w:tab w:leader="none" w:pos="9760" w:val="left"/>
        </w:tabs>
        <w:rPr>
          <w:sz w:val="20"/>
          <w:szCs w:val="20"/>
          <w:color w:val="auto"/>
        </w:rPr>
      </w:pPr>
      <w:r>
        <w:rPr>
          <w:rFonts w:ascii="Arial" w:cs="Arial" w:eastAsia="Arial" w:hAnsi="Arial"/>
          <w:sz w:val="18"/>
          <w:szCs w:val="18"/>
          <w:b w:val="1"/>
          <w:bCs w:val="1"/>
          <w:color w:val="auto"/>
        </w:rPr>
        <w:t>Year ending December 31,</w:t>
      </w:r>
      <w:r>
        <w:rPr>
          <w:sz w:val="20"/>
          <w:szCs w:val="20"/>
          <w:color w:val="auto"/>
        </w:rPr>
        <w:tab/>
      </w:r>
      <w:r>
        <w:rPr>
          <w:rFonts w:ascii="Arial" w:cs="Arial" w:eastAsia="Arial" w:hAnsi="Arial"/>
          <w:sz w:val="16"/>
          <w:szCs w:val="16"/>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2020 (the remainder of 2020)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2024</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Thereafter</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lease payments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Less imputed interest</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11.9</w:t>
      </w:r>
    </w:p>
    <w:p>
      <w:pPr>
        <w:spacing w:after="0" w:line="6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-5709285</wp:posOffset>
            </wp:positionH>
            <wp:positionV relativeFrom="paragraph">
              <wp:posOffset>31750</wp:posOffset>
            </wp:positionV>
            <wp:extent cx="711517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8.7</w:t>
      </w:r>
    </w:p>
    <w:p>
      <w:pPr>
        <w:spacing w:after="0" w:line="6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-5709285</wp:posOffset>
            </wp:positionH>
            <wp:positionV relativeFrom="paragraph">
              <wp:posOffset>31750</wp:posOffset>
            </wp:positionV>
            <wp:extent cx="71151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3.9</w:t>
      </w:r>
    </w:p>
    <w:p>
      <w:pPr>
        <w:spacing w:after="0" w:line="6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-5709285</wp:posOffset>
            </wp:positionH>
            <wp:positionV relativeFrom="paragraph">
              <wp:posOffset>31750</wp:posOffset>
            </wp:positionV>
            <wp:extent cx="7115175"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57"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45.3</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-5709285</wp:posOffset>
            </wp:positionH>
            <wp:positionV relativeFrom="paragraph">
              <wp:posOffset>31750</wp:posOffset>
            </wp:positionV>
            <wp:extent cx="7115175"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57"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48895</wp:posOffset>
            </wp:positionV>
            <wp:extent cx="14230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280" w:space="720"/>
            <w:col w:w="2240"/>
          </w:cols>
          <w:pgMar w:left="320" w:top="125" w:right="339" w:bottom="1440" w:gutter="0" w:footer="0" w:header="0"/>
          <w:type w:val="continuous"/>
        </w:sectPr>
      </w:pPr>
    </w:p>
    <w:p>
      <w:pPr>
        <w:spacing w:after="0" w:line="29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As of March 31, 2020, we had additional minimum lease payments of $5.1 million relating to operating leases that had been signed but had not yet commenced and therefore were excluded from the table above. These leases will commence during 2020 and will have lease terms of approximately five to seven years.</w:t>
      </w:r>
    </w:p>
    <w:p>
      <w:pPr>
        <w:spacing w:after="0" w:line="18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MUTUAL COVENANT-NOT-TO-SUE AND RELEASE AGREEMENT</w:t>
      </w:r>
    </w:p>
    <w:p>
      <w:pPr>
        <w:spacing w:after="0" w:line="229"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In January 2020, we entered into an agreement with a competitor in the network security industry whereby, in February 2020, the competitor party paid us a lump sum of $50.0 million for a seven-year mutual covenant-not-to-sue for patent claims. Pursuant to this agreement, at the end of this first seven-year period, either party may extend the agreement for an additional seven-year mutual covenant-not-to-sue in return for this competitor paying us an additional $50.0 million. This agreement arose after expiration of previous agreements between the parties whereby the competitor had paid us sums for a limited term license to certain of our intellectual property (“IP”) and a limited term mutual covenant-not-to-sue.</w:t>
      </w:r>
    </w:p>
    <w:p>
      <w:pPr>
        <w:spacing w:after="0" w:line="176"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concluded that the agreement was a 14-year contract with a total transaction price of $100.0 million, and that it contained two material distinct performance obligations: (1) the right to use our existing patents, and (2) the right to use any patents that we develop over the term of the contract. We allocated $36.0 million to the functional patents, which was recognized upon commencement of the contract; the remaining $64.0 million, representing the right to utilize future patents, will be recognized over the contract term. We further concluded that our existing patents represent functional IP that should be recognized upon granting our competitor access. We also concluded that the right to receive additional functional IP that we will develop in the future represents a stand ready obligation. Therefore, the transaction price allocated to this obligation is recognized ratably over the 14-year contract term. We estimated the stand-alone selling price of each distinct performance obligation and allocated the $100.0 million transaction price.</w:t>
      </w:r>
    </w:p>
    <w:p>
      <w:pPr>
        <w:spacing w:after="0" w:line="166"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During the three months ended March 31, 2020, we recorded $36.8 million in Gain on IP matter in our condensed consolidated statement of income, consisting of the $36.0 million allocated to the functional patents and $0.8 million of amortization of the deferred component. We recorded $13.2 million in Accrued liabilities and Other liabilities in our condensed consolidated balance sheet as of March 31, 2020.</w:t>
      </w:r>
    </w:p>
    <w:p>
      <w:pPr>
        <w:spacing w:after="0" w:line="161" w:lineRule="exact"/>
        <w:rPr>
          <w:sz w:val="20"/>
          <w:szCs w:val="20"/>
          <w:color w:val="auto"/>
        </w:rPr>
      </w:pPr>
    </w:p>
    <w:p>
      <w:pPr>
        <w:ind w:left="440" w:hanging="432"/>
        <w:spacing w:after="0"/>
        <w:tabs>
          <w:tab w:leader="none" w:pos="4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inventory purchase commitments as of March 31, 2020 (in millions):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35"/>
              <w:spacing w:after="0"/>
              <w:rPr>
                <w:sz w:val="20"/>
                <w:szCs w:val="20"/>
                <w:color w:val="auto"/>
              </w:rPr>
            </w:pPr>
            <w:r>
              <w:rPr>
                <w:rFonts w:ascii="Arial" w:cs="Arial" w:eastAsia="Arial" w:hAnsi="Arial"/>
                <w:sz w:val="16"/>
                <w:szCs w:val="16"/>
                <w:b w:val="1"/>
                <w:bCs w:val="1"/>
                <w:color w:val="auto"/>
              </w:rPr>
              <w:t>Total</w:t>
            </w:r>
          </w:p>
        </w:tc>
        <w:tc>
          <w:tcPr>
            <w:tcW w:w="360" w:type="dxa"/>
            <w:vAlign w:val="bottom"/>
          </w:tcPr>
          <w:p>
            <w:pPr>
              <w:spacing w:after="0"/>
              <w:rPr>
                <w:sz w:val="18"/>
                <w:szCs w:val="18"/>
                <w:color w:val="auto"/>
              </w:rPr>
            </w:pPr>
          </w:p>
        </w:tc>
        <w:tc>
          <w:tcPr>
            <w:tcW w:w="880" w:type="dxa"/>
            <w:vAlign w:val="bottom"/>
          </w:tcPr>
          <w:p>
            <w:pPr>
              <w:jc w:val="right"/>
              <w:ind w:right="335"/>
              <w:spacing w:after="0"/>
              <w:rPr>
                <w:sz w:val="20"/>
                <w:szCs w:val="20"/>
                <w:color w:val="auto"/>
              </w:rPr>
            </w:pPr>
            <w:r>
              <w:rPr>
                <w:rFonts w:ascii="Arial" w:cs="Arial" w:eastAsia="Arial" w:hAnsi="Arial"/>
                <w:sz w:val="16"/>
                <w:szCs w:val="16"/>
                <w:b w:val="1"/>
                <w:bCs w:val="1"/>
                <w:color w:val="auto"/>
              </w:rPr>
              <w:t>2020</w:t>
            </w:r>
          </w:p>
        </w:tc>
        <w:tc>
          <w:tcPr>
            <w:tcW w:w="340" w:type="dxa"/>
            <w:vAlign w:val="bottom"/>
          </w:tcPr>
          <w:p>
            <w:pPr>
              <w:spacing w:after="0"/>
              <w:rPr>
                <w:sz w:val="18"/>
                <w:szCs w:val="18"/>
                <w:color w:val="auto"/>
              </w:rPr>
            </w:pPr>
          </w:p>
        </w:tc>
        <w:tc>
          <w:tcPr>
            <w:tcW w:w="880" w:type="dxa"/>
            <w:vAlign w:val="bottom"/>
          </w:tcPr>
          <w:p>
            <w:pPr>
              <w:jc w:val="right"/>
              <w:ind w:right="335"/>
              <w:spacing w:after="0"/>
              <w:rPr>
                <w:sz w:val="20"/>
                <w:szCs w:val="20"/>
                <w:color w:val="auto"/>
              </w:rPr>
            </w:pPr>
            <w:r>
              <w:rPr>
                <w:rFonts w:ascii="Arial" w:cs="Arial" w:eastAsia="Arial" w:hAnsi="Arial"/>
                <w:sz w:val="16"/>
                <w:szCs w:val="16"/>
                <w:b w:val="1"/>
                <w:bCs w:val="1"/>
                <w:color w:val="auto"/>
              </w:rPr>
              <w:t>2021</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620" w:type="dxa"/>
            <w:vAlign w:val="bottom"/>
          </w:tcPr>
          <w:p>
            <w:pPr>
              <w:spacing w:after="0"/>
              <w:rPr>
                <w:sz w:val="18"/>
                <w:szCs w:val="18"/>
                <w:color w:val="auto"/>
              </w:rPr>
            </w:pPr>
          </w:p>
        </w:tc>
        <w:tc>
          <w:tcPr>
            <w:tcW w:w="960" w:type="dxa"/>
            <w:vAlign w:val="bottom"/>
          </w:tcPr>
          <w:p>
            <w:pPr>
              <w:ind w:left="20"/>
              <w:spacing w:after="0"/>
              <w:rPr>
                <w:sz w:val="20"/>
                <w:szCs w:val="20"/>
                <w:color w:val="auto"/>
              </w:rPr>
            </w:pPr>
            <w:r>
              <w:rPr>
                <w:rFonts w:ascii="Arial" w:cs="Arial" w:eastAsia="Arial" w:hAnsi="Arial"/>
                <w:sz w:val="16"/>
                <w:szCs w:val="16"/>
                <w:b w:val="1"/>
                <w:bCs w:val="1"/>
                <w:color w:val="auto"/>
              </w:rPr>
              <w:t>Thereafter</w:t>
            </w:r>
          </w:p>
        </w:tc>
      </w:tr>
      <w:tr>
        <w:trPr>
          <w:trHeight w:val="33"/>
        </w:trPr>
        <w:tc>
          <w:tcPr>
            <w:tcW w:w="2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2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Inventory purchase commitments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247.2</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247.2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7"/>
        </w:trPr>
        <w:tc>
          <w:tcPr>
            <w:tcW w:w="27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b w:val="1"/>
          <w:bCs w:val="1"/>
          <w:color w:val="auto"/>
        </w:rPr>
        <w:t>Inventory Purchase Commitments</w:t>
      </w:r>
      <w:r>
        <w:rPr>
          <w:rFonts w:ascii="Arial" w:cs="Arial" w:eastAsia="Arial" w:hAnsi="Arial"/>
          <w:sz w:val="18"/>
          <w:szCs w:val="18"/>
          <w:color w:val="auto"/>
        </w:rPr>
        <w:t>—Our independent contract manufacturers procure components and build our products based on our</w:t>
      </w:r>
      <w:r>
        <w:rPr>
          <w:rFonts w:ascii="Arial" w:cs="Arial" w:eastAsia="Arial" w:hAnsi="Arial"/>
          <w:sz w:val="18"/>
          <w:szCs w:val="18"/>
          <w:b w:val="1"/>
          <w:bCs w:val="1"/>
          <w:color w:val="auto"/>
        </w:rPr>
        <w:t xml:space="preserve"> </w:t>
      </w:r>
      <w:r>
        <w:rPr>
          <w:rFonts w:ascii="Arial" w:cs="Arial" w:eastAsia="Arial" w:hAnsi="Arial"/>
          <w:sz w:val="18"/>
          <w:szCs w:val="18"/>
          <w:color w:val="auto"/>
        </w:rPr>
        <w:t>forecasts. These forecasts are based on estimates of future demand for our products, which are in turn based on historical trends and an analysis from our sales and marketing organizations, adjusted for overall market conditions. In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27"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order to reduce manufacturing lead times and plan for adequate component supply, we may issue purchase orders to some of our independent contract manufacturers, which may not be cancelable. As of March 31, 2020, we had $247.2 million of open purchase orders with our independent contract manufacturers that may not be cancelable.</w:t>
      </w:r>
    </w:p>
    <w:p>
      <w:pPr>
        <w:spacing w:after="0" w:line="180" w:lineRule="exact"/>
        <w:rPr>
          <w:sz w:val="20"/>
          <w:szCs w:val="20"/>
          <w:color w:val="auto"/>
        </w:rPr>
      </w:pPr>
    </w:p>
    <w:p>
      <w:pPr>
        <w:ind w:right="40" w:firstLine="648"/>
        <w:spacing w:after="0" w:line="289" w:lineRule="auto"/>
        <w:rPr>
          <w:sz w:val="20"/>
          <w:szCs w:val="20"/>
          <w:color w:val="auto"/>
        </w:rPr>
      </w:pPr>
      <w:r>
        <w:rPr>
          <w:rFonts w:ascii="Arial" w:cs="Arial" w:eastAsia="Arial" w:hAnsi="Arial"/>
          <w:sz w:val="17"/>
          <w:szCs w:val="17"/>
          <w:b w:val="1"/>
          <w:bCs w:val="1"/>
          <w:color w:val="auto"/>
        </w:rPr>
        <w:t>Other Contractual Commitments and Open Purchase Orders</w:t>
      </w:r>
      <w:r>
        <w:rPr>
          <w:rFonts w:ascii="Arial" w:cs="Arial" w:eastAsia="Arial" w:hAnsi="Arial"/>
          <w:sz w:val="17"/>
          <w:szCs w:val="17"/>
          <w:color w:val="auto"/>
        </w:rPr>
        <w:t>—In addition to commitments with contract manufacturers, we have open</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 orders and contractual obligations in the ordinary course of business for which we have not received goods or services. As of March 31, 2020, we had $10.9 million in other contractual commitments having a remaining term in excess of one year that may not be cancelable.</w:t>
      </w:r>
    </w:p>
    <w:p>
      <w:pPr>
        <w:spacing w:after="0" w:line="15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b w:val="1"/>
          <w:bCs w:val="1"/>
          <w:color w:val="auto"/>
        </w:rPr>
        <w:t>Litigation</w:t>
      </w:r>
      <w:r>
        <w:rPr>
          <w:rFonts w:ascii="Arial" w:cs="Arial" w:eastAsia="Arial" w:hAnsi="Arial"/>
          <w:sz w:val="16"/>
          <w:szCs w:val="16"/>
          <w:color w:val="auto"/>
        </w:rPr>
        <w:t>—We are involved in disputes, litigation, and other legal actions. For lawsuits where we are the defendant, we are in the process of</w:t>
      </w:r>
      <w:r>
        <w:rPr>
          <w:rFonts w:ascii="Arial" w:cs="Arial" w:eastAsia="Arial" w:hAnsi="Arial"/>
          <w:sz w:val="16"/>
          <w:szCs w:val="16"/>
          <w:b w:val="1"/>
          <w:bCs w:val="1"/>
          <w:color w:val="auto"/>
        </w:rPr>
        <w:t xml:space="preserve"> </w:t>
      </w:r>
      <w:r>
        <w:rPr>
          <w:rFonts w:ascii="Arial" w:cs="Arial" w:eastAsia="Arial" w:hAnsi="Arial"/>
          <w:sz w:val="16"/>
          <w:szCs w:val="16"/>
          <w:color w:val="auto"/>
        </w:rPr>
        <w:t>defending these litigation matters, and while there can be no assurances and the outcome of certain of these matters is currently not determinable and not predictable, we currently are unaware of any existing claims or proceedings that we believe are likely to have a material adverse effect on our financial position. There are many uncertainties associated with any litigation and these actions or other third-party claims against us may cause us to incur costly litigation fees, costs and substantial settlement charges, and possibly subject us to damages and other penalties. In addition, the resolution of any IP litigation may require us to make royalty payments, which could adversely affect our gross margins in future periods. If any of those events were to occur, our business, financial condition, results of operations, and cash flows could be adversely affected. Litigation is unpredictable and the actual liability in any such matters may be materially different from our current estimates, which could result in the need to adjust any accrued liability and record additional expenses. We accrue for contingencies when we believe that a loss is probable and that we can reasonably estimate the amount of any such loss.</w:t>
      </w:r>
    </w:p>
    <w:p>
      <w:pPr>
        <w:spacing w:after="0" w:line="16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Indemnification and Other Matters</w:t>
      </w:r>
      <w:r>
        <w:rPr>
          <w:rFonts w:ascii="Arial" w:cs="Arial" w:eastAsia="Arial" w:hAnsi="Arial"/>
          <w:sz w:val="17"/>
          <w:szCs w:val="17"/>
          <w:color w:val="auto"/>
        </w:rPr>
        <w:t>—Under the indemnification provisions of our standard sales contracts, we agree to defend our customers</w:t>
      </w:r>
      <w:r>
        <w:rPr>
          <w:rFonts w:ascii="Arial" w:cs="Arial" w:eastAsia="Arial" w:hAnsi="Arial"/>
          <w:sz w:val="17"/>
          <w:szCs w:val="17"/>
          <w:b w:val="1"/>
          <w:bCs w:val="1"/>
          <w:color w:val="auto"/>
        </w:rPr>
        <w:t xml:space="preserve"> </w:t>
      </w:r>
      <w:r>
        <w:rPr>
          <w:rFonts w:ascii="Arial" w:cs="Arial" w:eastAsia="Arial" w:hAnsi="Arial"/>
          <w:sz w:val="17"/>
          <w:szCs w:val="17"/>
          <w:color w:val="auto"/>
        </w:rPr>
        <w:t>against third-party claims asserting various allegations such as product defects and infringement of certain IP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IP infringement, that could potentially expose us to losses in excess of the amount received under the agreement, and in some instances to potential liability that is not contractually limited. To date, although from time to time there are indemnification claims asserted against us and currently there are pending indemnification claims, there have been no material awards under such indemnification provisions.</w:t>
      </w:r>
    </w:p>
    <w:p>
      <w:pPr>
        <w:spacing w:after="0" w:line="176"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Periodically, we, like other security companies and companies in other industries, may experience cybersecurity threats, malicious activity directed against our information technology infrastructure and unauthorized attempts to gain access to our and our customers’ sensitive information and systems.</w:t>
      </w:r>
    </w:p>
    <w:p>
      <w:pPr>
        <w:spacing w:after="0" w:line="18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Plans</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maintain the Amended and Restated Fortinet, Inc. 2009 Equity Incentive Plan (the “Amended Plan”) pursuant to which we have granted RSUs and stock options. We also previously had an Employee Stock Purchase Plan (“ESPP”) for eligible employees, which was terminated in February 2019. As of March 31, 2020, there was a total of 12.1 million shares of common stock available for grant under the Amended Plan.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table summarizes the activity and related information for RSUs for the periods presented below (in millions, except per share amounts):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3700" w:type="dxa"/>
            <w:vAlign w:val="bottom"/>
            <w:gridSpan w:val="4"/>
          </w:tcPr>
          <w:p>
            <w:pPr>
              <w:jc w:val="right"/>
              <w:ind w:right="513"/>
              <w:spacing w:after="0"/>
              <w:rPr>
                <w:sz w:val="20"/>
                <w:szCs w:val="20"/>
                <w:color w:val="auto"/>
              </w:rPr>
            </w:pPr>
            <w:r>
              <w:rPr>
                <w:rFonts w:ascii="Arial" w:cs="Arial" w:eastAsia="Arial" w:hAnsi="Arial"/>
                <w:sz w:val="16"/>
                <w:szCs w:val="16"/>
                <w:b w:val="1"/>
                <w:bCs w:val="1"/>
                <w:color w:val="auto"/>
              </w:rPr>
              <w:t>Restricted Stock Units Outstanding</w:t>
            </w:r>
          </w:p>
        </w:tc>
      </w:tr>
      <w:tr>
        <w:trPr>
          <w:trHeight w:val="33"/>
        </w:trPr>
        <w:tc>
          <w:tcPr>
            <w:tcW w:w="75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r>
      <w:tr>
        <w:trPr>
          <w:trHeight w:val="209"/>
        </w:trPr>
        <w:tc>
          <w:tcPr>
            <w:tcW w:w="7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Weighted-Average Grant</w:t>
            </w:r>
          </w:p>
        </w:tc>
      </w:tr>
      <w:tr>
        <w:trPr>
          <w:trHeight w:val="203"/>
        </w:trPr>
        <w:tc>
          <w:tcPr>
            <w:tcW w:w="75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133"/>
              <w:spacing w:after="0"/>
              <w:rPr>
                <w:sz w:val="20"/>
                <w:szCs w:val="20"/>
                <w:color w:val="auto"/>
              </w:rPr>
            </w:pPr>
            <w:r>
              <w:rPr>
                <w:rFonts w:ascii="Arial" w:cs="Arial" w:eastAsia="Arial" w:hAnsi="Arial"/>
                <w:sz w:val="16"/>
                <w:szCs w:val="16"/>
                <w:b w:val="1"/>
                <w:bCs w:val="1"/>
                <w:color w:val="auto"/>
                <w:w w:val="95"/>
              </w:rPr>
              <w:t>Date Fair Value per</w:t>
            </w:r>
          </w:p>
        </w:tc>
      </w:tr>
      <w:tr>
        <w:trPr>
          <w:trHeight w:val="210"/>
        </w:trPr>
        <w:tc>
          <w:tcPr>
            <w:tcW w:w="7540" w:type="dxa"/>
            <w:vAlign w:val="bottom"/>
          </w:tcPr>
          <w:p>
            <w:pPr>
              <w:spacing w:after="0"/>
              <w:rPr>
                <w:sz w:val="18"/>
                <w:szCs w:val="18"/>
                <w:color w:val="auto"/>
              </w:rPr>
            </w:pPr>
          </w:p>
        </w:tc>
        <w:tc>
          <w:tcPr>
            <w:tcW w:w="1900" w:type="dxa"/>
            <w:vAlign w:val="bottom"/>
            <w:gridSpan w:val="2"/>
          </w:tcPr>
          <w:p>
            <w:pPr>
              <w:ind w:left="280"/>
              <w:spacing w:after="0"/>
              <w:rPr>
                <w:sz w:val="20"/>
                <w:szCs w:val="20"/>
                <w:color w:val="auto"/>
              </w:rPr>
            </w:pPr>
            <w:r>
              <w:rPr>
                <w:rFonts w:ascii="Arial" w:cs="Arial" w:eastAsia="Arial" w:hAnsi="Arial"/>
                <w:sz w:val="16"/>
                <w:szCs w:val="16"/>
                <w:b w:val="1"/>
                <w:bCs w:val="1"/>
                <w:color w:val="auto"/>
              </w:rPr>
              <w:t>Number of Shares</w:t>
            </w:r>
          </w:p>
        </w:tc>
        <w:tc>
          <w:tcPr>
            <w:tcW w:w="180" w:type="dxa"/>
            <w:vAlign w:val="bottom"/>
          </w:tcPr>
          <w:p>
            <w:pPr>
              <w:spacing w:after="0"/>
              <w:rPr>
                <w:sz w:val="18"/>
                <w:szCs w:val="18"/>
                <w:color w:val="auto"/>
              </w:rPr>
            </w:pPr>
          </w:p>
        </w:tc>
        <w:tc>
          <w:tcPr>
            <w:tcW w:w="1620" w:type="dxa"/>
            <w:vAlign w:val="bottom"/>
          </w:tcPr>
          <w:p>
            <w:pPr>
              <w:jc w:val="right"/>
              <w:ind w:right="613"/>
              <w:spacing w:after="0"/>
              <w:rPr>
                <w:sz w:val="20"/>
                <w:szCs w:val="20"/>
                <w:color w:val="auto"/>
              </w:rPr>
            </w:pPr>
            <w:r>
              <w:rPr>
                <w:rFonts w:ascii="Arial" w:cs="Arial" w:eastAsia="Arial" w:hAnsi="Arial"/>
                <w:sz w:val="16"/>
                <w:szCs w:val="16"/>
                <w:b w:val="1"/>
                <w:bCs w:val="1"/>
                <w:color w:val="auto"/>
              </w:rPr>
              <w:t>Share</w:t>
            </w:r>
          </w:p>
        </w:tc>
      </w:tr>
      <w:tr>
        <w:trPr>
          <w:trHeight w:val="33"/>
        </w:trPr>
        <w:tc>
          <w:tcPr>
            <w:tcW w:w="75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2019</w:t>
            </w:r>
          </w:p>
        </w:tc>
        <w:tc>
          <w:tcPr>
            <w:tcW w:w="1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64.56</w:t>
            </w:r>
          </w:p>
        </w:tc>
      </w:tr>
      <w:tr>
        <w:trPr>
          <w:trHeight w:val="243"/>
        </w:trPr>
        <w:tc>
          <w:tcPr>
            <w:tcW w:w="7540" w:type="dxa"/>
            <w:vAlign w:val="bottom"/>
          </w:tcPr>
          <w:p>
            <w:pPr>
              <w:ind w:left="50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114.33</w:t>
            </w:r>
          </w:p>
        </w:tc>
      </w:tr>
      <w:tr>
        <w:trPr>
          <w:trHeight w:val="27"/>
        </w:trPr>
        <w:tc>
          <w:tcPr>
            <w:tcW w:w="75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68.19</w:t>
            </w:r>
          </w:p>
        </w:tc>
      </w:tr>
      <w:tr>
        <w:trPr>
          <w:trHeight w:val="243"/>
        </w:trPr>
        <w:tc>
          <w:tcPr>
            <w:tcW w:w="7540" w:type="dxa"/>
            <w:vAlign w:val="bottom"/>
          </w:tcPr>
          <w:p>
            <w:pPr>
              <w:ind w:left="500"/>
              <w:spacing w:after="0"/>
              <w:rPr>
                <w:sz w:val="20"/>
                <w:szCs w:val="20"/>
                <w:color w:val="auto"/>
              </w:rPr>
            </w:pPr>
            <w:r>
              <w:rPr>
                <w:rFonts w:ascii="Arial" w:cs="Arial" w:eastAsia="Arial" w:hAnsi="Arial"/>
                <w:sz w:val="18"/>
                <w:szCs w:val="18"/>
                <w:color w:val="auto"/>
              </w:rPr>
              <w:t>Vested</w:t>
            </w:r>
          </w:p>
        </w:tc>
        <w:tc>
          <w:tcPr>
            <w:tcW w:w="18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58.17</w:t>
            </w:r>
          </w:p>
        </w:tc>
      </w:tr>
      <w:tr>
        <w:trPr>
          <w:trHeight w:val="27"/>
        </w:trPr>
        <w:tc>
          <w:tcPr>
            <w:tcW w:w="75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Balance—March 31, 2020</w:t>
            </w:r>
          </w:p>
        </w:tc>
        <w:tc>
          <w:tcPr>
            <w:tcW w:w="1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75.96</w:t>
            </w:r>
          </w:p>
        </w:tc>
      </w:tr>
      <w:tr>
        <w:trPr>
          <w:trHeight w:val="20"/>
        </w:trPr>
        <w:tc>
          <w:tcPr>
            <w:tcW w:w="75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As of March 31, 2020, total compensation expense related to unvested RSUs granted to employees and non-employees under the 2009 Plan, but not yet recognized, was $440.8 million. This expense is expected to be amortized on a straight-line basis over a weighted-average vesting period of 2.9 years.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RSUs settle into shares of common stock upon vesting. Upon the vesting of the RSUs, we net-settle the RSUs and withhold a portion of the shares to satisfy minimum statutory employee withholding tax requirements. Total payment of the employees’ tax obligations to the tax authorities is reflected as a financing activity within the condensed consolidated statements of cash flows.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number and value of the shares withheld for employee taxes (in millions):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2820" w:type="dxa"/>
            <w:vAlign w:val="bottom"/>
            <w:gridSpan w:val="4"/>
          </w:tcPr>
          <w:p>
            <w:pPr>
              <w:jc w:val="right"/>
              <w:ind w:right="356"/>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8"/>
                <w:szCs w:val="18"/>
                <w:color w:val="auto"/>
              </w:rPr>
            </w:pPr>
          </w:p>
        </w:tc>
      </w:tr>
      <w:tr>
        <w:trPr>
          <w:trHeight w:val="33"/>
        </w:trPr>
        <w:tc>
          <w:tcPr>
            <w:tcW w:w="79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09"/>
        </w:trPr>
        <w:tc>
          <w:tcPr>
            <w:tcW w:w="7980" w:type="dxa"/>
            <w:vAlign w:val="bottom"/>
          </w:tcPr>
          <w:p>
            <w:pPr>
              <w:spacing w:after="0"/>
              <w:rPr>
                <w:sz w:val="18"/>
                <w:szCs w:val="18"/>
                <w:color w:val="auto"/>
              </w:rPr>
            </w:pPr>
          </w:p>
        </w:tc>
        <w:tc>
          <w:tcPr>
            <w:tcW w:w="1140" w:type="dxa"/>
            <w:vAlign w:val="bottom"/>
          </w:tcPr>
          <w:p>
            <w:pPr>
              <w:jc w:val="center"/>
              <w:ind w:left="337"/>
              <w:spacing w:after="0"/>
              <w:rPr>
                <w:sz w:val="20"/>
                <w:szCs w:val="20"/>
                <w:color w:val="auto"/>
              </w:rPr>
            </w:pPr>
            <w:r>
              <w:rPr>
                <w:rFonts w:ascii="Arial" w:cs="Arial" w:eastAsia="Arial" w:hAnsi="Arial"/>
                <w:sz w:val="16"/>
                <w:szCs w:val="16"/>
                <w:b w:val="1"/>
                <w:bCs w:val="1"/>
                <w:color w:val="auto"/>
                <w:w w:val="97"/>
              </w:rPr>
              <w:t>March 31,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left="316"/>
              <w:spacing w:after="0"/>
              <w:rPr>
                <w:sz w:val="20"/>
                <w:szCs w:val="20"/>
                <w:color w:val="auto"/>
              </w:rPr>
            </w:pPr>
            <w:r>
              <w:rPr>
                <w:rFonts w:ascii="Arial" w:cs="Arial" w:eastAsia="Arial" w:hAnsi="Arial"/>
                <w:sz w:val="16"/>
                <w:szCs w:val="16"/>
                <w:b w:val="1"/>
                <w:bCs w:val="1"/>
                <w:color w:val="auto"/>
                <w:w w:val="97"/>
              </w:rPr>
              <w:t>March 31,</w:t>
            </w:r>
          </w:p>
        </w:tc>
        <w:tc>
          <w:tcPr>
            <w:tcW w:w="440" w:type="dxa"/>
            <w:vAlign w:val="bottom"/>
          </w:tcPr>
          <w:p>
            <w:pPr>
              <w:spacing w:after="0"/>
              <w:rPr>
                <w:sz w:val="18"/>
                <w:szCs w:val="18"/>
                <w:color w:val="auto"/>
              </w:rPr>
            </w:pPr>
          </w:p>
        </w:tc>
      </w:tr>
      <w:tr>
        <w:trPr>
          <w:trHeight w:val="210"/>
        </w:trPr>
        <w:tc>
          <w:tcPr>
            <w:tcW w:w="7980" w:type="dxa"/>
            <w:vAlign w:val="bottom"/>
          </w:tcPr>
          <w:p>
            <w:pPr>
              <w:spacing w:after="0"/>
              <w:rPr>
                <w:sz w:val="18"/>
                <w:szCs w:val="18"/>
                <w:color w:val="auto"/>
              </w:rPr>
            </w:pPr>
          </w:p>
        </w:tc>
        <w:tc>
          <w:tcPr>
            <w:tcW w:w="1140" w:type="dxa"/>
            <w:vAlign w:val="bottom"/>
          </w:tcPr>
          <w:p>
            <w:pPr>
              <w:jc w:val="right"/>
              <w:ind w:right="97"/>
              <w:spacing w:after="0"/>
              <w:rPr>
                <w:sz w:val="20"/>
                <w:szCs w:val="20"/>
                <w:color w:val="auto"/>
              </w:rPr>
            </w:pPr>
            <w:r>
              <w:rPr>
                <w:rFonts w:ascii="Arial" w:cs="Arial" w:eastAsia="Arial" w:hAnsi="Arial"/>
                <w:sz w:val="16"/>
                <w:szCs w:val="16"/>
                <w:b w:val="1"/>
                <w:bCs w:val="1"/>
                <w:color w:val="auto"/>
              </w:rPr>
              <w:t>2020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96"/>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18"/>
                <w:szCs w:val="18"/>
                <w:color w:val="auto"/>
              </w:rPr>
            </w:pPr>
          </w:p>
        </w:tc>
      </w:tr>
      <w:tr>
        <w:trPr>
          <w:trHeight w:val="33"/>
        </w:trPr>
        <w:tc>
          <w:tcPr>
            <w:tcW w:w="79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withheld for taxes</w:t>
            </w: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Amount withheld for taxes</w:t>
            </w:r>
          </w:p>
        </w:tc>
        <w:tc>
          <w:tcPr>
            <w:tcW w:w="1140" w:type="dxa"/>
            <w:vAlign w:val="bottom"/>
          </w:tcPr>
          <w:p>
            <w:pPr>
              <w:jc w:val="right"/>
              <w:ind w:right="937"/>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37.8</w:t>
            </w:r>
          </w:p>
        </w:tc>
        <w:tc>
          <w:tcPr>
            <w:tcW w:w="120" w:type="dxa"/>
            <w:vAlign w:val="bottom"/>
          </w:tcPr>
          <w:p>
            <w:pPr>
              <w:spacing w:after="0"/>
              <w:rPr>
                <w:sz w:val="21"/>
                <w:szCs w:val="21"/>
                <w:color w:val="auto"/>
              </w:rPr>
            </w:pP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32.0</w:t>
            </w:r>
          </w:p>
        </w:tc>
      </w:tr>
    </w:tbl>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Options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weighted-average assumptions relating to our employee stock options: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400" w:type="dxa"/>
            <w:vAlign w:val="bottom"/>
            <w:gridSpan w:val="3"/>
          </w:tcPr>
          <w:p>
            <w:pPr>
              <w:jc w:val="right"/>
              <w:ind w:right="873"/>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36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9"/>
        </w:trPr>
        <w:tc>
          <w:tcPr>
            <w:tcW w:w="36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760" w:type="dxa"/>
            <w:vAlign w:val="bottom"/>
            <w:gridSpan w:val="2"/>
          </w:tcPr>
          <w:p>
            <w:pPr>
              <w:ind w:left="440"/>
              <w:spacing w:after="0"/>
              <w:rPr>
                <w:sz w:val="20"/>
                <w:szCs w:val="20"/>
                <w:color w:val="auto"/>
              </w:rPr>
            </w:pPr>
            <w:r>
              <w:rPr>
                <w:rFonts w:ascii="Arial" w:cs="Arial" w:eastAsia="Arial" w:hAnsi="Arial"/>
                <w:sz w:val="16"/>
                <w:szCs w:val="16"/>
                <w:b w:val="1"/>
                <w:bCs w:val="1"/>
                <w:color w:val="auto"/>
              </w:rPr>
              <w:t>March 31,</w:t>
            </w:r>
          </w:p>
        </w:tc>
        <w:tc>
          <w:tcPr>
            <w:tcW w:w="1640" w:type="dxa"/>
            <w:vAlign w:val="bottom"/>
          </w:tcPr>
          <w:p>
            <w:pPr>
              <w:jc w:val="right"/>
              <w:ind w:right="393"/>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3620" w:type="dxa"/>
            <w:vAlign w:val="bottom"/>
          </w:tcPr>
          <w:p>
            <w:pPr>
              <w:spacing w:after="0"/>
              <w:rPr>
                <w:sz w:val="18"/>
                <w:szCs w:val="18"/>
                <w:color w:val="auto"/>
              </w:rPr>
            </w:pPr>
          </w:p>
        </w:tc>
        <w:tc>
          <w:tcPr>
            <w:tcW w:w="5860" w:type="dxa"/>
            <w:vAlign w:val="bottom"/>
            <w:gridSpan w:val="2"/>
          </w:tcPr>
          <w:p>
            <w:pPr>
              <w:jc w:val="right"/>
              <w:ind w:right="576"/>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640" w:type="dxa"/>
            <w:vAlign w:val="bottom"/>
          </w:tcPr>
          <w:p>
            <w:pPr>
              <w:jc w:val="right"/>
              <w:ind w:right="573"/>
              <w:spacing w:after="0"/>
              <w:rPr>
                <w:sz w:val="20"/>
                <w:szCs w:val="20"/>
                <w:color w:val="auto"/>
              </w:rPr>
            </w:pPr>
            <w:r>
              <w:rPr>
                <w:rFonts w:ascii="Arial" w:cs="Arial" w:eastAsia="Arial" w:hAnsi="Arial"/>
                <w:sz w:val="16"/>
                <w:szCs w:val="16"/>
                <w:b w:val="1"/>
                <w:bCs w:val="1"/>
                <w:color w:val="auto"/>
              </w:rPr>
              <w:t>2019</w:t>
            </w:r>
          </w:p>
        </w:tc>
      </w:tr>
      <w:tr>
        <w:trPr>
          <w:trHeight w:val="33"/>
        </w:trPr>
        <w:tc>
          <w:tcPr>
            <w:tcW w:w="362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586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Volatility</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34.2%</w:t>
            </w:r>
          </w:p>
        </w:tc>
      </w:tr>
      <w:tr>
        <w:trPr>
          <w:trHeight w:val="27"/>
        </w:trPr>
        <w:tc>
          <w:tcPr>
            <w:tcW w:w="36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Dividend rate</w:t>
            </w:r>
          </w:p>
        </w:tc>
        <w:tc>
          <w:tcPr>
            <w:tcW w:w="4220" w:type="dxa"/>
            <w:vAlign w:val="bottom"/>
          </w:tcPr>
          <w:p>
            <w:pPr>
              <w:spacing w:after="0"/>
              <w:rPr>
                <w:sz w:val="21"/>
                <w:szCs w:val="21"/>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891"/>
        </w:trPr>
        <w:tc>
          <w:tcPr>
            <w:tcW w:w="3620" w:type="dxa"/>
            <w:vAlign w:val="bottom"/>
          </w:tcPr>
          <w:p>
            <w:pPr>
              <w:spacing w:after="0"/>
              <w:rPr>
                <w:sz w:val="24"/>
                <w:szCs w:val="24"/>
                <w:color w:val="auto"/>
              </w:rPr>
            </w:pPr>
          </w:p>
        </w:tc>
        <w:tc>
          <w:tcPr>
            <w:tcW w:w="4220" w:type="dxa"/>
            <w:vAlign w:val="bottom"/>
          </w:tcPr>
          <w:p>
            <w:pPr>
              <w:jc w:val="right"/>
              <w:ind w:right="2032"/>
              <w:spacing w:after="0"/>
              <w:rPr>
                <w:sz w:val="20"/>
                <w:szCs w:val="20"/>
                <w:color w:val="auto"/>
              </w:rPr>
            </w:pPr>
            <w:r>
              <w:rPr>
                <w:rFonts w:ascii="Arial" w:cs="Arial" w:eastAsia="Arial" w:hAnsi="Arial"/>
                <w:sz w:val="18"/>
                <w:szCs w:val="18"/>
                <w:color w:val="auto"/>
              </w:rPr>
              <w:t>17</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2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summarizes the stock option activity and related information for the periods presented below (in millions, except exercise prices and contractual life):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4"/>
          </w:tcPr>
          <w:p>
            <w:pPr>
              <w:ind w:left="360"/>
              <w:spacing w:after="0"/>
              <w:rPr>
                <w:sz w:val="20"/>
                <w:szCs w:val="20"/>
                <w:color w:val="auto"/>
              </w:rPr>
            </w:pPr>
            <w:r>
              <w:rPr>
                <w:rFonts w:ascii="Arial" w:cs="Arial" w:eastAsia="Arial" w:hAnsi="Arial"/>
                <w:sz w:val="16"/>
                <w:szCs w:val="16"/>
                <w:b w:val="1"/>
                <w:bCs w:val="1"/>
                <w:color w:val="auto"/>
              </w:rPr>
              <w:t>Options Outstanding</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62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6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6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60" w:type="dxa"/>
            <w:vAlign w:val="bottom"/>
          </w:tcPr>
          <w:p>
            <w:pPr>
              <w:spacing w:after="0"/>
              <w:rPr>
                <w:sz w:val="17"/>
                <w:szCs w:val="17"/>
                <w:color w:val="auto"/>
              </w:rPr>
            </w:pPr>
          </w:p>
        </w:tc>
        <w:tc>
          <w:tcPr>
            <w:tcW w:w="960" w:type="dxa"/>
            <w:vAlign w:val="bottom"/>
          </w:tcPr>
          <w:p>
            <w:pPr>
              <w:jc w:val="center"/>
              <w:ind w:right="75"/>
              <w:spacing w:after="0"/>
              <w:rPr>
                <w:sz w:val="20"/>
                <w:szCs w:val="20"/>
                <w:color w:val="auto"/>
              </w:rPr>
            </w:pPr>
            <w:r>
              <w:rPr>
                <w:rFonts w:ascii="Arial" w:cs="Arial" w:eastAsia="Arial" w:hAnsi="Arial"/>
                <w:sz w:val="16"/>
                <w:szCs w:val="16"/>
                <w:b w:val="1"/>
                <w:bCs w:val="1"/>
                <w:color w:val="auto"/>
                <w:w w:val="90"/>
              </w:rPr>
              <w:t>Aggregate</w:t>
            </w:r>
          </w:p>
        </w:tc>
      </w:tr>
      <w:tr>
        <w:trPr>
          <w:trHeight w:val="203"/>
        </w:trPr>
        <w:tc>
          <w:tcPr>
            <w:tcW w:w="62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w:t>
            </w: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Exercise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160" w:type="dxa"/>
            <w:vAlign w:val="bottom"/>
          </w:tcPr>
          <w:p>
            <w:pPr>
              <w:spacing w:after="0"/>
              <w:rPr>
                <w:sz w:val="17"/>
                <w:szCs w:val="17"/>
                <w:color w:val="auto"/>
              </w:rPr>
            </w:pPr>
          </w:p>
        </w:tc>
        <w:tc>
          <w:tcPr>
            <w:tcW w:w="960" w:type="dxa"/>
            <w:vAlign w:val="bottom"/>
          </w:tcPr>
          <w:p>
            <w:pPr>
              <w:jc w:val="center"/>
              <w:ind w:right="75"/>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62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of Shares</w:t>
            </w: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Price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Life (Years)</w:t>
            </w:r>
          </w:p>
        </w:tc>
        <w:tc>
          <w:tcPr>
            <w:tcW w:w="160" w:type="dxa"/>
            <w:vAlign w:val="bottom"/>
          </w:tcPr>
          <w:p>
            <w:pPr>
              <w:spacing w:after="0"/>
              <w:rPr>
                <w:sz w:val="18"/>
                <w:szCs w:val="18"/>
                <w:color w:val="auto"/>
              </w:rPr>
            </w:pPr>
          </w:p>
        </w:tc>
        <w:tc>
          <w:tcPr>
            <w:tcW w:w="960" w:type="dxa"/>
            <w:vAlign w:val="bottom"/>
          </w:tcPr>
          <w:p>
            <w:pPr>
              <w:jc w:val="center"/>
              <w:ind w:right="75"/>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62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2019</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50.37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50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114.48</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59.28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500"/>
              <w:spacing w:after="0"/>
              <w:rPr>
                <w:sz w:val="20"/>
                <w:szCs w:val="20"/>
                <w:color w:val="auto"/>
              </w:rPr>
            </w:pPr>
            <w:r>
              <w:rPr>
                <w:rFonts w:ascii="Arial" w:cs="Arial" w:eastAsia="Arial" w:hAnsi="Arial"/>
                <w:sz w:val="18"/>
                <w:szCs w:val="18"/>
                <w:color w:val="auto"/>
              </w:rPr>
              <w:t>Exercised</w:t>
            </w: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40.02</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57"/>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Balance—March 31, 2020</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62.41</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0"/>
        </w:trPr>
        <w:tc>
          <w:tcPr>
            <w:tcW w:w="6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90"/>
        </w:trPr>
        <w:tc>
          <w:tcPr>
            <w:tcW w:w="6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vested and expected to vest—March 31, 2020</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62.41</w:t>
            </w: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123.8</w:t>
            </w:r>
          </w:p>
        </w:tc>
      </w:tr>
      <w:tr>
        <w:trPr>
          <w:trHeight w:val="251"/>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exercisable—March 31, 2020</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39.50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90.3</w:t>
            </w:r>
          </w:p>
        </w:tc>
      </w:tr>
      <w:tr>
        <w:trPr>
          <w:trHeight w:val="20"/>
        </w:trPr>
        <w:tc>
          <w:tcPr>
            <w:tcW w:w="6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aggregate intrinsic value represents the difference between the exercise price of stock options and the quoted market price of our common stock on March 31, 2020 for all in-the-money stock options. As of March 31, 2020, total compensation expense related to unvested stock options granted to employees but not yet recognized was $38.6 million. This expense is expected to be amortized on a straight-line basis over a weighted-average period of 3.1 years.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stock options is summarized below (in millions, except per share amounts):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80" w:type="dxa"/>
            <w:vAlign w:val="bottom"/>
            <w:gridSpan w:val="4"/>
          </w:tcPr>
          <w:p>
            <w:pPr>
              <w:jc w:val="right"/>
              <w:ind w:right="794"/>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7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8"/>
                <w:szCs w:val="18"/>
                <w:color w:val="auto"/>
              </w:rPr>
            </w:pPr>
          </w:p>
        </w:tc>
        <w:tc>
          <w:tcPr>
            <w:tcW w:w="1300" w:type="dxa"/>
            <w:vAlign w:val="bottom"/>
          </w:tcPr>
          <w:p>
            <w:pPr>
              <w:jc w:val="right"/>
              <w:ind w:right="354"/>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7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535"/>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534"/>
              <w:spacing w:after="0"/>
              <w:rPr>
                <w:sz w:val="20"/>
                <w:szCs w:val="20"/>
                <w:color w:val="auto"/>
              </w:rPr>
            </w:pPr>
            <w:r>
              <w:rPr>
                <w:rFonts w:ascii="Arial" w:cs="Arial" w:eastAsia="Arial" w:hAnsi="Arial"/>
                <w:sz w:val="16"/>
                <w:szCs w:val="16"/>
                <w:b w:val="1"/>
                <w:bCs w:val="1"/>
                <w:color w:val="auto"/>
              </w:rPr>
              <w:t>2019</w:t>
            </w:r>
          </w:p>
        </w:tc>
      </w:tr>
      <w:tr>
        <w:trPr>
          <w:trHeight w:val="33"/>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 granted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27.12</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Intrinsic value of options exercised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27.2</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options vested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r>
      <w:tr>
        <w:trPr>
          <w:trHeight w:val="27"/>
        </w:trPr>
        <w:tc>
          <w:tcPr>
            <w:tcW w:w="79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Stock-based compensation expense, including stock-based compensation expense related to awards classified as liabilities, is included in costs and expenses as follows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820" w:type="dxa"/>
            <w:vAlign w:val="bottom"/>
            <w:gridSpan w:val="4"/>
          </w:tcPr>
          <w:p>
            <w:pPr>
              <w:jc w:val="right"/>
              <w:ind w:right="355"/>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4880" w:type="dxa"/>
            <w:vAlign w:val="bottom"/>
            <w:gridSpan w:val="2"/>
          </w:tcPr>
          <w:p>
            <w:pPr>
              <w:jc w:val="right"/>
              <w:ind w:right="96"/>
              <w:spacing w:after="0"/>
              <w:rPr>
                <w:sz w:val="20"/>
                <w:szCs w:val="20"/>
                <w:color w:val="auto"/>
              </w:rPr>
            </w:pPr>
            <w:r>
              <w:rPr>
                <w:rFonts w:ascii="Arial" w:cs="Arial" w:eastAsia="Arial" w:hAnsi="Arial"/>
                <w:sz w:val="16"/>
                <w:szCs w:val="16"/>
                <w:b w:val="1"/>
                <w:bCs w:val="1"/>
                <w:color w:val="auto"/>
              </w:rPr>
              <w:t>2020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95"/>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4880" w:type="dxa"/>
            <w:vAlign w:val="bottom"/>
            <w:tcBorders>
              <w:bottom w:val="single" w:sz="8" w:color="CCEEFF"/>
            </w:tcBorders>
            <w:gridSpan w:val="2"/>
            <w:shd w:val="clear" w:color="auto" w:fill="CCEEFF"/>
          </w:tcPr>
          <w:p>
            <w:pPr>
              <w:jc w:val="right"/>
              <w:ind w:right="936"/>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Cost of service revenue</w:t>
            </w:r>
          </w:p>
        </w:tc>
        <w:tc>
          <w:tcPr>
            <w:tcW w:w="3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7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25.7</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25.4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7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374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45.3</w:t>
            </w:r>
          </w:p>
        </w:tc>
        <w:tc>
          <w:tcPr>
            <w:tcW w:w="12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915"/>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43.0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740" w:type="dxa"/>
            <w:vAlign w:val="bottom"/>
            <w:vMerge w:val="restart"/>
          </w:tcPr>
          <w:p>
            <w:pPr>
              <w:jc w:val="right"/>
              <w:ind w:right="2173"/>
              <w:spacing w:after="0"/>
              <w:rPr>
                <w:sz w:val="20"/>
                <w:szCs w:val="20"/>
                <w:color w:val="auto"/>
              </w:rPr>
            </w:pPr>
            <w:r>
              <w:rPr>
                <w:rFonts w:ascii="Arial" w:cs="Arial" w:eastAsia="Arial" w:hAnsi="Arial"/>
                <w:sz w:val="18"/>
                <w:szCs w:val="18"/>
                <w:color w:val="auto"/>
              </w:rPr>
              <w:t>18</w:t>
            </w: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24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2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summarizes stock-based compensation expense, including stock-based compensation expense related to awards classified as liabilities, by award type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4"/>
          </w:tcPr>
          <w:p>
            <w:pPr>
              <w:jc w:val="right"/>
              <w:ind w:right="673"/>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8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8"/>
                <w:szCs w:val="18"/>
                <w:color w:val="auto"/>
              </w:rPr>
            </w:pPr>
          </w:p>
        </w:tc>
        <w:tc>
          <w:tcPr>
            <w:tcW w:w="1220" w:type="dxa"/>
            <w:vAlign w:val="bottom"/>
          </w:tcPr>
          <w:p>
            <w:pPr>
              <w:jc w:val="right"/>
              <w:ind w:right="313"/>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8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9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73"/>
              <w:spacing w:after="0"/>
              <w:rPr>
                <w:sz w:val="20"/>
                <w:szCs w:val="20"/>
                <w:color w:val="auto"/>
              </w:rPr>
            </w:pPr>
            <w:r>
              <w:rPr>
                <w:rFonts w:ascii="Arial" w:cs="Arial" w:eastAsia="Arial" w:hAnsi="Arial"/>
                <w:sz w:val="16"/>
                <w:szCs w:val="16"/>
                <w:b w:val="1"/>
                <w:bCs w:val="1"/>
                <w:color w:val="auto"/>
              </w:rPr>
              <w:t>2019</w:t>
            </w:r>
          </w:p>
        </w:tc>
      </w:tr>
      <w:tr>
        <w:trPr>
          <w:trHeight w:val="33"/>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39.2</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2.5</w:t>
            </w: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r>
      <w:tr>
        <w:trPr>
          <w:trHeight w:val="257"/>
        </w:trPr>
        <w:tc>
          <w:tcPr>
            <w:tcW w:w="822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43.0</w:t>
            </w: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Total income tax benefit associated with stock-based compensation that is recognized in the condensed consolidated statements of income is as follows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4"/>
          </w:tcPr>
          <w:p>
            <w:pPr>
              <w:jc w:val="right"/>
              <w:ind w:right="676"/>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8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March 31,</w:t>
            </w:r>
          </w:p>
        </w:tc>
        <w:tc>
          <w:tcPr>
            <w:tcW w:w="240" w:type="dxa"/>
            <w:vAlign w:val="bottom"/>
          </w:tcPr>
          <w:p>
            <w:pPr>
              <w:spacing w:after="0"/>
              <w:rPr>
                <w:sz w:val="18"/>
                <w:szCs w:val="18"/>
                <w:color w:val="auto"/>
              </w:rPr>
            </w:pPr>
          </w:p>
        </w:tc>
        <w:tc>
          <w:tcPr>
            <w:tcW w:w="1220" w:type="dxa"/>
            <w:vAlign w:val="bottom"/>
          </w:tcPr>
          <w:p>
            <w:pPr>
              <w:jc w:val="center"/>
              <w:ind w:right="196"/>
              <w:spacing w:after="0"/>
              <w:rPr>
                <w:sz w:val="20"/>
                <w:szCs w:val="20"/>
                <w:color w:val="auto"/>
              </w:rPr>
            </w:pPr>
            <w:r>
              <w:rPr>
                <w:rFonts w:ascii="Arial" w:cs="Arial" w:eastAsia="Arial" w:hAnsi="Arial"/>
                <w:sz w:val="16"/>
                <w:szCs w:val="16"/>
                <w:b w:val="1"/>
                <w:bCs w:val="1"/>
                <w:color w:val="auto"/>
                <w:w w:val="94"/>
              </w:rPr>
              <w:t>March 31,</w:t>
            </w:r>
          </w:p>
        </w:tc>
      </w:tr>
      <w:tr>
        <w:trPr>
          <w:trHeight w:val="210"/>
        </w:trPr>
        <w:tc>
          <w:tcPr>
            <w:tcW w:w="8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97"/>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76"/>
              <w:spacing w:after="0"/>
              <w:rPr>
                <w:sz w:val="20"/>
                <w:szCs w:val="20"/>
                <w:color w:val="auto"/>
              </w:rPr>
            </w:pPr>
            <w:r>
              <w:rPr>
                <w:rFonts w:ascii="Arial" w:cs="Arial" w:eastAsia="Arial" w:hAnsi="Arial"/>
                <w:sz w:val="16"/>
                <w:szCs w:val="16"/>
                <w:b w:val="1"/>
                <w:bCs w:val="1"/>
                <w:color w:val="auto"/>
              </w:rPr>
              <w:t>2019</w:t>
            </w:r>
          </w:p>
        </w:tc>
      </w:tr>
      <w:tr>
        <w:trPr>
          <w:trHeight w:val="33"/>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benefit associated with stock-based compensation</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10.0</w:t>
            </w:r>
          </w:p>
        </w:tc>
      </w:tr>
      <w:tr>
        <w:trPr>
          <w:trHeight w:val="27"/>
        </w:trPr>
        <w:tc>
          <w:tcPr>
            <w:tcW w:w="8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Under the Share Repurchase Program originally approved by our board of directors in January 2016 (the “Repurchase Program”), our board of directors has authorized the repurchase of up to $2.5 billion of our outstanding common stock through February 28, 2021. Share repurchases may be made by us from time to time in privately negotiated transactions or in open market transactions. The Repurchase Program does not require us to purchase a minimum number of shares, and may be suspended, modified or discontinued at any time without prior notice.</w:t>
      </w:r>
    </w:p>
    <w:p>
      <w:pPr>
        <w:spacing w:after="0" w:line="171"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During the three months ended March 31, 2020, we repurchased 10.0 million shares of common stock under the Repurchase Program in open market transactions at an average price of $90.36 per share and for an aggregate purchase price of $899.9 million. As of March 31, 2020, $692.9 million remained available for future share repurchases under the Repurchase Program.</w:t>
      </w:r>
    </w:p>
    <w:p>
      <w:pPr>
        <w:spacing w:after="0" w:line="18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effective tax rate was 11% for the three months ended March 31, 2020, compared to an effective tax rate of 2% for the same period last year. The effective tax rates for the periods presented are primarily comprised of U.S. federal and state taxes, withholding taxes, foreign taxes and excess tax benefits from stock-based compensation expense. The tax rates for the three months ended March 31, 2020 and March 31, 2019 were impacted by U.S. federal and state taxes, withholding taxes and foreign taxes that were $28.3 million and $17.5 million, respectively, which were offset by excess tax benefits from stock-based compensation expense of $15.2 million and $16.0 million, respectively. U.S. federal and state taxes were lowered by a tax benefit of $4.8 million from the foreign-derived intangible income deduction for the three months ended March 31, 2020.</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of March 31, 2020 and December 31, 2019, unrecognized tax benefits were $65.6 million and $67.5 million, respectively. If recognized, $60.4 million of the unrecognized tax benefits would favorably affect our effective tax rate. It is our policy to include accrued interest and penalties related to uncertain tax benefits in income tax expense. As of March 31, 2020 and December 31, 2019, accrued interest and penalties were $14.5 million and $14.1 million, respectively. It is reasonably possible that our gross unrecognized tax benefits will decrease by up to $10.4 million in the next 12 months, due to the lapse of the statute of limitations. This decrease, if recognized, would positively impact our effective tax rate, and would be recognized as additional tax benefits.</w:t>
      </w:r>
    </w:p>
    <w:p>
      <w:pPr>
        <w:spacing w:after="0" w:line="19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file income tax returns in the U.S. federal jurisdiction and in various U.S. state and foreign jurisdictions. Generally, we are no longer subject to U.S. state and foreign income tax examinations by tax authorities for tax years prior to 2010. We are no longer subject to examination by U.S federal income tax authorities for tax years prior to 2015. We currently have ongoing tax audits in the United Kingdom, Canada and several other foreign jurisdictions. The focus of these audits is the inter-company profit allocation.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 xml:space="preserve">On June 7, 2019, the Ninth Circuit overturned the U.S. Tax Court’s decision in </w:t>
      </w:r>
      <w:r>
        <w:rPr>
          <w:rFonts w:ascii="Arial" w:cs="Arial" w:eastAsia="Arial" w:hAnsi="Arial"/>
          <w:sz w:val="16"/>
          <w:szCs w:val="16"/>
          <w:i w:val="1"/>
          <w:iCs w:val="1"/>
          <w:color w:val="auto"/>
        </w:rPr>
        <w:t>Altera Corporation and Subsidiaries vs. Commissioner of 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Revenue </w:t>
      </w:r>
      <w:r>
        <w:rPr>
          <w:rFonts w:ascii="Arial" w:cs="Arial" w:eastAsia="Arial" w:hAnsi="Arial"/>
          <w:sz w:val="16"/>
          <w:szCs w:val="16"/>
          <w:color w:val="auto"/>
        </w:rPr>
        <w:t>(“Altera”) and ruled in favor of the Commissioner, validating the regulations requiring stock-based compensation to be included in a cost sharing</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Due to the uncertainty surrounding the status of the current regulations and questions related to the scope of potential benefits or obligations, we incurred an unrecognized tax benefit of $8.5 million as of March 31, 2020 related to the Ninth Circuit’s Altera decision regarding stock-based compensation in cost sharing arrangements. We continue to monitor developments in this case and any impact it could have on our tax provision.</w:t>
      </w:r>
    </w:p>
    <w:p>
      <w:pPr>
        <w:spacing w:after="0" w:line="161"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On March 27, 2020, the President signed into law the Coronavirus Aid, Relief, and Economic Security Act (the “CARES” Act). The CARES Act provides numerous tax provisions and other stimulus measures, including temporary changes regarding the prior and future utilization of net operating losses, temporary changes to the prior and future limitations on interest deductions, temporary suspension of certain payment requirements for the employer portion of Social Security taxes, technical corrections from prior tax legislation for tax depreciation of certain qualified improvement property and the creation of certain refundable employee retention credits. The Company does not expect there to be a material tax impact on its consolidated financial statements at this time and will continue to assess the implications of the CARES Act and its continuing developments and interpretations.</w:t>
      </w:r>
    </w:p>
    <w:p>
      <w:pPr>
        <w:spacing w:after="0" w:line="16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PLANS</w:t>
      </w:r>
    </w:p>
    <w:p>
      <w:pPr>
        <w:spacing w:after="0" w:line="229"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Our tax-deferred savings plan under our 401(k) Plan permits participating U.S. employees to contribute a portion of their pre-tax or after-tax earnings. In Canada, we have a Group Registered Retirement Savings Plan Program (the “RRSP”), which permits participants to make tax-deductible contributions. Our board of directors approved 50% matching contributions on employee contributions up to 4% of each employee’s eligible earnings. Our matching contributions to our 401(k) Plan and the RRSP for the three months ended March 31, 2020 and March 31, 2019 were $2.2 million and $1.7 million, respectively.</w:t>
      </w:r>
    </w:p>
    <w:p>
      <w:pPr>
        <w:spacing w:after="0" w:line="18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1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Revenue by geographic region is based on the billing address of our customers. The following tables set forth revenue and property and equipment —net by geographic region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gridSpan w:val="4"/>
          </w:tcPr>
          <w:p>
            <w:pPr>
              <w:jc w:val="right"/>
              <w:ind w:right="792"/>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8"/>
                <w:szCs w:val="18"/>
                <w:color w:val="auto"/>
              </w:rPr>
            </w:pPr>
          </w:p>
        </w:tc>
        <w:tc>
          <w:tcPr>
            <w:tcW w:w="1320" w:type="dxa"/>
            <w:vAlign w:val="bottom"/>
          </w:tcPr>
          <w:p>
            <w:pPr>
              <w:jc w:val="right"/>
              <w:ind w:right="372"/>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30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Revenue</w:t>
            </w:r>
          </w:p>
        </w:tc>
        <w:tc>
          <w:tcPr>
            <w:tcW w:w="3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ind w:right="533"/>
              <w:spacing w:after="0" w:line="176"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ind w:right="532"/>
              <w:spacing w:after="0" w:line="176" w:lineRule="exact"/>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580" w:type="dxa"/>
            <w:vAlign w:val="bottom"/>
            <w:tcBorders>
              <w:top w:val="single" w:sz="8" w:color="auto"/>
              <w:bottom w:val="single" w:sz="8" w:color="CCEEFF"/>
            </w:tcBorders>
          </w:tcPr>
          <w:p>
            <w:pPr>
              <w:spacing w:after="0"/>
              <w:rPr>
                <w:sz w:val="4"/>
                <w:szCs w:val="4"/>
                <w:color w:val="auto"/>
              </w:rPr>
            </w:pPr>
          </w:p>
        </w:tc>
        <w:tc>
          <w:tcPr>
            <w:tcW w:w="3720" w:type="dxa"/>
            <w:vAlign w:val="bottom"/>
            <w:tcBorders>
              <w:bottom w:val="single" w:sz="8" w:color="CCEEFF"/>
            </w:tcBorders>
          </w:tcPr>
          <w:p>
            <w:pPr>
              <w:spacing w:after="0"/>
              <w:rPr>
                <w:sz w:val="4"/>
                <w:szCs w:val="4"/>
                <w:color w:val="auto"/>
              </w:rPr>
            </w:pPr>
          </w:p>
        </w:tc>
        <w:tc>
          <w:tcPr>
            <w:tcW w:w="36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Americas:</w:t>
            </w:r>
          </w:p>
        </w:tc>
        <w:tc>
          <w:tcPr>
            <w:tcW w:w="3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United States</w:t>
            </w:r>
          </w:p>
        </w:tc>
        <w:tc>
          <w:tcPr>
            <w:tcW w:w="3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181.6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3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Americas</w:t>
            </w:r>
          </w:p>
        </w:tc>
        <w:tc>
          <w:tcPr>
            <w:tcW w:w="36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Total Americas</w:t>
            </w:r>
          </w:p>
        </w:tc>
        <w:tc>
          <w:tcPr>
            <w:tcW w:w="36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242.2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Europe, Middle East and Africa (“EMEA”)</w:t>
            </w:r>
          </w:p>
        </w:tc>
        <w:tc>
          <w:tcPr>
            <w:tcW w:w="3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Asia Pacific (“APAC”)</w:t>
            </w:r>
          </w:p>
        </w:tc>
        <w:tc>
          <w:tcPr>
            <w:tcW w:w="3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43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revenue</w:t>
            </w:r>
          </w:p>
        </w:tc>
        <w:tc>
          <w:tcPr>
            <w:tcW w:w="3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576.9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472.6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bottom w:val="single" w:sz="8" w:color="CCEEFF"/>
            </w:tcBorders>
            <w:vMerge w:val="restart"/>
          </w:tcPr>
          <w:p>
            <w:pPr>
              <w:jc w:val="right"/>
              <w:ind w:right="2170"/>
              <w:spacing w:after="0"/>
              <w:rPr>
                <w:sz w:val="20"/>
                <w:szCs w:val="20"/>
                <w:color w:val="auto"/>
              </w:rPr>
            </w:pPr>
            <w:r>
              <w:rPr>
                <w:rFonts w:ascii="Arial" w:cs="Arial" w:eastAsia="Arial" w:hAnsi="Arial"/>
                <w:sz w:val="18"/>
                <w:szCs w:val="18"/>
                <w:color w:val="auto"/>
              </w:rPr>
              <w:t>20</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9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7"/>
                <w:szCs w:val="17"/>
                <w:color w:val="auto"/>
              </w:rPr>
              <w:t>—</w:t>
            </w:r>
            <w:r>
              <w:rPr>
                <w:rFonts w:ascii="Arial" w:cs="Arial" w:eastAsia="Arial" w:hAnsi="Arial"/>
                <w:sz w:val="16"/>
                <w:szCs w:val="16"/>
                <w:b w:val="1"/>
                <w:bCs w:val="1"/>
                <w:color w:val="auto"/>
              </w:rPr>
              <w:t>net</w:t>
            </w:r>
          </w:p>
        </w:tc>
        <w:tc>
          <w:tcPr>
            <w:tcW w:w="260" w:type="dxa"/>
            <w:vAlign w:val="bottom"/>
          </w:tcPr>
          <w:p>
            <w:pPr>
              <w:spacing w:after="0"/>
              <w:rPr>
                <w:sz w:val="17"/>
                <w:szCs w:val="17"/>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7"/>
                <w:szCs w:val="17"/>
                <w:color w:val="auto"/>
              </w:rPr>
            </w:pPr>
          </w:p>
        </w:tc>
        <w:tc>
          <w:tcPr>
            <w:tcW w:w="1360" w:type="dxa"/>
            <w:vAlign w:val="bottom"/>
          </w:tcPr>
          <w:p>
            <w:pPr>
              <w:jc w:val="right"/>
              <w:ind w:right="232"/>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176"/>
        </w:trPr>
        <w:tc>
          <w:tcPr>
            <w:tcW w:w="796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ind w:right="532"/>
              <w:spacing w:after="0" w:line="176"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ind w:right="532"/>
              <w:spacing w:after="0" w:line="176" w:lineRule="exact"/>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2140" w:type="dxa"/>
            <w:vAlign w:val="bottom"/>
            <w:tcBorders>
              <w:top w:val="single" w:sz="8" w:color="auto"/>
              <w:bottom w:val="single" w:sz="8" w:color="CCEEFF"/>
            </w:tcBorders>
          </w:tcPr>
          <w:p>
            <w:pPr>
              <w:spacing w:after="0"/>
              <w:rPr>
                <w:sz w:val="4"/>
                <w:szCs w:val="4"/>
                <w:color w:val="auto"/>
              </w:rPr>
            </w:pPr>
          </w:p>
        </w:tc>
        <w:tc>
          <w:tcPr>
            <w:tcW w:w="58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79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gridSpan w:val="2"/>
          </w:tcPr>
          <w:p>
            <w:pPr>
              <w:ind w:left="26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227.4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Canada</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gridSpan w:val="2"/>
          </w:tcPr>
          <w:p>
            <w:pPr>
              <w:ind w:left="260"/>
              <w:spacing w:after="0"/>
              <w:rPr>
                <w:sz w:val="20"/>
                <w:szCs w:val="20"/>
                <w:color w:val="auto"/>
              </w:rPr>
            </w:pPr>
            <w:r>
              <w:rPr>
                <w:rFonts w:ascii="Arial" w:cs="Arial" w:eastAsia="Arial" w:hAnsi="Arial"/>
                <w:sz w:val="18"/>
                <w:szCs w:val="18"/>
                <w:color w:val="auto"/>
              </w:rPr>
              <w:t>Latin America</w:t>
            </w:r>
          </w:p>
        </w:tc>
        <w:tc>
          <w:tcPr>
            <w:tcW w:w="2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Americas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43"/>
        </w:trPr>
        <w:tc>
          <w:tcPr>
            <w:tcW w:w="7960" w:type="dxa"/>
            <w:vAlign w:val="bottom"/>
            <w:gridSpan w:val="3"/>
          </w:tcPr>
          <w:p>
            <w:pPr>
              <w:ind w:left="20"/>
              <w:spacing w:after="0"/>
              <w:rPr>
                <w:sz w:val="20"/>
                <w:szCs w:val="20"/>
                <w:color w:val="auto"/>
              </w:rPr>
            </w:pPr>
            <w:r>
              <w:rPr>
                <w:rFonts w:ascii="Arial" w:cs="Arial" w:eastAsia="Arial" w:hAnsi="Arial"/>
                <w:sz w:val="18"/>
                <w:szCs w:val="18"/>
                <w:color w:val="auto"/>
              </w:rPr>
              <w:t>EMEA</w:t>
            </w:r>
          </w:p>
        </w:tc>
        <w:tc>
          <w:tcPr>
            <w:tcW w:w="2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APAC</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40" w:type="dxa"/>
            <w:vAlign w:val="bottom"/>
            <w:gridSpan w:val="2"/>
          </w:tcPr>
          <w:p>
            <w:pPr>
              <w:ind w:left="460"/>
              <w:spacing w:after="0"/>
              <w:rPr>
                <w:sz w:val="20"/>
                <w:szCs w:val="20"/>
                <w:color w:val="auto"/>
              </w:rPr>
            </w:pPr>
            <w:r>
              <w:rPr>
                <w:rFonts w:ascii="Arial" w:cs="Arial" w:eastAsia="Arial" w:hAnsi="Arial"/>
                <w:sz w:val="18"/>
                <w:szCs w:val="18"/>
                <w:color w:val="auto"/>
              </w:rPr>
              <w:t>Total property and equipment—net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374.2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distributors accounted for 10% or more of our revenue:</w:t>
      </w:r>
    </w:p>
    <w:p>
      <w:pPr>
        <w:spacing w:after="0" w:line="388" w:lineRule="exact"/>
        <w:rPr>
          <w:sz w:val="20"/>
          <w:szCs w:val="20"/>
          <w:color w:val="auto"/>
        </w:rPr>
      </w:pPr>
    </w:p>
    <w:p>
      <w:pPr>
        <w:ind w:left="880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37465</wp:posOffset>
            </wp:positionV>
            <wp:extent cx="21431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40" w:type="dxa"/>
            <w:vAlign w:val="bottom"/>
          </w:tcPr>
          <w:p>
            <w:pPr>
              <w:spacing w:after="0"/>
              <w:rPr>
                <w:sz w:val="17"/>
                <w:szCs w:val="17"/>
                <w:color w:val="auto"/>
              </w:rPr>
            </w:pPr>
          </w:p>
        </w:tc>
        <w:tc>
          <w:tcPr>
            <w:tcW w:w="1200" w:type="dxa"/>
            <w:vAlign w:val="bottom"/>
          </w:tcPr>
          <w:p>
            <w:pPr>
              <w:jc w:val="center"/>
              <w:ind w:left="299"/>
              <w:spacing w:after="0"/>
              <w:rPr>
                <w:sz w:val="20"/>
                <w:szCs w:val="20"/>
                <w:color w:val="auto"/>
              </w:rPr>
            </w:pPr>
            <w:r>
              <w:rPr>
                <w:rFonts w:ascii="Arial" w:cs="Arial" w:eastAsia="Arial" w:hAnsi="Arial"/>
                <w:sz w:val="16"/>
                <w:szCs w:val="16"/>
                <w:b w:val="1"/>
                <w:bCs w:val="1"/>
                <w:color w:val="auto"/>
                <w:w w:val="94"/>
              </w:rPr>
              <w:t>March 31,</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right"/>
              <w:ind w:right="395"/>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904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ind w:right="575"/>
              <w:spacing w:after="0"/>
              <w:rPr>
                <w:sz w:val="20"/>
                <w:szCs w:val="20"/>
                <w:color w:val="auto"/>
              </w:rPr>
            </w:pPr>
            <w:r>
              <w:rPr>
                <w:rFonts w:ascii="Arial" w:cs="Arial" w:eastAsia="Arial" w:hAnsi="Arial"/>
                <w:sz w:val="16"/>
                <w:szCs w:val="16"/>
                <w:b w:val="1"/>
                <w:bCs w:val="1"/>
                <w:color w:val="auto"/>
              </w:rPr>
              <w:t>2019</w:t>
            </w:r>
          </w:p>
        </w:tc>
      </w:tr>
      <w:tr>
        <w:trPr>
          <w:trHeight w:val="33"/>
        </w:trPr>
        <w:tc>
          <w:tcPr>
            <w:tcW w:w="78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Exclusive Networks Group</w:t>
            </w: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Ingram Micro</w:t>
            </w: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distributors accounted for 10% or more of net accounts receivable:</w:t>
      </w: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840" w:type="dxa"/>
            <w:vAlign w:val="bottom"/>
          </w:tcPr>
          <w:p>
            <w:pPr>
              <w:spacing w:after="0"/>
              <w:rPr>
                <w:sz w:val="17"/>
                <w:szCs w:val="17"/>
                <w:color w:val="auto"/>
              </w:rPr>
            </w:pPr>
          </w:p>
        </w:tc>
        <w:tc>
          <w:tcPr>
            <w:tcW w:w="1200" w:type="dxa"/>
            <w:vAlign w:val="bottom"/>
          </w:tcPr>
          <w:p>
            <w:pPr>
              <w:jc w:val="center"/>
              <w:ind w:left="299"/>
              <w:spacing w:after="0"/>
              <w:rPr>
                <w:sz w:val="20"/>
                <w:szCs w:val="20"/>
                <w:color w:val="auto"/>
              </w:rPr>
            </w:pPr>
            <w:r>
              <w:rPr>
                <w:rFonts w:ascii="Arial" w:cs="Arial" w:eastAsia="Arial" w:hAnsi="Arial"/>
                <w:sz w:val="16"/>
                <w:szCs w:val="16"/>
                <w:b w:val="1"/>
                <w:bCs w:val="1"/>
                <w:color w:val="auto"/>
                <w:w w:val="94"/>
              </w:rPr>
              <w:t>March 31,</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ind w:right="275"/>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904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ind w:right="555"/>
              <w:spacing w:after="0"/>
              <w:rPr>
                <w:sz w:val="20"/>
                <w:szCs w:val="20"/>
                <w:color w:val="auto"/>
              </w:rPr>
            </w:pPr>
            <w:r>
              <w:rPr>
                <w:rFonts w:ascii="Arial" w:cs="Arial" w:eastAsia="Arial" w:hAnsi="Arial"/>
                <w:sz w:val="16"/>
                <w:szCs w:val="16"/>
                <w:b w:val="1"/>
                <w:bCs w:val="1"/>
                <w:color w:val="auto"/>
              </w:rPr>
              <w:t>2019</w:t>
            </w:r>
          </w:p>
        </w:tc>
      </w:tr>
      <w:tr>
        <w:trPr>
          <w:trHeight w:val="33"/>
        </w:trPr>
        <w:tc>
          <w:tcPr>
            <w:tcW w:w="78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9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Exclusive Networks Group</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9040" w:type="dxa"/>
            <w:vAlign w:val="bottom"/>
            <w:gridSpan w:val="2"/>
          </w:tcPr>
          <w:p>
            <w:pPr>
              <w:ind w:left="20"/>
              <w:spacing w:after="0"/>
              <w:rPr>
                <w:sz w:val="20"/>
                <w:szCs w:val="20"/>
                <w:color w:val="auto"/>
              </w:rPr>
            </w:pPr>
            <w:r>
              <w:rPr>
                <w:rFonts w:ascii="Arial" w:cs="Arial" w:eastAsia="Arial" w:hAnsi="Arial"/>
                <w:sz w:val="18"/>
                <w:szCs w:val="18"/>
                <w:color w:val="auto"/>
              </w:rPr>
              <w:t>Ingram Micro</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359" w:lineRule="exact"/>
        <w:rPr>
          <w:sz w:val="20"/>
          <w:szCs w:val="20"/>
          <w:color w:val="auto"/>
        </w:rPr>
      </w:pPr>
    </w:p>
    <w:p>
      <w:pPr>
        <w:ind w:left="40"/>
        <w:spacing w:after="0"/>
        <w:rPr>
          <w:sz w:val="20"/>
          <w:szCs w:val="20"/>
          <w:color w:val="auto"/>
        </w:rPr>
      </w:pPr>
      <w:r>
        <w:rPr>
          <w:rFonts w:ascii="Arial" w:cs="Arial" w:eastAsia="Arial" w:hAnsi="Arial"/>
          <w:sz w:val="14"/>
          <w:szCs w:val="14"/>
          <w:color w:val="auto"/>
        </w:rPr>
        <w:t>* Represents less than 10%</w:t>
      </w:r>
    </w:p>
    <w:p>
      <w:pPr>
        <w:spacing w:after="0" w:line="200" w:lineRule="exact"/>
        <w:rPr>
          <w:sz w:val="20"/>
          <w:szCs w:val="20"/>
          <w:color w:val="auto"/>
        </w:rPr>
      </w:pPr>
    </w:p>
    <w:p>
      <w:pPr>
        <w:spacing w:after="0" w:line="247"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Subsequent to March 31, 2020 through the filing of this Quarterly Report on Form 10-Q, we repurchased 1.5 million shares of our common stock under the Repurchase Program, for an aggregate purchase price of $146.1 million.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forward-looking statements within the meaning of Section 27A of the Securities Act of 1933, as amended, and Section 21E of the Securities and Exchange Act of 1934, as amended (the “Exchange Act”). These statements include, among other things, statements concerning our expectations regarding:</w:t>
      </w:r>
    </w:p>
    <w:p>
      <w:pPr>
        <w:spacing w:after="0" w:line="238"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duration and impact of the COVID-19 pandemic;</w:t>
      </w:r>
    </w:p>
    <w:p>
      <w:pPr>
        <w:spacing w:after="0" w:line="26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growth and market share gains;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of certain products and services;</w:t>
      </w:r>
    </w:p>
    <w:p>
      <w:pPr>
        <w:spacing w:after="0" w:line="225" w:lineRule="exact"/>
        <w:rPr>
          <w:rFonts w:ascii="Arial" w:cs="Arial" w:eastAsia="Arial" w:hAnsi="Arial"/>
          <w:sz w:val="18"/>
          <w:szCs w:val="18"/>
          <w:i w:val="1"/>
          <w:iCs w:val="1"/>
          <w:color w:val="auto"/>
        </w:rPr>
      </w:pPr>
    </w:p>
    <w:p>
      <w:pPr>
        <w:ind w:left="1300" w:right="46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impact of macro-economic, geopolitical factors and other disruption on our manufacturing or sales, including the impact of the COVID-19 pandemic and other public health issues and natural disasters;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proportion of our revenue that consists of our product and service revenue, and the mix of billings between products and services, and the duration of service contracts;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impact of our product innovation strategy;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effects of government regulation, tariffs and other related policies;</w:t>
      </w:r>
    </w:p>
    <w:p>
      <w:pPr>
        <w:spacing w:after="0" w:line="225"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drivers of long-term growth and operating leverage, such as increased sales productivity, functionality and value in our standalone and bundled subscription service offerings;</w:t>
      </w:r>
    </w:p>
    <w:p>
      <w:pPr>
        <w:spacing w:after="0" w:line="170" w:lineRule="exact"/>
        <w:rPr>
          <w:rFonts w:ascii="Arial" w:cs="Arial" w:eastAsia="Arial" w:hAnsi="Arial"/>
          <w:sz w:val="18"/>
          <w:szCs w:val="18"/>
          <w:color w:val="auto"/>
        </w:rPr>
      </w:pPr>
    </w:p>
    <w:p>
      <w:pPr>
        <w:jc w:val="both"/>
        <w:ind w:left="1300" w:right="40" w:hanging="644"/>
        <w:spacing w:after="0" w:line="259"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growing our sales to businesses, service providers and government organizations, our ability to execute these sales and of the complexity of selling to all segments (including the increased competition and unpredictability of timing associated with sales to larger enterprises), the impact of sales to these organizations on our long-term growth, expansion and operating results, and the effectiveness of our internal sales organization;</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ability to hire properly qualified and effective sales, support and engineering employees;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trends in revenue, cost of revenue and gross margin;</w:t>
      </w:r>
    </w:p>
    <w:p>
      <w:pPr>
        <w:spacing w:after="0" w:line="225"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sales and marketing expense, research and development expense, general and administrative expense, and expectations regarding these expenses;</w:t>
      </w:r>
    </w:p>
    <w:p>
      <w:pPr>
        <w:spacing w:after="0" w:line="170" w:lineRule="exact"/>
        <w:rPr>
          <w:rFonts w:ascii="Arial" w:cs="Arial" w:eastAsia="Arial" w:hAnsi="Arial"/>
          <w:sz w:val="18"/>
          <w:szCs w:val="18"/>
          <w:color w:val="auto"/>
        </w:rPr>
      </w:pPr>
    </w:p>
    <w:p>
      <w:pPr>
        <w:ind w:left="1300" w:right="52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risks and expectations related to acquisitions or sales of assets, including integration issues related to product plans and products, including the acquired technology;</w:t>
      </w:r>
    </w:p>
    <w:p>
      <w:pPr>
        <w:spacing w:after="0" w:line="170" w:lineRule="exact"/>
        <w:rPr>
          <w:rFonts w:ascii="Arial" w:cs="Arial" w:eastAsia="Arial" w:hAnsi="Arial"/>
          <w:sz w:val="18"/>
          <w:szCs w:val="18"/>
          <w:color w:val="auto"/>
        </w:rPr>
      </w:pPr>
    </w:p>
    <w:p>
      <w:pPr>
        <w:ind w:left="1300" w:right="600" w:hanging="644"/>
        <w:spacing w:after="0" w:line="277" w:lineRule="auto"/>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investments in research and development, and expectations that our research and development expense will increase in absolute dollars during 2020;</w:t>
      </w:r>
    </w:p>
    <w:p>
      <w:pPr>
        <w:spacing w:after="0" w:line="170" w:lineRule="exact"/>
        <w:rPr>
          <w:rFonts w:ascii="Arial" w:cs="Arial" w:eastAsia="Arial" w:hAnsi="Arial"/>
          <w:sz w:val="18"/>
          <w:szCs w:val="18"/>
          <w:i w:val="1"/>
          <w:iCs w:val="1"/>
          <w:color w:val="auto"/>
        </w:rPr>
      </w:pPr>
    </w:p>
    <w:p>
      <w:pPr>
        <w:ind w:left="1300" w:right="24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continued investments in our sales resources and infrastructure and marketing strategy, and expectations that our sales and marketing expense will increase in absolute dollars during 2020;</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that our general and administrative expense will increase in absolute dollars during 2020;</w:t>
      </w:r>
    </w:p>
    <w:p>
      <w:pPr>
        <w:spacing w:after="0" w:line="225" w:lineRule="exact"/>
        <w:rPr>
          <w:rFonts w:ascii="Arial" w:cs="Arial" w:eastAsia="Arial" w:hAnsi="Arial"/>
          <w:sz w:val="18"/>
          <w:szCs w:val="18"/>
          <w:i w:val="1"/>
          <w:iCs w:val="1"/>
          <w:color w:val="auto"/>
        </w:rPr>
      </w:pPr>
    </w:p>
    <w:p>
      <w:pPr>
        <w:ind w:left="1300" w:right="60" w:hanging="644"/>
        <w:spacing w:after="0" w:line="277" w:lineRule="auto"/>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that proceeds from the exercise of stock options in future years will be adversely impacted by the increased mix of restricted stock units versus stock options granted;</w:t>
      </w:r>
    </w:p>
    <w:p>
      <w:pPr>
        <w:spacing w:after="0" w:line="170"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estimates of a range of 2020 spending on our headquarters expansion project;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121" w:right="35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1300" w:right="260" w:hanging="644"/>
        <w:spacing w:after="0" w:line="342" w:lineRule="auto"/>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expectations regarding uncertain tax benefits and our effective domestic and global tax rates, and the impact of the Tax Cuts and Jobs Act (the “2017 Tax Act”) and the Ninth Circuit’s Altera decision regarding stock-based compensation in cost sharing arrangements;</w:t>
      </w:r>
    </w:p>
    <w:p>
      <w:pPr>
        <w:spacing w:after="0" w:line="123" w:lineRule="exact"/>
        <w:rPr>
          <w:rFonts w:ascii="Arial" w:cs="Arial" w:eastAsia="Arial" w:hAnsi="Arial"/>
          <w:sz w:val="16"/>
          <w:szCs w:val="16"/>
          <w:color w:val="auto"/>
        </w:rPr>
      </w:pPr>
    </w:p>
    <w:p>
      <w:pPr>
        <w:ind w:left="1300" w:hanging="644"/>
        <w:spacing w:after="0"/>
        <w:tabs>
          <w:tab w:leader="none" w:pos="130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spending related to real estate and other capital expenditures and to the impact on free cash flows;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markets;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statements regarding expected outcomes and liabilities in litigation;</w:t>
      </w:r>
    </w:p>
    <w:p>
      <w:pPr>
        <w:spacing w:after="0" w:line="225"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our intentions regarding share repurchases and the sufficiency of our existing cash, cash equivalents and investments to meet our cash needs for at least the next 12 months;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other statements regarding our future operations, financial condition and prospects and business strategies; and</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adoption and impact of new accounting standards.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 Part II, Item 1A of this Quarterly Report on Form 10-Q and those discussed in other documents we file with the Securities and Exchange Commission (the “SEC”). We undertake no obligation, and specifically disclaim any obligation, to revise or publicly release the results of any revision to these and any other forward-looking statements. Given these risks and uncertainties, readers are cautioned not to place undue reliance on such forward-looking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ind w:right="320" w:firstLine="648"/>
        <w:spacing w:after="0" w:line="311" w:lineRule="auto"/>
        <w:rPr>
          <w:sz w:val="20"/>
          <w:szCs w:val="20"/>
          <w:color w:val="auto"/>
        </w:rPr>
      </w:pPr>
      <w:r>
        <w:rPr>
          <w:rFonts w:ascii="Arial" w:cs="Arial" w:eastAsia="Arial" w:hAnsi="Arial"/>
          <w:sz w:val="16"/>
          <w:szCs w:val="16"/>
          <w:color w:val="auto"/>
        </w:rPr>
        <w:t>Fortinet is a global leader in cybersecurity solutions provided to a wide variety of organizations, such as enterprises, communication service providers, government organizations and small businesses. Our cybersecurity solutions are designed to provide broad visibility and segmentation of the digital attack surface through our integrated Fortinet Security Fabric platform, which features automated protection, detection and response.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focus areas of our business consist of:</w:t>
      </w:r>
    </w:p>
    <w:p>
      <w:pPr>
        <w:spacing w:after="0" w:line="225" w:lineRule="exact"/>
        <w:rPr>
          <w:sz w:val="20"/>
          <w:szCs w:val="20"/>
          <w:color w:val="auto"/>
        </w:rPr>
      </w:pPr>
    </w:p>
    <w:p>
      <w:pPr>
        <w:ind w:left="660" w:hanging="328"/>
        <w:spacing w:after="0" w:line="291" w:lineRule="auto"/>
        <w:tabs>
          <w:tab w:leader="none" w:pos="660" w:val="left"/>
        </w:tabs>
        <w:numPr>
          <w:ilvl w:val="0"/>
          <w:numId w:val="2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Security-Driven Networking</w:t>
      </w:r>
      <w:r>
        <w:rPr>
          <w:rFonts w:ascii="Arial" w:cs="Arial" w:eastAsia="Arial" w:hAnsi="Arial"/>
          <w:sz w:val="16"/>
          <w:szCs w:val="16"/>
          <w:color w:val="auto"/>
        </w:rPr>
        <w:t>—We derive a majority of product sales from our FortiGate network security appliances. Our FortiGate network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security appliances include a broad set of built-in security and networking features and functionalities, including firewall, next-generation firewall, secure web gateway, secure sockets layer inspection, software-defined wide-area network (“SD-WAN”), intrusion prevention, data leak prevention, virtual private network (“VPN”) , switch and wireless controller and wide area network edge. Our network security appliances are managed by our FortiOS network operating system, which provides the foundation for FortiGate security functions. We enhance the performance of our network security appliances from branch to data center by designing and implementing Security Processing Unit (“SPU”) technology within our appliances, enabling us to add security and network functionality with minimal impact to network throughput performance.</w:t>
      </w:r>
    </w:p>
    <w:p>
      <w:pPr>
        <w:spacing w:after="0" w:line="166" w:lineRule="exact"/>
        <w:rPr>
          <w:rFonts w:ascii="Arial" w:cs="Arial" w:eastAsia="Arial" w:hAnsi="Arial"/>
          <w:sz w:val="16"/>
          <w:szCs w:val="16"/>
          <w:b w:val="1"/>
          <w:bCs w:val="1"/>
          <w:i w:val="1"/>
          <w:iCs w:val="1"/>
          <w:color w:val="auto"/>
        </w:rPr>
      </w:pPr>
    </w:p>
    <w:p>
      <w:pPr>
        <w:ind w:left="660" w:right="2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Infrastructure Security</w:t>
      </w:r>
      <w:r>
        <w:rPr>
          <w:rFonts w:ascii="Arial" w:cs="Arial" w:eastAsia="Arial" w:hAnsi="Arial"/>
          <w:sz w:val="18"/>
          <w:szCs w:val="18"/>
          <w:color w:val="auto"/>
        </w:rPr>
        <w:t>—The Fortinet Security Fabric platform is a broad, automated and integrated security platform that extends beyond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to cover other attack vectors. Other infrastructure solutions covered include Secure Access (Wi-Fi and switch) and teleworker and remote security solutions such as FortiAuthenticator, FortiClient and FortiToken.</w:t>
      </w:r>
    </w:p>
    <w:p>
      <w:pPr>
        <w:spacing w:after="0" w:line="183" w:lineRule="exact"/>
        <w:rPr>
          <w:rFonts w:ascii="Arial" w:cs="Arial" w:eastAsia="Arial" w:hAnsi="Arial"/>
          <w:sz w:val="18"/>
          <w:szCs w:val="18"/>
          <w:color w:val="auto"/>
        </w:rPr>
      </w:pPr>
    </w:p>
    <w:p>
      <w:pPr>
        <w:ind w:left="660" w:right="80" w:hanging="328"/>
        <w:spacing w:after="0" w:line="275"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b w:val="1"/>
          <w:bCs w:val="1"/>
          <w:i w:val="1"/>
          <w:iCs w:val="1"/>
          <w:color w:val="auto"/>
        </w:rPr>
        <w:t>Dynamic Cloud Security</w:t>
      </w:r>
      <w:r>
        <w:rPr>
          <w:rFonts w:ascii="Arial" w:cs="Arial" w:eastAsia="Arial" w:hAnsi="Arial"/>
          <w:sz w:val="17"/>
          <w:szCs w:val="17"/>
          <w:color w:val="auto"/>
        </w:rPr>
        <w:t>—We help customers connect securely to and across their hybrid, public and private cloud environments by offering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security through our virtual firewall and other software products. Our public and private cloud security solutions, including virtual appliances and hosted solutions, extend the core capabilities of the Fortinet Security Fabric platform to provide businesses with the same level of cybersecurity and threat intelligence in and across cloud environments that they receive on their physical networks, delivering security that follows their applications and data. Fortinet cloud security offerings are available across all major cloud providers, including</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121" w:right="35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Amazon Web Services, Microsoft Azure, Google Cloud, Oracle Cloud, Alibaba Cloud and IBM Cloud. Our Cloud Security portfolio also includes securing applications, including email and web.</w:t>
      </w:r>
    </w:p>
    <w:p>
      <w:pPr>
        <w:spacing w:after="0" w:line="170" w:lineRule="exact"/>
        <w:rPr>
          <w:sz w:val="20"/>
          <w:szCs w:val="20"/>
          <w:color w:val="auto"/>
        </w:rPr>
      </w:pPr>
    </w:p>
    <w:p>
      <w:pPr>
        <w:ind w:left="660" w:right="160" w:hanging="328"/>
        <w:spacing w:after="0" w:line="25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Endpoint Protection, Internet of Things (</w:t>
      </w:r>
      <w:r>
        <w:rPr>
          <w:rFonts w:ascii="Arial" w:cs="Arial" w:eastAsia="Arial" w:hAnsi="Arial"/>
          <w:sz w:val="18"/>
          <w:szCs w:val="18"/>
          <w:color w:val="auto"/>
        </w:rPr>
        <w:t>“</w:t>
      </w:r>
      <w:r>
        <w:rPr>
          <w:rFonts w:ascii="Arial" w:cs="Arial" w:eastAsia="Arial" w:hAnsi="Arial"/>
          <w:sz w:val="18"/>
          <w:szCs w:val="18"/>
          <w:b w:val="1"/>
          <w:bCs w:val="1"/>
          <w:i w:val="1"/>
          <w:iCs w:val="1"/>
          <w:color w:val="auto"/>
        </w:rPr>
        <w:t>IoT</w:t>
      </w:r>
      <w:r>
        <w:rPr>
          <w:rFonts w:ascii="Arial" w:cs="Arial" w:eastAsia="Arial" w:hAnsi="Arial"/>
          <w:sz w:val="18"/>
          <w:szCs w:val="18"/>
          <w:color w:val="auto"/>
        </w:rPr>
        <w:t>”</w:t>
      </w:r>
      <w:r>
        <w:rPr>
          <w:rFonts w:ascii="Arial" w:cs="Arial" w:eastAsia="Arial" w:hAnsi="Arial"/>
          <w:sz w:val="18"/>
          <w:szCs w:val="18"/>
          <w:b w:val="1"/>
          <w:bCs w:val="1"/>
          <w:i w:val="1"/>
          <w:iCs w:val="1"/>
          <w:color w:val="auto"/>
        </w:rPr>
        <w:t>) and Operational Technology (</w:t>
      </w:r>
      <w:r>
        <w:rPr>
          <w:rFonts w:ascii="Arial" w:cs="Arial" w:eastAsia="Arial" w:hAnsi="Arial"/>
          <w:sz w:val="18"/>
          <w:szCs w:val="18"/>
          <w:color w:val="auto"/>
        </w:rPr>
        <w:t>“</w:t>
      </w:r>
      <w:r>
        <w:rPr>
          <w:rFonts w:ascii="Arial" w:cs="Arial" w:eastAsia="Arial" w:hAnsi="Arial"/>
          <w:sz w:val="18"/>
          <w:szCs w:val="18"/>
          <w:b w:val="1"/>
          <w:bCs w:val="1"/>
          <w:i w:val="1"/>
          <w:iCs w:val="1"/>
          <w:color w:val="auto"/>
        </w:rPr>
        <w:t>OT</w:t>
      </w:r>
      <w:r>
        <w:rPr>
          <w:rFonts w:ascii="Arial" w:cs="Arial" w:eastAsia="Arial" w:hAnsi="Arial"/>
          <w:sz w:val="18"/>
          <w:szCs w:val="18"/>
          <w:color w:val="auto"/>
        </w:rPr>
        <w:t>”</w:t>
      </w:r>
      <w:r>
        <w:rPr>
          <w:rFonts w:ascii="Arial" w:cs="Arial" w:eastAsia="Arial" w:hAnsi="Arial"/>
          <w:sz w:val="18"/>
          <w:szCs w:val="18"/>
          <w:b w:val="1"/>
          <w:bCs w:val="1"/>
          <w:i w:val="1"/>
          <w:iCs w:val="1"/>
          <w:color w:val="auto"/>
        </w:rPr>
        <w:t>) Security</w:t>
      </w:r>
      <w:r>
        <w:rPr>
          <w:rFonts w:ascii="Arial" w:cs="Arial" w:eastAsia="Arial" w:hAnsi="Arial"/>
          <w:sz w:val="18"/>
          <w:szCs w:val="18"/>
          <w:color w:val="auto"/>
        </w:rPr>
        <w:t>—We protect end-customers from advanced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threats that target their devices and the data that reside on them through our advanced endpoint solutions that provide core endpoint protection, advanced threat protection, incident monitoring, and response. Additionally, the proliferation of IoT and the digitization of OT devices has generated new opportunities for us to grow our business. We offer network access control solutions that provide visibility, control and automated event responses in order to secure IoT devices.</w:t>
      </w:r>
    </w:p>
    <w:p>
      <w:pPr>
        <w:spacing w:after="0" w:line="187" w:lineRule="exact"/>
        <w:rPr>
          <w:rFonts w:ascii="Arial" w:cs="Arial" w:eastAsia="Arial" w:hAnsi="Arial"/>
          <w:sz w:val="18"/>
          <w:szCs w:val="18"/>
          <w:color w:val="auto"/>
        </w:rPr>
      </w:pPr>
    </w:p>
    <w:p>
      <w:pPr>
        <w:ind w:left="660" w:hanging="328"/>
        <w:spacing w:after="0" w:line="286" w:lineRule="auto"/>
        <w:tabs>
          <w:tab w:leader="none" w:pos="660" w:val="left"/>
        </w:tabs>
        <w:numPr>
          <w:ilvl w:val="0"/>
          <w:numId w:val="2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AI-Driven Security Operations</w:t>
      </w:r>
      <w:r>
        <w:rPr>
          <w:rFonts w:ascii="Arial" w:cs="Arial" w:eastAsia="Arial" w:hAnsi="Arial"/>
          <w:sz w:val="17"/>
          <w:szCs w:val="17"/>
          <w:color w:val="auto"/>
        </w:rPr>
        <w:t>—We develop and provide AI-driven security operations solutions, including FortiGuard security services, that can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 applied across the entire Fortinet Security Fabric platform. These solutions help customers better secure their environments by delivering deeper intelligence and insights and by narrowing the gaps in security skills and resources that are present in many organizations.</w:t>
      </w:r>
    </w:p>
    <w:p>
      <w:pPr>
        <w:spacing w:after="0" w:line="165"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In addition to our security solutions, our customers may purchase FortiGuard and other security subscription services to receive threat intelligence updates, FortiCare technical support services and the support of Technical Account Managers, Resident Engineers and professional service consultants for implementations or training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25" w:lineRule="exact"/>
        <w:rPr>
          <w:sz w:val="20"/>
          <w:szCs w:val="20"/>
          <w:color w:val="auto"/>
        </w:rPr>
      </w:pPr>
    </w:p>
    <w:p>
      <w:pPr>
        <w:ind w:left="660" w:right="380" w:hanging="328"/>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revenue was $576.9 million during the three months ended March 31, 2020, an increase of 22% compared to $472.6 million in the same period last year. Product revenue was $192.3 million during the three months ended March 31, 2020, an increase of 18% compared to $162.7 million in the same period last year. Service revenue was $384.6 million during the three months ended March 31, 2020, an increase of 24% compared to $309.9 million in the same period last year.</w:t>
      </w:r>
    </w:p>
    <w:p>
      <w:pPr>
        <w:spacing w:after="0" w:line="186"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generated operating income of $115.9 million, which included a gain on an intellectual property (“IP”) matter of $36.8 million, during the three months ended March 31, 2020, an increase of 129% compared to $50.6 million in the same period last year.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Cash, cash equivalents and investments were $1.57 billion as of March 31, 2020, a decrease of $636.6 million, or 29%, from December 31, 2019.</w:t>
      </w:r>
    </w:p>
    <w:p>
      <w:pPr>
        <w:spacing w:after="0" w:line="248" w:lineRule="exact"/>
        <w:rPr>
          <w:rFonts w:ascii="Arial" w:cs="Arial" w:eastAsia="Arial" w:hAnsi="Arial"/>
          <w:sz w:val="16"/>
          <w:szCs w:val="16"/>
          <w:color w:val="auto"/>
        </w:rPr>
      </w:pPr>
    </w:p>
    <w:p>
      <w:pPr>
        <w:ind w:left="660" w:right="18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the three months ended March 31, 2020, we repurchased 10.0 million shares of common stock under our Share Repurchase Program (the “Repurchase Program”), for a total purchase price of $899.9 million.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Deferred revenue was $2.23 billion as of March 31, 2020, an increase of $90.9 million, or 4%, from December 31, 2019.</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$319.4 million, which includes $50 million proceeds from an IP matter, during the three months ended March 31, 2020, an increase of $118.1 million, or 59%, compared to the same period last year.</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revenue growth was driven by both product and service revenue. On a geographic basis, revenue continues to be diversified globally, which remains a key strength of our business. Americas, Europe, Middle East and Africa (“EMEA”) and Asia Pacific (“APAC”) comprised 42%, 38% and 20% of the total revenue, respectively, in the three months ended March 31, 2020 and 2019. Product revenue grew 18% during the three months ended March 31, 2020 compared to the same period last year. We experienced revenue growth across several of our hardware and software products, including SD-WAN and teleworker and remote security solutions. Service revenue growth of 24% during the three months ended March 31, 2020 compared to the same period last year was driven by the strength of our FortiGuard and other security subscription revenue, which grew 25% compared to the same period last year. During the three months ended March 31, 2020, FortiCare technical support and other service revenue grew 23% compared to the same period last year.</w:t>
      </w:r>
    </w:p>
    <w:p>
      <w:pPr>
        <w:spacing w:after="0" w:line="166"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During the three months ended March 31, 2020, we recognized a $36.8 million gain on an IP matter in connection with a mutual covenant-not-to-sue and release agreement with a competitor in the network security industry. Excluding the gain on the IP matter, operating expenses as a percentage of revenue decreased by one percentage point compared to the same period last year. Headcount increased to 7,448 employees and contractors as of March 31, 2020, a 5% growth compared to 7,082 as of December 31, 2019 and a 24% growth compared to 6,015 as of March 31, 2019.</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Update</w:t>
      </w:r>
    </w:p>
    <w:p>
      <w:pPr>
        <w:spacing w:after="0" w:line="225" w:lineRule="exact"/>
        <w:rPr>
          <w:sz w:val="20"/>
          <w:szCs w:val="20"/>
          <w:color w:val="auto"/>
        </w:rPr>
      </w:pPr>
    </w:p>
    <w:p>
      <w:pPr>
        <w:ind w:right="120" w:firstLine="391"/>
        <w:spacing w:after="0" w:line="271" w:lineRule="auto"/>
        <w:rPr>
          <w:sz w:val="20"/>
          <w:szCs w:val="20"/>
          <w:color w:val="auto"/>
        </w:rPr>
      </w:pPr>
      <w:r>
        <w:rPr>
          <w:rFonts w:ascii="Arial" w:cs="Arial" w:eastAsia="Arial" w:hAnsi="Arial"/>
          <w:sz w:val="17"/>
          <w:szCs w:val="17"/>
          <w:color w:val="212529"/>
        </w:rPr>
        <w:t xml:space="preserve">The United States and the global community we serve are facing unprecedented challenges posed by the COVID-19 pandemic. In response to the pandemic, we have taken a number of actions to protect our employees, including restricting travel and directing most of our employees to work from home. We have implemented our readiness plans, which include steps to maintain critical internet infrastructure with most employees working remotely. We have not conducted any employee layoffs related to the COVID-19 pandemic, and we do not anticipate any related layoffs for the foreseeable future. We have also increased our employee charitable contributions matching program for COVID-19 related donations and will match up to $2.0 million of employee charitable contributions. In order </w:t>
      </w:r>
      <w:r>
        <w:rPr>
          <w:rFonts w:ascii="Arial" w:cs="Arial" w:eastAsia="Arial" w:hAnsi="Arial"/>
          <w:sz w:val="17"/>
          <w:szCs w:val="17"/>
          <w:color w:val="000000"/>
        </w:rPr>
        <w:t>to help address the needs of organizations securing highly distributed and remote workforces, we have opened</w:t>
      </w:r>
      <w:r>
        <w:rPr>
          <w:rFonts w:ascii="Arial" w:cs="Arial" w:eastAsia="Arial" w:hAnsi="Arial"/>
          <w:sz w:val="17"/>
          <w:szCs w:val="17"/>
          <w:color w:val="212529"/>
        </w:rPr>
        <w:t xml:space="preserve"> </w:t>
      </w:r>
      <w:r>
        <w:rPr>
          <w:rFonts w:ascii="Arial" w:cs="Arial" w:eastAsia="Arial" w:hAnsi="Arial"/>
          <w:sz w:val="17"/>
          <w:szCs w:val="17"/>
          <w:color w:val="000000"/>
        </w:rPr>
        <w:t xml:space="preserve">our online, self-paced catalogue of advanced Network Security Expert training courses for free to the public. </w:t>
      </w:r>
      <w:r>
        <w:rPr>
          <w:rFonts w:ascii="Arial" w:cs="Arial" w:eastAsia="Arial" w:hAnsi="Arial"/>
          <w:sz w:val="17"/>
          <w:szCs w:val="17"/>
          <w:color w:val="212529"/>
        </w:rPr>
        <w:t>Costs incurred to date relating to COVID-19</w:t>
      </w:r>
      <w:r>
        <w:rPr>
          <w:rFonts w:ascii="Arial" w:cs="Arial" w:eastAsia="Arial" w:hAnsi="Arial"/>
          <w:sz w:val="17"/>
          <w:szCs w:val="17"/>
          <w:color w:val="000000"/>
        </w:rPr>
        <w:t xml:space="preserve"> </w:t>
      </w:r>
      <w:r>
        <w:rPr>
          <w:rFonts w:ascii="Arial" w:cs="Arial" w:eastAsia="Arial" w:hAnsi="Arial"/>
          <w:sz w:val="17"/>
          <w:szCs w:val="17"/>
          <w:color w:val="212529"/>
        </w:rPr>
        <w:t>impact mitigation efforts have not been material.</w:t>
      </w:r>
    </w:p>
    <w:p>
      <w:pPr>
        <w:spacing w:after="0" w:line="178" w:lineRule="exact"/>
        <w:rPr>
          <w:sz w:val="20"/>
          <w:szCs w:val="20"/>
          <w:color w:val="auto"/>
        </w:rPr>
      </w:pPr>
    </w:p>
    <w:p>
      <w:pPr>
        <w:ind w:right="140" w:firstLine="391"/>
        <w:spacing w:after="0" w:line="293" w:lineRule="auto"/>
        <w:rPr>
          <w:sz w:val="20"/>
          <w:szCs w:val="20"/>
          <w:color w:val="auto"/>
        </w:rPr>
      </w:pPr>
      <w:r>
        <w:rPr>
          <w:rFonts w:ascii="Arial" w:cs="Arial" w:eastAsia="Arial" w:hAnsi="Arial"/>
          <w:sz w:val="16"/>
          <w:szCs w:val="16"/>
          <w:color w:val="212529"/>
        </w:rPr>
        <w:t>While we believe the pandemic has had certain impacts on our business, we do not believe there has been a material impact from the effects of the pandemic on our business and operations, results of operations, financial condition, cash flows, liquidity and capital and financial resources as of and during the three months ended March 31, 2020. While our linearity during the first quarter of 2020 was consistent with prior quarters, we saw an elevated level of buying during the middle two weeks of March. Our average service contract term remained consistent with the same period of 2019. Average customer payment terms increased by less than 15%. With respect to our supply chain, our product backlog was in line with historical averages and our suppliers delivered over 90% of their commitments to us. Our channel inventory levels were consistent with prior quarters.</w:t>
      </w:r>
    </w:p>
    <w:p>
      <w:pPr>
        <w:spacing w:after="0" w:line="164" w:lineRule="exact"/>
        <w:rPr>
          <w:sz w:val="20"/>
          <w:szCs w:val="20"/>
          <w:color w:val="auto"/>
        </w:rPr>
      </w:pPr>
    </w:p>
    <w:p>
      <w:pPr>
        <w:ind w:firstLine="391"/>
        <w:spacing w:after="0" w:line="287" w:lineRule="auto"/>
        <w:rPr>
          <w:sz w:val="20"/>
          <w:szCs w:val="20"/>
          <w:color w:val="auto"/>
        </w:rPr>
      </w:pPr>
      <w:r>
        <w:rPr>
          <w:rFonts w:ascii="Arial" w:cs="Arial" w:eastAsia="Arial" w:hAnsi="Arial"/>
          <w:sz w:val="16"/>
          <w:szCs w:val="16"/>
          <w:color w:val="212529"/>
        </w:rPr>
        <w:t>T</w:t>
      </w:r>
      <w:r>
        <w:rPr>
          <w:rFonts w:ascii="Arial" w:cs="Arial" w:eastAsia="Arial" w:hAnsi="Arial"/>
          <w:sz w:val="16"/>
          <w:szCs w:val="16"/>
          <w:color w:val="000000"/>
        </w:rPr>
        <w:t>hrough the filing of this Quarterly Report on Form 10-Q, t</w:t>
      </w:r>
      <w:r>
        <w:rPr>
          <w:rFonts w:ascii="Arial" w:cs="Arial" w:eastAsia="Arial" w:hAnsi="Arial"/>
          <w:sz w:val="16"/>
          <w:szCs w:val="16"/>
          <w:color w:val="212529"/>
        </w:rPr>
        <w:t>here have been no material changes to the trends described above. Going forward, however, the situation is uncertain, rapidly changing and hard to predict, and the COVID-19 pandemic may have a material negative impact on our future periods, including our results for the three months ending June 30, 2020, our annual results for 2020, and beyond. To highlight the uncertainty remaining for the three months ending June 30, 2020, it should be noted that, due to customer 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If we experience significant changes in our billings growth rates, it will impact current quarter product revenue and future quarters of our FortiGuard and FortiCare service revenues, as we sell annual and multi-year service contracts that are recognized ratably over the service term. In addition, the broader implications of the pandemic on our business and operations and our financial results, including the extent to which the effects of the pandemic will impact future results and growth in the cybersecurity industry, remain uncertain. The duration and severity of the economic downturn from the pandemic may negatively impact our business and operations, results of operations, financial condition, cash flows, liquidity and capital and financial resources in a material way. As a result, the effects of the pandemic may not be fully reflected in our results of operations until future periods. For further discussion, see Part II, Item 1A of this Quarterly Report on Form 10-Q.</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primarily sell our products and services through a two-tier distribution model. We sell to distributors that sell to networking security and enterprise-focused resellers and to service providers and managed security service providers (“MSSPs”), who, in turn, sell to our end-customers. In certain cases, we sell directly to large service providers and major systems integrators. We also offer our products through major cloud providers, and have recognized on-demand revenue from Amazon Web Services, Microsoft Azure, IBM Cloud, Google Cloud and Oracle Cloud. We have also recognized revenue from customers who deploy our products in a bring-your-own-license (“BYOL”) arrangement in private clouds or at cloud providers such as Amazon Web Services, Microsoft Azure, Google Cloud, Oracle Cloud and Alibaba Cloud. In a BYOL arrangement, a customer purchases a software license from us through our channel partners and deploys the software in a cloud provider’s environment. Similarly, customers may purchase such a license from us and deploy in their private cloud.</w:t>
      </w:r>
    </w:p>
    <w:p>
      <w:pPr>
        <w:spacing w:after="0" w:line="192"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Our customers purchase our hardware products and software licenses, as well as our FortiGuard security subscription and FortiCare technical support services. We generally invoice at the time of our sale for the total price of the products and security and technical support services. The invoice is typically payable within 30 to 60 days. We also invoice certain services on a monthly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We monitor a number of key metrics, including the key financial metrics set forth below, in order to help us evaluate growth trends, establish budgets, measure the effectiveness of our sales and marketing efforts, and assess operational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efficiencies. The following table summarizes revenue, deferred revenue, billings (non-GAAP), net cash provided by operating activities, and free cash flow (non-GAAP). We discuss revenue below under “Results of Operations,” and we discuss net cash provided by operating activities below under “—Liquidity and Capital Resources.” Deferred revenue, billings (non-GAAP), and free cash flow (non-GAAP) are discussed immediately below the following table: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gridSpan w:val="3"/>
          </w:tcPr>
          <w:p>
            <w:pPr>
              <w:jc w:val="right"/>
              <w:ind w:right="332"/>
              <w:spacing w:after="0"/>
              <w:rPr>
                <w:sz w:val="20"/>
                <w:szCs w:val="20"/>
                <w:color w:val="auto"/>
              </w:rPr>
            </w:pPr>
            <w:r>
              <w:rPr>
                <w:rFonts w:ascii="Arial" w:cs="Arial" w:eastAsia="Arial" w:hAnsi="Arial"/>
                <w:sz w:val="16"/>
                <w:szCs w:val="16"/>
                <w:b w:val="1"/>
                <w:bCs w:val="1"/>
                <w:color w:val="auto"/>
              </w:rPr>
              <w:t>Three Months Ended Or As Of</w:t>
            </w:r>
          </w:p>
        </w:tc>
      </w:tr>
      <w:tr>
        <w:trPr>
          <w:trHeight w:val="33"/>
        </w:trPr>
        <w:tc>
          <w:tcPr>
            <w:tcW w:w="8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8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12"/>
              <w:spacing w:after="0"/>
              <w:rPr>
                <w:sz w:val="20"/>
                <w:szCs w:val="20"/>
                <w:color w:val="auto"/>
              </w:rPr>
            </w:pPr>
            <w:r>
              <w:rPr>
                <w:rFonts w:ascii="Arial" w:cs="Arial" w:eastAsia="Arial" w:hAnsi="Arial"/>
                <w:sz w:val="16"/>
                <w:szCs w:val="16"/>
                <w:b w:val="1"/>
                <w:bCs w:val="1"/>
                <w:color w:val="auto"/>
                <w:w w:val="94"/>
              </w:rPr>
              <w:t>March 31, 2020</w:t>
            </w:r>
          </w:p>
        </w:tc>
        <w:tc>
          <w:tcPr>
            <w:tcW w:w="260" w:type="dxa"/>
            <w:vAlign w:val="bottom"/>
          </w:tcPr>
          <w:p>
            <w:pPr>
              <w:spacing w:after="0"/>
              <w:rPr>
                <w:sz w:val="20"/>
                <w:szCs w:val="20"/>
                <w:color w:val="auto"/>
              </w:rPr>
            </w:pPr>
          </w:p>
        </w:tc>
        <w:tc>
          <w:tcPr>
            <w:tcW w:w="1300" w:type="dxa"/>
            <w:vAlign w:val="bottom"/>
          </w:tcPr>
          <w:p>
            <w:pPr>
              <w:jc w:val="right"/>
              <w:ind w:right="112"/>
              <w:spacing w:after="0"/>
              <w:rPr>
                <w:sz w:val="20"/>
                <w:szCs w:val="20"/>
                <w:color w:val="auto"/>
              </w:rPr>
            </w:pPr>
            <w:r>
              <w:rPr>
                <w:rFonts w:ascii="Arial" w:cs="Arial" w:eastAsia="Arial" w:hAnsi="Arial"/>
                <w:sz w:val="16"/>
                <w:szCs w:val="16"/>
                <w:b w:val="1"/>
                <w:bCs w:val="1"/>
                <w:color w:val="auto"/>
                <w:w w:val="94"/>
              </w:rPr>
              <w:t>March 31, 2019</w:t>
            </w:r>
          </w:p>
        </w:tc>
      </w:tr>
      <w:tr>
        <w:trPr>
          <w:trHeight w:val="33"/>
        </w:trPr>
        <w:tc>
          <w:tcPr>
            <w:tcW w:w="8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3"/>
          </w:tcPr>
          <w:p>
            <w:pPr>
              <w:spacing w:after="0"/>
              <w:rPr>
                <w:sz w:val="2"/>
                <w:szCs w:val="2"/>
                <w:color w:val="auto"/>
              </w:rPr>
            </w:pPr>
          </w:p>
        </w:tc>
      </w:tr>
      <w:tr>
        <w:trPr>
          <w:trHeight w:val="237"/>
        </w:trPr>
        <w:tc>
          <w:tcPr>
            <w:tcW w:w="8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60" w:type="dxa"/>
            <w:vAlign w:val="bottom"/>
            <w:gridSpan w:val="3"/>
          </w:tcPr>
          <w:p>
            <w:pPr>
              <w:jc w:val="right"/>
              <w:ind w:right="952"/>
              <w:spacing w:after="0"/>
              <w:rPr>
                <w:sz w:val="20"/>
                <w:szCs w:val="20"/>
                <w:color w:val="auto"/>
              </w:rPr>
            </w:pPr>
            <w:r>
              <w:rPr>
                <w:rFonts w:ascii="Arial" w:cs="Arial" w:eastAsia="Arial" w:hAnsi="Arial"/>
                <w:sz w:val="18"/>
                <w:szCs w:val="18"/>
                <w:b w:val="1"/>
                <w:bCs w:val="1"/>
                <w:color w:val="auto"/>
              </w:rPr>
              <w:t>(in millions)</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576.9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472.6</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2,226.8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1,765.8</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Billings (non-GAAP)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667.8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551.6</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319.4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201.3</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8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Free cash flow (non-GAAP)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241.8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191.1</w:t>
            </w:r>
          </w:p>
        </w:tc>
      </w:tr>
      <w:tr>
        <w:trPr>
          <w:trHeight w:val="27"/>
        </w:trPr>
        <w:tc>
          <w:tcPr>
            <w:tcW w:w="8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Deferred revenue. </w:t>
      </w:r>
      <w:r>
        <w:rPr>
          <w:rFonts w:ascii="Arial" w:cs="Arial" w:eastAsia="Arial" w:hAnsi="Arial"/>
          <w:sz w:val="18"/>
          <w:szCs w:val="18"/>
          <w:color w:val="auto"/>
        </w:rPr>
        <w:t>Our deferred revenue consists of amounts that have been invoiced but that have not yet been recognized as revenue. The</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our deferred revenue balance consists of the unrecognized portion of service revenue from FortiGuard security subscription and FortiCare technical support service contracts, which is recognized as revenue ratably over the contractual service period. We monitor our deferred revenue balance, deferred revenue growth and the mix of short-term and long-term deferred revenue because deferred revenue represents a significant portion of free cash flow and of revenue to be recognized in future periods. Deferred revenue was $2.23 billion as of March 31, 2020, an increase of $90.9 million, or 4%, from December 31, 2019.</w:t>
      </w:r>
    </w:p>
    <w:p>
      <w:pPr>
        <w:spacing w:after="0" w:line="19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 xml:space="preserve">Billings (non-GAAP). </w:t>
      </w:r>
      <w:r>
        <w:rPr>
          <w:rFonts w:ascii="Arial" w:cs="Arial" w:eastAsia="Arial" w:hAnsi="Arial"/>
          <w:sz w:val="17"/>
          <w:szCs w:val="17"/>
          <w:color w:val="auto"/>
        </w:rPr>
        <w:t>We define billings as revenue recognized in accordance with GAAP plus the change in deferred revenue from the beginning</w:t>
      </w:r>
      <w:r>
        <w:rPr>
          <w:rFonts w:ascii="Arial" w:cs="Arial" w:eastAsia="Arial" w:hAnsi="Arial"/>
          <w:sz w:val="17"/>
          <w:szCs w:val="17"/>
          <w:i w:val="1"/>
          <w:iCs w:val="1"/>
          <w:color w:val="auto"/>
        </w:rPr>
        <w:t xml:space="preserve"> </w:t>
      </w:r>
      <w:r>
        <w:rPr>
          <w:rFonts w:ascii="Arial" w:cs="Arial" w:eastAsia="Arial" w:hAnsi="Arial"/>
          <w:sz w:val="17"/>
          <w:szCs w:val="17"/>
          <w:color w:val="auto"/>
        </w:rPr>
        <w:t>to the end of the period, less any deferred revenue balances acquired from business combination(s) during the period. We consider billings to be a useful metric for management and investors because billings drive current and future revenue, which is an important indicator of the health and viability of our business. There are a number of limitations related to the use of billings instead of GAAP revenue. First, billings include amounts that have not yet been recognized as revenue and are impacted by the term of security and support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 Total billings were $667.8 million for the three months ended March 31, 2020, an increase of 21% compared to $551.6 million in the same period last year.</w:t>
      </w:r>
    </w:p>
    <w:p>
      <w:pPr>
        <w:spacing w:after="0" w:line="17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 reconciliation of revenue, the most directly comparable financial measure calculated and presented in accordance with GAAP, to billings is provided below:</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Pr>
          <w:p>
            <w:pPr>
              <w:spacing w:after="0"/>
              <w:rPr>
                <w:sz w:val="20"/>
                <w:szCs w:val="20"/>
                <w:color w:val="auto"/>
              </w:rPr>
            </w:pPr>
          </w:p>
        </w:tc>
        <w:tc>
          <w:tcPr>
            <w:tcW w:w="1300" w:type="dxa"/>
            <w:vAlign w:val="bottom"/>
          </w:tcPr>
          <w:p>
            <w:pPr>
              <w:jc w:val="right"/>
              <w:ind w:right="112"/>
              <w:spacing w:after="0"/>
              <w:rPr>
                <w:sz w:val="20"/>
                <w:szCs w:val="20"/>
                <w:color w:val="auto"/>
              </w:rPr>
            </w:pPr>
            <w:r>
              <w:rPr>
                <w:rFonts w:ascii="Arial" w:cs="Arial" w:eastAsia="Arial" w:hAnsi="Arial"/>
                <w:sz w:val="16"/>
                <w:szCs w:val="16"/>
                <w:b w:val="1"/>
                <w:bCs w:val="1"/>
                <w:color w:val="auto"/>
                <w:w w:val="94"/>
              </w:rPr>
              <w:t>March 31, 2019</w:t>
            </w:r>
          </w:p>
        </w:tc>
      </w:tr>
      <w:tr>
        <w:trPr>
          <w:trHeight w:val="33"/>
        </w:trPr>
        <w:tc>
          <w:tcPr>
            <w:tcW w:w="8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r>
      <w:tr>
        <w:trPr>
          <w:trHeight w:val="237"/>
        </w:trPr>
        <w:tc>
          <w:tcPr>
            <w:tcW w:w="8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60" w:type="dxa"/>
            <w:vAlign w:val="bottom"/>
            <w:gridSpan w:val="4"/>
          </w:tcPr>
          <w:p>
            <w:pPr>
              <w:jc w:val="right"/>
              <w:ind w:right="952"/>
              <w:spacing w:after="0"/>
              <w:rPr>
                <w:sz w:val="20"/>
                <w:szCs w:val="20"/>
                <w:color w:val="auto"/>
              </w:rPr>
            </w:pPr>
            <w:r>
              <w:rPr>
                <w:rFonts w:ascii="Arial" w:cs="Arial" w:eastAsia="Arial" w:hAnsi="Arial"/>
                <w:sz w:val="18"/>
                <w:szCs w:val="18"/>
                <w:b w:val="1"/>
                <w:bCs w:val="1"/>
                <w:color w:val="auto"/>
              </w:rPr>
              <w:t>(in millions)</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Billings: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576.9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472.6</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Change in deferred revenue</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79.0</w:t>
            </w:r>
          </w:p>
        </w:tc>
      </w:tr>
      <w:tr>
        <w:trPr>
          <w:trHeight w:val="257"/>
        </w:trPr>
        <w:tc>
          <w:tcPr>
            <w:tcW w:w="8220" w:type="dxa"/>
            <w:vAlign w:val="bottom"/>
          </w:tcPr>
          <w:p>
            <w:pPr>
              <w:ind w:left="40"/>
              <w:spacing w:after="0"/>
              <w:rPr>
                <w:sz w:val="20"/>
                <w:szCs w:val="20"/>
                <w:color w:val="auto"/>
              </w:rPr>
            </w:pPr>
            <w:r>
              <w:rPr>
                <w:rFonts w:ascii="Arial" w:cs="Arial" w:eastAsia="Arial" w:hAnsi="Arial"/>
                <w:sz w:val="18"/>
                <w:szCs w:val="18"/>
                <w:color w:val="auto"/>
              </w:rPr>
              <w:t>Total billings (non-GAAP)</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667.8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551.6</w:t>
            </w:r>
          </w:p>
        </w:tc>
      </w:tr>
      <w:tr>
        <w:trPr>
          <w:trHeight w:val="20"/>
        </w:trPr>
        <w:tc>
          <w:tcPr>
            <w:tcW w:w="8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 xml:space="preserve">Free cash flow (non-GAAP). </w:t>
      </w:r>
      <w:r>
        <w:rPr>
          <w:rFonts w:ascii="Arial" w:cs="Arial" w:eastAsia="Arial" w:hAnsi="Arial"/>
          <w:sz w:val="18"/>
          <w:szCs w:val="18"/>
          <w:color w:val="auto"/>
        </w:rPr>
        <w:t>We define free cash flow as net cash provided by operating activities minus purchases of property and equipment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excluding any significant non-recurring items, such as proceeds from IP matter. We believe free cash flow to be a liquidity measure that provides useful information to management and investors about the amount of cash generated by the business that, after capital expenditures and net of proceeds from IP matter, can be used for strategic opportunities, including repurchasing outstanding common stock, investing in our business, making strategic acquisitions and strengthening the balance sheet. A limitation of using free cash flow rather than the GAAP measures of cash provided by or used in operating activities, investing activities, and financing activities is that free cash flow does not represent the total increase or decrease in the cash and cash equivalents balance for the period because it excludes proceeds from IP matter, cash flows from investing activities other than capital expenditures and cash flows from financing activities. Management accounts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for this limitation by providing information about our proceeds from IP matter, our capital expenditures and other investing and financing activities on the face of the consolidated statements of cash flows and under “—Liquidity and Capital Resources” and by presenting cash flows from investing and financing activities in our reconciliation of free cash flow.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net cash provided by operating activities, the most directly comparable financial measure calculated and presented in accordance with GAAP, to free cash flow is provided below:</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8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Pr>
          <w:p>
            <w:pPr>
              <w:spacing w:after="0"/>
              <w:rPr>
                <w:sz w:val="20"/>
                <w:szCs w:val="20"/>
                <w:color w:val="auto"/>
              </w:rPr>
            </w:pPr>
          </w:p>
        </w:tc>
        <w:tc>
          <w:tcPr>
            <w:tcW w:w="1300" w:type="dxa"/>
            <w:vAlign w:val="bottom"/>
          </w:tcPr>
          <w:p>
            <w:pPr>
              <w:jc w:val="right"/>
              <w:ind w:right="111"/>
              <w:spacing w:after="0"/>
              <w:rPr>
                <w:sz w:val="20"/>
                <w:szCs w:val="20"/>
                <w:color w:val="auto"/>
              </w:rPr>
            </w:pPr>
            <w:r>
              <w:rPr>
                <w:rFonts w:ascii="Arial" w:cs="Arial" w:eastAsia="Arial" w:hAnsi="Arial"/>
                <w:sz w:val="16"/>
                <w:szCs w:val="16"/>
                <w:b w:val="1"/>
                <w:bCs w:val="1"/>
                <w:color w:val="auto"/>
                <w:w w:val="94"/>
              </w:rPr>
              <w:t>March 31, 2019</w:t>
            </w:r>
          </w:p>
        </w:tc>
      </w:tr>
      <w:tr>
        <w:trPr>
          <w:trHeight w:val="33"/>
        </w:trPr>
        <w:tc>
          <w:tcPr>
            <w:tcW w:w="8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r>
      <w:tr>
        <w:trPr>
          <w:trHeight w:val="237"/>
        </w:trPr>
        <w:tc>
          <w:tcPr>
            <w:tcW w:w="8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60" w:type="dxa"/>
            <w:vAlign w:val="bottom"/>
            <w:gridSpan w:val="4"/>
          </w:tcPr>
          <w:p>
            <w:pPr>
              <w:jc w:val="right"/>
              <w:ind w:right="951"/>
              <w:spacing w:after="0"/>
              <w:rPr>
                <w:sz w:val="20"/>
                <w:szCs w:val="20"/>
                <w:color w:val="auto"/>
              </w:rPr>
            </w:pPr>
            <w:r>
              <w:rPr>
                <w:rFonts w:ascii="Arial" w:cs="Arial" w:eastAsia="Arial" w:hAnsi="Arial"/>
                <w:sz w:val="18"/>
                <w:szCs w:val="18"/>
                <w:b w:val="1"/>
                <w:bCs w:val="1"/>
                <w:color w:val="auto"/>
              </w:rPr>
              <w:t>(in millions)</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Free Cash Flow:</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319.4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201.3</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Purchases of 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Less: Proceeds from IP matter</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 (non-GAAP)</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191.1</w:t>
            </w:r>
          </w:p>
        </w:tc>
      </w:tr>
      <w:tr>
        <w:trPr>
          <w:trHeight w:val="20"/>
        </w:trPr>
        <w:tc>
          <w:tcPr>
            <w:tcW w:w="8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91"/>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r>
      <w:tr>
        <w:trPr>
          <w:trHeight w:val="20"/>
        </w:trPr>
        <w:tc>
          <w:tcPr>
            <w:tcW w:w="8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188"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There were no material changes to our critical accounting policies and estimates as of and for the three months ended March 31, 2020, as compared to the critical accounting policies and estimates described in our Annual Report on Form 10-K filed with the SEC on February 26, 2020 (the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See Note 1 of the notes to condensed consolidated financial statements included in Part I, Item 1 of this Quarterly Report on Form 10-Q for information regarding recent accounting pronouncements.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and March 31, 2019</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gridSpan w:val="6"/>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3"/>
        </w:trPr>
        <w:tc>
          <w:tcPr>
            <w:tcW w:w="3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9"/>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jc w:val="center"/>
              <w:ind w:left="633"/>
              <w:spacing w:after="0"/>
              <w:rPr>
                <w:sz w:val="20"/>
                <w:szCs w:val="20"/>
                <w:color w:val="auto"/>
              </w:rPr>
            </w:pPr>
            <w:r>
              <w:rPr>
                <w:rFonts w:ascii="Arial" w:cs="Arial" w:eastAsia="Arial" w:hAnsi="Arial"/>
                <w:sz w:val="16"/>
                <w:szCs w:val="16"/>
                <w:b w:val="1"/>
                <w:bCs w:val="1"/>
                <w:color w:val="auto"/>
                <w:w w:val="94"/>
              </w:rPr>
              <w:t>March 31,</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center"/>
              <w:ind w:left="693"/>
              <w:spacing w:after="0"/>
              <w:rPr>
                <w:sz w:val="20"/>
                <w:szCs w:val="20"/>
                <w:color w:val="auto"/>
              </w:rPr>
            </w:pPr>
            <w:r>
              <w:rPr>
                <w:rFonts w:ascii="Arial" w:cs="Arial" w:eastAsia="Arial" w:hAnsi="Arial"/>
                <w:sz w:val="16"/>
                <w:szCs w:val="16"/>
                <w:b w:val="1"/>
                <w:bCs w:val="1"/>
                <w:color w:val="auto"/>
                <w:w w:val="97"/>
              </w:rPr>
              <w:t>March 31,</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0"/>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2020</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center"/>
              <w:ind w:left="733"/>
              <w:spacing w:after="0"/>
              <w:rPr>
                <w:sz w:val="20"/>
                <w:szCs w:val="20"/>
                <w:color w:val="auto"/>
              </w:rPr>
            </w:pPr>
            <w:r>
              <w:rPr>
                <w:rFonts w:ascii="Arial" w:cs="Arial" w:eastAsia="Arial" w:hAnsi="Arial"/>
                <w:sz w:val="16"/>
                <w:szCs w:val="16"/>
                <w:b w:val="1"/>
                <w:bCs w:val="1"/>
                <w:color w:val="auto"/>
                <w:w w:val="89"/>
              </w:rPr>
              <w:t>2019</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3"/>
        </w:trPr>
        <w:tc>
          <w:tcPr>
            <w:tcW w:w="3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9"/>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0"/>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0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9"/>
              </w:rPr>
              <w:t>Revenue</w:t>
            </w:r>
          </w:p>
        </w:tc>
        <w:tc>
          <w:tcPr>
            <w:tcW w:w="160" w:type="dxa"/>
            <w:vAlign w:val="bottom"/>
          </w:tcPr>
          <w:p>
            <w:pPr>
              <w:spacing w:after="0"/>
              <w:rPr>
                <w:sz w:val="18"/>
                <w:szCs w:val="18"/>
                <w:color w:val="auto"/>
              </w:rPr>
            </w:pPr>
          </w:p>
        </w:tc>
        <w:tc>
          <w:tcPr>
            <w:tcW w:w="1500" w:type="dxa"/>
            <w:vAlign w:val="bottom"/>
            <w:gridSpan w:val="3"/>
          </w:tcPr>
          <w:p>
            <w:pPr>
              <w:ind w:left="160"/>
              <w:spacing w:after="0"/>
              <w:rPr>
                <w:sz w:val="20"/>
                <w:szCs w:val="20"/>
                <w:color w:val="auto"/>
              </w:rPr>
            </w:pPr>
            <w:r>
              <w:rPr>
                <w:rFonts w:ascii="Arial" w:cs="Arial" w:eastAsia="Arial" w:hAnsi="Arial"/>
                <w:sz w:val="16"/>
                <w:szCs w:val="16"/>
                <w:b w:val="1"/>
                <w:bCs w:val="1"/>
                <w:color w:val="auto"/>
              </w:rPr>
              <w:t>Amount</w:t>
            </w:r>
          </w:p>
        </w:tc>
        <w:tc>
          <w:tcPr>
            <w:tcW w:w="10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980" w:type="dxa"/>
            <w:vAlign w:val="bottom"/>
          </w:tcPr>
          <w:p>
            <w:pPr>
              <w:jc w:val="right"/>
              <w:ind w:right="251"/>
              <w:spacing w:after="0"/>
              <w:rPr>
                <w:sz w:val="20"/>
                <w:szCs w:val="20"/>
                <w:color w:val="auto"/>
              </w:rPr>
            </w:pPr>
            <w:r>
              <w:rPr>
                <w:rFonts w:ascii="Arial" w:cs="Arial" w:eastAsia="Arial" w:hAnsi="Arial"/>
                <w:sz w:val="16"/>
                <w:szCs w:val="16"/>
                <w:b w:val="1"/>
                <w:bCs w:val="1"/>
                <w:color w:val="auto"/>
              </w:rPr>
              <w:t>Change</w:t>
            </w:r>
          </w:p>
        </w:tc>
        <w:tc>
          <w:tcPr>
            <w:tcW w:w="1400" w:type="dxa"/>
            <w:vAlign w:val="bottom"/>
          </w:tcPr>
          <w:p>
            <w:pPr>
              <w:ind w:left="38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8"/>
              </w:rPr>
              <w:t>(in millions, except percentages)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3"/>
        </w:trPr>
        <w:tc>
          <w:tcPr>
            <w:tcW w:w="3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3160" w:type="dxa"/>
            <w:vAlign w:val="bottom"/>
          </w:tcPr>
          <w:p>
            <w:pPr>
              <w:ind w:left="50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192.3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29.6</w:t>
            </w:r>
          </w:p>
        </w:tc>
        <w:tc>
          <w:tcPr>
            <w:tcW w:w="1400" w:type="dxa"/>
            <w:vAlign w:val="bottom"/>
          </w:tcPr>
          <w:p>
            <w:pPr>
              <w:ind w:left="1040"/>
              <w:spacing w:after="0"/>
              <w:rPr>
                <w:sz w:val="20"/>
                <w:szCs w:val="20"/>
                <w:color w:val="auto"/>
              </w:rPr>
            </w:pPr>
            <w:r>
              <w:rPr>
                <w:rFonts w:ascii="Arial" w:cs="Arial" w:eastAsia="Arial" w:hAnsi="Arial"/>
                <w:sz w:val="18"/>
                <w:szCs w:val="18"/>
                <w:color w:val="auto"/>
                <w:w w:val="94"/>
              </w:rPr>
              <w:t>18%</w:t>
            </w:r>
          </w:p>
        </w:tc>
      </w:tr>
      <w:tr>
        <w:trPr>
          <w:trHeight w:val="27"/>
        </w:trPr>
        <w:tc>
          <w:tcPr>
            <w:tcW w:w="3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74.7</w:t>
            </w:r>
          </w:p>
        </w:tc>
        <w:tc>
          <w:tcPr>
            <w:tcW w:w="14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24</w:t>
            </w:r>
          </w:p>
        </w:tc>
      </w:tr>
      <w:tr>
        <w:trPr>
          <w:trHeight w:val="297"/>
        </w:trPr>
        <w:tc>
          <w:tcPr>
            <w:tcW w:w="3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576.9</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472.6</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104.3</w:t>
            </w:r>
          </w:p>
        </w:tc>
        <w:tc>
          <w:tcPr>
            <w:tcW w:w="1400" w:type="dxa"/>
            <w:vAlign w:val="bottom"/>
            <w:tcBorders>
              <w:bottom w:val="single" w:sz="8" w:color="CCEEFF"/>
            </w:tcBorders>
          </w:tcPr>
          <w:p>
            <w:pPr>
              <w:ind w:left="1040"/>
              <w:spacing w:after="0"/>
              <w:rPr>
                <w:sz w:val="20"/>
                <w:szCs w:val="20"/>
                <w:color w:val="auto"/>
              </w:rPr>
            </w:pPr>
            <w:r>
              <w:rPr>
                <w:rFonts w:ascii="Arial" w:cs="Arial" w:eastAsia="Arial" w:hAnsi="Arial"/>
                <w:sz w:val="18"/>
                <w:szCs w:val="18"/>
                <w:color w:val="auto"/>
                <w:w w:val="94"/>
              </w:rPr>
              <w:t>22%</w:t>
            </w: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3160" w:type="dxa"/>
            <w:vAlign w:val="bottom"/>
          </w:tcPr>
          <w:p>
            <w:pPr>
              <w:ind w:left="50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242.2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41.7</w:t>
            </w:r>
          </w:p>
        </w:tc>
        <w:tc>
          <w:tcPr>
            <w:tcW w:w="1400" w:type="dxa"/>
            <w:vAlign w:val="bottom"/>
          </w:tcPr>
          <w:p>
            <w:pPr>
              <w:ind w:left="1040"/>
              <w:spacing w:after="0"/>
              <w:rPr>
                <w:sz w:val="20"/>
                <w:szCs w:val="20"/>
                <w:color w:val="auto"/>
              </w:rPr>
            </w:pPr>
            <w:r>
              <w:rPr>
                <w:rFonts w:ascii="Arial" w:cs="Arial" w:eastAsia="Arial" w:hAnsi="Arial"/>
                <w:sz w:val="18"/>
                <w:szCs w:val="18"/>
                <w:color w:val="auto"/>
                <w:w w:val="94"/>
              </w:rPr>
              <w:t>21%</w:t>
            </w:r>
          </w:p>
        </w:tc>
      </w:tr>
      <w:tr>
        <w:trPr>
          <w:trHeight w:val="27"/>
        </w:trPr>
        <w:tc>
          <w:tcPr>
            <w:tcW w:w="3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3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Europe, Middle East and Africa</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3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w:t>
            </w:r>
          </w:p>
        </w:tc>
        <w:tc>
          <w:tcPr>
            <w:tcW w:w="14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25</w:t>
            </w:r>
          </w:p>
        </w:tc>
      </w:tr>
      <w:tr>
        <w:trPr>
          <w:trHeight w:val="243"/>
        </w:trPr>
        <w:tc>
          <w:tcPr>
            <w:tcW w:w="3160" w:type="dxa"/>
            <w:vAlign w:val="bottom"/>
          </w:tcPr>
          <w:p>
            <w:pPr>
              <w:ind w:left="500"/>
              <w:spacing w:after="0"/>
              <w:rPr>
                <w:sz w:val="20"/>
                <w:szCs w:val="20"/>
                <w:color w:val="auto"/>
              </w:rPr>
            </w:pPr>
            <w:r>
              <w:rPr>
                <w:rFonts w:ascii="Arial" w:cs="Arial" w:eastAsia="Arial" w:hAnsi="Arial"/>
                <w:sz w:val="18"/>
                <w:szCs w:val="18"/>
                <w:color w:val="auto"/>
              </w:rPr>
              <w:t>Asia Pacific (“APAC”)</w:t>
            </w:r>
          </w:p>
        </w:tc>
        <w:tc>
          <w:tcPr>
            <w:tcW w:w="2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19.1</w:t>
            </w:r>
          </w:p>
        </w:tc>
        <w:tc>
          <w:tcPr>
            <w:tcW w:w="1400" w:type="dxa"/>
            <w:vAlign w:val="bottom"/>
          </w:tcPr>
          <w:p>
            <w:pPr>
              <w:ind w:left="1040"/>
              <w:spacing w:after="0"/>
              <w:rPr>
                <w:sz w:val="20"/>
                <w:szCs w:val="20"/>
                <w:color w:val="auto"/>
              </w:rPr>
            </w:pPr>
            <w:r>
              <w:rPr>
                <w:rFonts w:ascii="Arial" w:cs="Arial" w:eastAsia="Arial" w:hAnsi="Arial"/>
                <w:sz w:val="18"/>
                <w:szCs w:val="18"/>
                <w:color w:val="auto"/>
              </w:rPr>
              <w:t>20</w:t>
            </w:r>
          </w:p>
        </w:tc>
      </w:tr>
      <w:tr>
        <w:trPr>
          <w:trHeight w:val="27"/>
        </w:trPr>
        <w:tc>
          <w:tcPr>
            <w:tcW w:w="3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472.6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104.3</w:t>
            </w:r>
          </w:p>
        </w:tc>
        <w:tc>
          <w:tcPr>
            <w:tcW w:w="14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w w:val="94"/>
              </w:rPr>
              <w:t>22%</w:t>
            </w:r>
          </w:p>
        </w:tc>
      </w:tr>
      <w:tr>
        <w:trPr>
          <w:trHeight w:val="20"/>
        </w:trPr>
        <w:tc>
          <w:tcPr>
            <w:tcW w:w="3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Total revenue increased by $104.3 million, or 22%, during the three months ended March 31, 2020 compared to the same period last year. We continued to experience diversification of revenue globally and across both customer and industry segments. Revenue from all regions grew, with EMEA contributing the largest portion of our revenue growth on a percentage basis and on an absolute dollar basis.</w:t>
      </w:r>
    </w:p>
    <w:p>
      <w:pPr>
        <w:spacing w:after="0" w:line="184"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Product revenue increased by $29.6 million, or 18%, during the three months ended March 31, 2020 compared to the same period last year. We experienced revenue growth across many of our hardware and software products due to an increase in product revenue from our FortiGate solutions, including SD-WAN, growth in sales of our Infrastructure Security solutions and teleworker and remote security solutions.</w:t>
      </w:r>
    </w:p>
    <w:p>
      <w:pPr>
        <w:spacing w:after="0" w:line="16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Service revenue increased by $74.7 million, or 24%, during the three months ended March 31, 2020 compared to the same period last year. FortiGuard security subscription and FortiCare technical support and other revenues increased by $41.8 million, or 25%, and by $32.9 million, or 23%, respectively, during the three months ended March 31, 2020 compared to the same period last year. The increases were primarily due to the recognition of revenue from our growing deferred revenue balance related to FortiGuard and other security subscriptions and FortiCare technical support, including our customers moving to higher-tier support offerings. Of the service revenue recognized during the three months ended March 31, 2020, 91% was included in the deferred revenue balance as of December 31, 2019.</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80" w:type="dxa"/>
            <w:vAlign w:val="bottom"/>
            <w:gridSpan w:val="5"/>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09"/>
        </w:trPr>
        <w:tc>
          <w:tcPr>
            <w:tcW w:w="3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2"/>
          </w:tcPr>
          <w:p>
            <w:pPr>
              <w:ind w:left="220"/>
              <w:spacing w:after="0"/>
              <w:rPr>
                <w:sz w:val="20"/>
                <w:szCs w:val="20"/>
                <w:color w:val="auto"/>
              </w:rPr>
            </w:pPr>
            <w:r>
              <w:rPr>
                <w:rFonts w:ascii="Arial" w:cs="Arial" w:eastAsia="Arial" w:hAnsi="Arial"/>
                <w:sz w:val="16"/>
                <w:szCs w:val="16"/>
                <w:b w:val="1"/>
                <w:bCs w:val="1"/>
                <w:color w:val="auto"/>
              </w:rPr>
              <w:t>March 31,</w:t>
            </w:r>
          </w:p>
        </w:tc>
        <w:tc>
          <w:tcPr>
            <w:tcW w:w="340" w:type="dxa"/>
            <w:vAlign w:val="bottom"/>
          </w:tcPr>
          <w:p>
            <w:pPr>
              <w:spacing w:after="0"/>
              <w:rPr>
                <w:sz w:val="18"/>
                <w:szCs w:val="18"/>
                <w:color w:val="auto"/>
              </w:rPr>
            </w:pPr>
          </w:p>
        </w:tc>
        <w:tc>
          <w:tcPr>
            <w:tcW w:w="1620" w:type="dxa"/>
            <w:vAlign w:val="bottom"/>
            <w:gridSpan w:val="2"/>
          </w:tcPr>
          <w:p>
            <w:pPr>
              <w:ind w:left="220"/>
              <w:spacing w:after="0"/>
              <w:rPr>
                <w:sz w:val="20"/>
                <w:szCs w:val="20"/>
                <w:color w:val="auto"/>
              </w:rPr>
            </w:pPr>
            <w:r>
              <w:rPr>
                <w:rFonts w:ascii="Arial" w:cs="Arial" w:eastAsia="Arial" w:hAnsi="Arial"/>
                <w:sz w:val="16"/>
                <w:szCs w:val="16"/>
                <w:b w:val="1"/>
                <w:bCs w:val="1"/>
                <w:color w:val="auto"/>
              </w:rPr>
              <w:t>March 31,</w:t>
            </w: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0"/>
        </w:trPr>
        <w:tc>
          <w:tcPr>
            <w:tcW w:w="3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jc w:val="right"/>
              <w:ind w:right="67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ind w:left="44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ind w:right="532"/>
              <w:spacing w:after="0"/>
              <w:rPr>
                <w:sz w:val="20"/>
                <w:szCs w:val="20"/>
                <w:color w:val="auto"/>
              </w:rPr>
            </w:pPr>
            <w:r>
              <w:rPr>
                <w:rFonts w:ascii="Arial" w:cs="Arial" w:eastAsia="Arial" w:hAnsi="Arial"/>
                <w:sz w:val="16"/>
                <w:szCs w:val="16"/>
                <w:b w:val="1"/>
                <w:bCs w:val="1"/>
                <w:color w:val="auto"/>
              </w:rPr>
              <w:t>Change</w:t>
            </w:r>
          </w:p>
        </w:tc>
        <w:tc>
          <w:tcPr>
            <w:tcW w:w="1940" w:type="dxa"/>
            <w:vAlign w:val="bottom"/>
          </w:tcPr>
          <w:p>
            <w:pPr>
              <w:jc w:val="right"/>
              <w:ind w:right="47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4"/>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7"/>
        </w:trPr>
        <w:tc>
          <w:tcPr>
            <w:tcW w:w="3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0" w:type="dxa"/>
            <w:vAlign w:val="bottom"/>
            <w:gridSpan w:val="4"/>
          </w:tcPr>
          <w:p>
            <w:pPr>
              <w:ind w:left="440"/>
              <w:spacing w:after="0"/>
              <w:rPr>
                <w:sz w:val="20"/>
                <w:szCs w:val="20"/>
                <w:color w:val="auto"/>
              </w:rPr>
            </w:pPr>
            <w:r>
              <w:rPr>
                <w:rFonts w:ascii="Arial" w:cs="Arial" w:eastAsia="Arial" w:hAnsi="Arial"/>
                <w:sz w:val="16"/>
                <w:szCs w:val="16"/>
                <w:b w:val="1"/>
                <w:bCs w:val="1"/>
                <w:color w:val="auto"/>
              </w:rPr>
              <w:t>(in millions, except percentages)</w:t>
            </w:r>
          </w:p>
        </w:tc>
        <w:tc>
          <w:tcPr>
            <w:tcW w:w="194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jc w:val="center"/>
              <w:ind w:right="1970"/>
              <w:spacing w:after="0"/>
              <w:rPr>
                <w:sz w:val="20"/>
                <w:szCs w:val="20"/>
                <w:color w:val="auto"/>
              </w:rPr>
            </w:pPr>
            <w:r>
              <w:rPr>
                <w:rFonts w:ascii="Arial" w:cs="Arial" w:eastAsia="Arial" w:hAnsi="Arial"/>
                <w:sz w:val="18"/>
                <w:szCs w:val="18"/>
                <w:color w:val="auto"/>
                <w:w w:val="90"/>
              </w:rPr>
              <w:t>Product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93"/>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93"/>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6.1</w:t>
            </w:r>
          </w:p>
        </w:tc>
        <w:tc>
          <w:tcPr>
            <w:tcW w:w="1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3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jc w:val="center"/>
              <w:ind w:right="1990"/>
              <w:spacing w:after="0"/>
              <w:rPr>
                <w:sz w:val="20"/>
                <w:szCs w:val="20"/>
                <w:color w:val="auto"/>
              </w:rPr>
            </w:pPr>
            <w:r>
              <w:rPr>
                <w:rFonts w:ascii="Arial" w:cs="Arial" w:eastAsia="Arial" w:hAnsi="Arial"/>
                <w:sz w:val="18"/>
                <w:szCs w:val="18"/>
                <w:color w:val="auto"/>
                <w:w w:val="89"/>
              </w:rPr>
              <w:t>Service</w:t>
            </w: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w:t>
            </w:r>
          </w:p>
        </w:tc>
        <w:tc>
          <w:tcPr>
            <w:tcW w:w="1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w:t>
            </w:r>
          </w:p>
        </w:tc>
      </w:tr>
      <w:tr>
        <w:trPr>
          <w:trHeight w:val="297"/>
        </w:trPr>
        <w:tc>
          <w:tcPr>
            <w:tcW w:w="3620" w:type="dxa"/>
            <w:vAlign w:val="bottom"/>
            <w:tcBorders>
              <w:bottom w:val="single" w:sz="8" w:color="CCEEFF"/>
            </w:tcBorders>
          </w:tcPr>
          <w:p>
            <w:pPr>
              <w:jc w:val="center"/>
              <w:ind w:right="1950"/>
              <w:spacing w:after="0"/>
              <w:rPr>
                <w:sz w:val="20"/>
                <w:szCs w:val="20"/>
                <w:color w:val="auto"/>
              </w:rPr>
            </w:pPr>
            <w:r>
              <w:rPr>
                <w:rFonts w:ascii="Arial" w:cs="Arial" w:eastAsia="Arial" w:hAnsi="Arial"/>
                <w:sz w:val="18"/>
                <w:szCs w:val="18"/>
                <w:color w:val="auto"/>
                <w:w w:val="89"/>
              </w:rPr>
              <w:t>Total cost of revenue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15.7</w:t>
            </w:r>
          </w:p>
        </w:tc>
        <w:tc>
          <w:tcPr>
            <w:tcW w:w="1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3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r>
      <w:tr>
        <w:trPr>
          <w:trHeight w:val="243"/>
        </w:trPr>
        <w:tc>
          <w:tcPr>
            <w:tcW w:w="3620" w:type="dxa"/>
            <w:vAlign w:val="bottom"/>
          </w:tcPr>
          <w:p>
            <w:pPr>
              <w:jc w:val="center"/>
              <w:ind w:right="1970"/>
              <w:spacing w:after="0"/>
              <w:rPr>
                <w:sz w:val="20"/>
                <w:szCs w:val="20"/>
                <w:color w:val="auto"/>
              </w:rPr>
            </w:pPr>
            <w:r>
              <w:rPr>
                <w:rFonts w:ascii="Arial" w:cs="Arial" w:eastAsia="Arial" w:hAnsi="Arial"/>
                <w:sz w:val="18"/>
                <w:szCs w:val="18"/>
                <w:color w:val="auto"/>
                <w:w w:val="90"/>
              </w:rPr>
              <w:t>Product</w:t>
            </w: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7"/>
        </w:trPr>
        <w:tc>
          <w:tcPr>
            <w:tcW w:w="3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jc w:val="center"/>
              <w:ind w:right="1990"/>
              <w:spacing w:after="0"/>
              <w:rPr>
                <w:sz w:val="20"/>
                <w:szCs w:val="20"/>
                <w:color w:val="auto"/>
              </w:rPr>
            </w:pPr>
            <w:r>
              <w:rPr>
                <w:rFonts w:ascii="Arial" w:cs="Arial" w:eastAsia="Arial" w:hAnsi="Arial"/>
                <w:sz w:val="18"/>
                <w:szCs w:val="18"/>
                <w:color w:val="auto"/>
                <w:w w:val="89"/>
              </w:rPr>
              <w:t>Service</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40" w:type="dxa"/>
            <w:vAlign w:val="bottom"/>
          </w:tcPr>
          <w:p>
            <w:pPr>
              <w:spacing w:after="0"/>
              <w:rPr>
                <w:sz w:val="21"/>
                <w:szCs w:val="21"/>
                <w:color w:val="auto"/>
              </w:rPr>
            </w:pPr>
          </w:p>
        </w:tc>
      </w:tr>
    </w:tbl>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Total gross margin increased by 1.6 percentage points during the three months ended March 31, 2020 compared to the same period last year, driven by improvements to both product and service gross margins.</w:t>
      </w:r>
    </w:p>
    <w:p>
      <w:pPr>
        <w:spacing w:after="0" w:line="170" w:lineRule="exact"/>
        <w:rPr>
          <w:sz w:val="20"/>
          <w:szCs w:val="20"/>
          <w:color w:val="auto"/>
        </w:rPr>
      </w:pPr>
    </w:p>
    <w:p>
      <w:pPr>
        <w:jc w:val="both"/>
        <w:ind w:right="280" w:firstLine="648"/>
        <w:spacing w:after="0" w:line="286" w:lineRule="auto"/>
        <w:rPr>
          <w:sz w:val="20"/>
          <w:szCs w:val="20"/>
          <w:color w:val="auto"/>
        </w:rPr>
      </w:pPr>
      <w:r>
        <w:rPr>
          <w:rFonts w:ascii="Arial" w:cs="Arial" w:eastAsia="Arial" w:hAnsi="Arial"/>
          <w:sz w:val="17"/>
          <w:szCs w:val="17"/>
          <w:color w:val="auto"/>
        </w:rPr>
        <w:t>Product gross margin increased by 3.4 percentage points during the three months ended March 31, 2020 compared to the same period last year. Product gross margin benefited from increased software sales and lower indirect costs of hardware as a percentage of product revenue. Cost of product revenue was comprised primarily of third party contract manufacturers’ costs and the costs of materials used in production.</w:t>
      </w:r>
    </w:p>
    <w:p>
      <w:pPr>
        <w:spacing w:after="0" w:line="16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Service gross margin increased by 0.2 percentage points during the three months ended March 31, 2020 compared to the same period last year, as our service revenue growth outpaced our growth in related personnel costs. Cost of service revenue was comprised primarily of personnel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gridSpan w:val="6"/>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center"/>
              <w:ind w:left="593"/>
              <w:spacing w:after="0"/>
              <w:rPr>
                <w:sz w:val="20"/>
                <w:szCs w:val="20"/>
                <w:color w:val="auto"/>
              </w:rPr>
            </w:pPr>
            <w:r>
              <w:rPr>
                <w:rFonts w:ascii="Arial" w:cs="Arial" w:eastAsia="Arial" w:hAnsi="Arial"/>
                <w:sz w:val="16"/>
                <w:szCs w:val="16"/>
                <w:b w:val="1"/>
                <w:bCs w:val="1"/>
                <w:color w:val="auto"/>
                <w:w w:val="94"/>
              </w:rPr>
              <w:t>March 31,</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center"/>
              <w:ind w:left="654"/>
              <w:spacing w:after="0"/>
              <w:rPr>
                <w:sz w:val="20"/>
                <w:szCs w:val="20"/>
                <w:color w:val="auto"/>
              </w:rPr>
            </w:pPr>
            <w:r>
              <w:rPr>
                <w:rFonts w:ascii="Arial" w:cs="Arial" w:eastAsia="Arial" w:hAnsi="Arial"/>
                <w:sz w:val="16"/>
                <w:szCs w:val="16"/>
                <w:b w:val="1"/>
                <w:bCs w:val="1"/>
                <w:color w:val="auto"/>
                <w:w w:val="97"/>
              </w:rPr>
              <w:t>March 31,</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2020</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2019</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0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Revenue</w:t>
            </w:r>
          </w:p>
        </w:tc>
        <w:tc>
          <w:tcPr>
            <w:tcW w:w="200" w:type="dxa"/>
            <w:vAlign w:val="bottom"/>
          </w:tcPr>
          <w:p>
            <w:pPr>
              <w:spacing w:after="0"/>
              <w:rPr>
                <w:sz w:val="18"/>
                <w:szCs w:val="18"/>
                <w:color w:val="auto"/>
              </w:rPr>
            </w:pPr>
          </w:p>
        </w:tc>
        <w:tc>
          <w:tcPr>
            <w:tcW w:w="146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6"/>
              </w:rPr>
              <w:t>Revenue</w:t>
            </w:r>
          </w:p>
        </w:tc>
        <w:tc>
          <w:tcPr>
            <w:tcW w:w="220" w:type="dxa"/>
            <w:vAlign w:val="bottom"/>
          </w:tcPr>
          <w:p>
            <w:pPr>
              <w:spacing w:after="0"/>
              <w:rPr>
                <w:sz w:val="18"/>
                <w:szCs w:val="18"/>
                <w:color w:val="auto"/>
              </w:rPr>
            </w:pPr>
          </w:p>
        </w:tc>
        <w:tc>
          <w:tcPr>
            <w:tcW w:w="1000" w:type="dxa"/>
            <w:vAlign w:val="bottom"/>
          </w:tcPr>
          <w:p>
            <w:pPr>
              <w:jc w:val="right"/>
              <w:ind w:right="252"/>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jc w:val="right"/>
              <w:ind w:right="19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5"/>
          </w:tcPr>
          <w:p>
            <w:pPr>
              <w:ind w:left="80"/>
              <w:spacing w:after="0"/>
              <w:rPr>
                <w:sz w:val="20"/>
                <w:szCs w:val="20"/>
                <w:color w:val="auto"/>
              </w:rPr>
            </w:pPr>
            <w:r>
              <w:rPr>
                <w:rFonts w:ascii="Arial" w:cs="Arial" w:eastAsia="Arial" w:hAnsi="Arial"/>
                <w:sz w:val="16"/>
                <w:szCs w:val="16"/>
                <w:b w:val="1"/>
                <w:bCs w:val="1"/>
                <w:color w:val="auto"/>
                <w:w w:val="98"/>
              </w:rPr>
              <w:t>(in millions, except percentages)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center"/>
              <w:ind w:right="213"/>
              <w:spacing w:after="0"/>
              <w:rPr>
                <w:sz w:val="20"/>
                <w:szCs w:val="20"/>
                <w:color w:val="auto"/>
              </w:rPr>
            </w:pPr>
            <w:r>
              <w:rPr>
                <w:rFonts w:ascii="Arial" w:cs="Arial" w:eastAsia="Arial" w:hAnsi="Arial"/>
                <w:sz w:val="18"/>
                <w:szCs w:val="18"/>
                <w:color w:val="auto"/>
                <w:w w:val="88"/>
              </w:rPr>
              <w:t>14%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11.7</w:t>
            </w:r>
          </w:p>
        </w:tc>
        <w:tc>
          <w:tcPr>
            <w:tcW w:w="1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right="233"/>
              <w:spacing w:after="0"/>
              <w:rPr>
                <w:sz w:val="20"/>
                <w:szCs w:val="20"/>
                <w:color w:val="auto"/>
              </w:rPr>
            </w:pPr>
            <w:r>
              <w:rPr>
                <w:rFonts w:ascii="Arial" w:cs="Arial" w:eastAsia="Arial" w:hAnsi="Arial"/>
                <w:sz w:val="18"/>
                <w:szCs w:val="18"/>
                <w:color w:val="auto"/>
                <w:w w:val="89"/>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44.1</w:t>
            </w: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w:t>
            </w: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center"/>
              <w:ind w:right="213"/>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18</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Gain on IP matter</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ind w:right="213"/>
              <w:spacing w:after="0"/>
              <w:rPr>
                <w:sz w:val="20"/>
                <w:szCs w:val="20"/>
                <w:color w:val="auto"/>
              </w:rPr>
            </w:pPr>
            <w:r>
              <w:rPr>
                <w:rFonts w:ascii="Arial" w:cs="Arial" w:eastAsia="Arial" w:hAnsi="Arial"/>
                <w:sz w:val="18"/>
                <w:szCs w:val="18"/>
                <w:color w:val="auto"/>
                <w:w w:val="90"/>
              </w:rPr>
              <w:t>(6)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57"/>
        </w:trPr>
        <w:tc>
          <w:tcPr>
            <w:tcW w:w="32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332.3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center"/>
              <w:ind w:right="213"/>
              <w:spacing w:after="0"/>
              <w:rPr>
                <w:sz w:val="20"/>
                <w:szCs w:val="20"/>
                <w:color w:val="auto"/>
              </w:rPr>
            </w:pPr>
            <w:r>
              <w:rPr>
                <w:rFonts w:ascii="Arial" w:cs="Arial" w:eastAsia="Arial" w:hAnsi="Arial"/>
                <w:sz w:val="18"/>
                <w:szCs w:val="18"/>
                <w:color w:val="auto"/>
                <w:w w:val="88"/>
              </w:rPr>
              <w:t>58%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309.0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23.3</w:t>
            </w:r>
          </w:p>
        </w:tc>
        <w:tc>
          <w:tcPr>
            <w:tcW w:w="1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3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Percentages have been rounded for presentation purposes and may differ from unrounded results.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 Not meaningful</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280" w:firstLine="648"/>
        <w:spacing w:after="0" w:line="301" w:lineRule="auto"/>
        <w:rPr>
          <w:sz w:val="20"/>
          <w:szCs w:val="20"/>
          <w:color w:val="auto"/>
        </w:rPr>
      </w:pPr>
      <w:r>
        <w:rPr>
          <w:rFonts w:ascii="Arial" w:cs="Arial" w:eastAsia="Arial" w:hAnsi="Arial"/>
          <w:sz w:val="16"/>
          <w:szCs w:val="16"/>
          <w:color w:val="auto"/>
        </w:rPr>
        <w:t>Research and development expense increased by $11.7 million, or 17%, during the three months ended March 31, 2020 compared to the same period last year, primarily due to an increase of $11.6 million in personnel-related costs as a result of increased headcount to support the development of new products, continued enhancements to our existing products and patent creation. We currently intend to continue to invest in our research and development organization, and expect research and development expense to remain at or increase in absolute dollars during the remainder of 2020.</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Sales and marketing expense increased by $44.1 million, or 20%, during the three months ended March 31, 2020 compared to the same period last year, primarily due to an increase of $37.9 million in personnel-related costs as a result of increases to sales and marketing headcount in order to drive global market share gains. This increase was offset by savings related to decreased travel in the first quarter of 2020 as a response to the COVID-19 pandemic. We currently intend to continue to make investments in our sales resources and infrastructure and marketing strategy, which are critical to support our future growth, and expect sales and marketing expense to remain at or increase in absolute dollars during the remainder of 2020.</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General and administrative expense increased by $4.3 million, or 18%, during the three months ended March 31, 2020 compared to the same period last year, primarily due to an increase in personnel-related costs of $2.4 million and an increase in professional services costs of $1.2 million. We currently expect general and administrative expense to remain at or increase in absolute dollars during the remainder of 2020.</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Gain on IP matter</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January 2020, we entered into an agreement with a competitor in the network security industry, whereby, in February 2020, the competitor party paid us a lump sum of $50.0 million for a seven-year mutual covenant-not-to-sue for patent claims. Pursuant to this agreement, at the end of this first seven-year period, either party may extend the agreement for an additional seven-year mutual covenant-not-to-sue in return for this competitor paying us an additional $50.0 million. We determined the agreement to be a 14-year contract with a total transaction price of $100.0 million. During the three months ended March 31, 2020, we recorded $36.0 million upfront and an additional $0.8 million in amortization of the deferred component as a gain on IP matter in our condensed consolidated statements of income. See Note 10 of the notes to condensed consolidated financial statements included in Part I, Item 1 of this Quarterly Report on Form 10-Q for additional information regarding the gain on IP matter.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income and margin</w:t>
      </w:r>
    </w:p>
    <w:p>
      <w:pPr>
        <w:spacing w:after="0" w:line="225"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We generated operating income of $115.9 million during the three months ended March 31, 2020, an increase of $65.3 million, or 129%, compared to $50.6 million in the same period last year. Operating income as a percentage of revenue increased to 20% during the three months ended March 31, 2020 compared to 11% in the same period last year. The increase in operating margin is primarily due to the $36.8 million gain on IP matter, combined with the improvement in gross margin of 1.6 percentage points.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w:t>
      </w:r>
      <w:r>
        <w:rPr>
          <w:rFonts w:ascii="Arial" w:cs="Arial" w:eastAsia="Arial" w:hAnsi="Arial"/>
          <w:sz w:val="18"/>
          <w:szCs w:val="18"/>
          <w:b w:val="1"/>
          <w:bCs w:val="1"/>
          <w:i w:val="1"/>
          <w:iCs w:val="1"/>
          <w:color w:val="auto"/>
        </w:rPr>
        <w:t>net and other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60" w:type="dxa"/>
            <w:vAlign w:val="bottom"/>
            <w:gridSpan w:val="3"/>
          </w:tcPr>
          <w:p>
            <w:pPr>
              <w:jc w:val="right"/>
              <w:ind w:right="995"/>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09"/>
        </w:trPr>
        <w:tc>
          <w:tcPr>
            <w:tcW w:w="3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ind w:right="515"/>
              <w:spacing w:after="0"/>
              <w:rPr>
                <w:sz w:val="20"/>
                <w:szCs w:val="20"/>
                <w:color w:val="auto"/>
              </w:rPr>
            </w:pPr>
            <w:r>
              <w:rPr>
                <w:rFonts w:ascii="Arial" w:cs="Arial" w:eastAsia="Arial" w:hAnsi="Arial"/>
                <w:sz w:val="16"/>
                <w:szCs w:val="16"/>
                <w:b w:val="1"/>
                <w:bCs w:val="1"/>
                <w:color w:val="auto"/>
              </w:rPr>
              <w:t>March 31,</w:t>
            </w:r>
          </w:p>
        </w:tc>
        <w:tc>
          <w:tcPr>
            <w:tcW w:w="380" w:type="dxa"/>
            <w:vAlign w:val="bottom"/>
          </w:tcPr>
          <w:p>
            <w:pPr>
              <w:spacing w:after="0"/>
              <w:rPr>
                <w:sz w:val="18"/>
                <w:szCs w:val="18"/>
                <w:color w:val="auto"/>
              </w:rPr>
            </w:pPr>
          </w:p>
        </w:tc>
        <w:tc>
          <w:tcPr>
            <w:tcW w:w="1460" w:type="dxa"/>
            <w:vAlign w:val="bottom"/>
          </w:tcPr>
          <w:p>
            <w:pPr>
              <w:jc w:val="right"/>
              <w:ind w:right="475"/>
              <w:spacing w:after="0"/>
              <w:rPr>
                <w:sz w:val="20"/>
                <w:szCs w:val="20"/>
                <w:color w:val="auto"/>
              </w:rPr>
            </w:pPr>
            <w:r>
              <w:rPr>
                <w:rFonts w:ascii="Arial" w:cs="Arial" w:eastAsia="Arial" w:hAnsi="Arial"/>
                <w:sz w:val="16"/>
                <w:szCs w:val="16"/>
                <w:b w:val="1"/>
                <w:bCs w:val="1"/>
                <w:color w:val="auto"/>
              </w:rPr>
              <w:t>March 31,</w:t>
            </w:r>
          </w:p>
        </w:tc>
        <w:tc>
          <w:tcPr>
            <w:tcW w:w="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0"/>
        </w:trPr>
        <w:tc>
          <w:tcPr>
            <w:tcW w:w="3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ind w:right="695"/>
              <w:spacing w:after="0"/>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rPr>
                <w:sz w:val="18"/>
                <w:szCs w:val="18"/>
                <w:color w:val="auto"/>
              </w:rPr>
            </w:pPr>
          </w:p>
        </w:tc>
        <w:tc>
          <w:tcPr>
            <w:tcW w:w="1460" w:type="dxa"/>
            <w:vAlign w:val="bottom"/>
          </w:tcPr>
          <w:p>
            <w:pPr>
              <w:jc w:val="right"/>
              <w:ind w:right="635"/>
              <w:spacing w:after="0"/>
              <w:rPr>
                <w:sz w:val="20"/>
                <w:szCs w:val="20"/>
                <w:color w:val="auto"/>
              </w:rPr>
            </w:pPr>
            <w:r>
              <w:rPr>
                <w:rFonts w:ascii="Arial" w:cs="Arial" w:eastAsia="Arial" w:hAnsi="Arial"/>
                <w:sz w:val="16"/>
                <w:szCs w:val="16"/>
                <w:b w:val="1"/>
                <w:bCs w:val="1"/>
                <w:color w:val="auto"/>
              </w:rPr>
              <w:t>2019</w:t>
            </w:r>
          </w:p>
        </w:tc>
        <w:tc>
          <w:tcPr>
            <w:tcW w:w="480" w:type="dxa"/>
            <w:vAlign w:val="bottom"/>
          </w:tcPr>
          <w:p>
            <w:pPr>
              <w:spacing w:after="0"/>
              <w:rPr>
                <w:sz w:val="18"/>
                <w:szCs w:val="18"/>
                <w:color w:val="auto"/>
              </w:rPr>
            </w:pPr>
          </w:p>
        </w:tc>
        <w:tc>
          <w:tcPr>
            <w:tcW w:w="1740" w:type="dxa"/>
            <w:vAlign w:val="bottom"/>
          </w:tcPr>
          <w:p>
            <w:pPr>
              <w:jc w:val="right"/>
              <w:ind w:right="873"/>
              <w:spacing w:after="0"/>
              <w:rPr>
                <w:sz w:val="20"/>
                <w:szCs w:val="20"/>
                <w:color w:val="auto"/>
              </w:rPr>
            </w:pPr>
            <w:r>
              <w:rPr>
                <w:rFonts w:ascii="Arial" w:cs="Arial" w:eastAsia="Arial" w:hAnsi="Arial"/>
                <w:sz w:val="16"/>
                <w:szCs w:val="16"/>
                <w:b w:val="1"/>
                <w:bCs w:val="1"/>
                <w:color w:val="auto"/>
              </w:rPr>
              <w:t>Change</w:t>
            </w:r>
          </w:p>
        </w:tc>
        <w:tc>
          <w:tcPr>
            <w:tcW w:w="1700" w:type="dxa"/>
            <w:vAlign w:val="bottom"/>
          </w:tcPr>
          <w:p>
            <w:pPr>
              <w:jc w:val="right"/>
              <w:ind w:right="51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80" w:type="dxa"/>
            <w:vAlign w:val="bottom"/>
            <w:gridSpan w:val="3"/>
          </w:tcPr>
          <w:p>
            <w:pPr>
              <w:jc w:val="right"/>
              <w:ind w:right="893"/>
              <w:spacing w:after="0"/>
              <w:rPr>
                <w:sz w:val="20"/>
                <w:szCs w:val="20"/>
                <w:color w:val="auto"/>
              </w:rPr>
            </w:pPr>
            <w:r>
              <w:rPr>
                <w:rFonts w:ascii="Arial" w:cs="Arial" w:eastAsia="Arial" w:hAnsi="Arial"/>
                <w:sz w:val="16"/>
                <w:szCs w:val="16"/>
                <w:b w:val="1"/>
                <w:bCs w:val="1"/>
                <w:color w:val="auto"/>
              </w:rPr>
              <w:t>(in millions, except percentages)</w:t>
            </w:r>
          </w:p>
        </w:tc>
        <w:tc>
          <w:tcPr>
            <w:tcW w:w="170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9.2</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10.2</w:t>
            </w:r>
          </w:p>
        </w:tc>
        <w:tc>
          <w:tcPr>
            <w:tcW w:w="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rPr>
              <w:t>(1.0)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 expense—net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(8.0)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(0.5)</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293"/>
              <w:spacing w:after="0"/>
              <w:rPr>
                <w:sz w:val="20"/>
                <w:szCs w:val="20"/>
                <w:color w:val="auto"/>
              </w:rPr>
            </w:pPr>
            <w:r>
              <w:rPr>
                <w:rFonts w:ascii="Arial" w:cs="Arial" w:eastAsia="Arial" w:hAnsi="Arial"/>
                <w:sz w:val="18"/>
                <w:szCs w:val="18"/>
                <w:color w:val="auto"/>
              </w:rPr>
              <w:t>(7.5)</w:t>
            </w:r>
          </w:p>
        </w:tc>
        <w:tc>
          <w:tcPr>
            <w:tcW w:w="1700" w:type="dxa"/>
            <w:vAlign w:val="bottom"/>
          </w:tcPr>
          <w:p>
            <w:pPr>
              <w:jc w:val="right"/>
              <w:spacing w:after="0"/>
              <w:rPr>
                <w:sz w:val="20"/>
                <w:szCs w:val="20"/>
                <w:color w:val="auto"/>
              </w:rPr>
            </w:pPr>
            <w:r>
              <w:rPr>
                <w:rFonts w:ascii="Arial" w:cs="Arial" w:eastAsia="Arial" w:hAnsi="Arial"/>
                <w:sz w:val="18"/>
                <w:szCs w:val="18"/>
                <w:color w:val="auto"/>
              </w:rPr>
              <w:t>1,500 %</w:t>
            </w:r>
          </w:p>
        </w:tc>
      </w:tr>
    </w:tbl>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Interest income—net decreased during the three months ended March 31, 2020 compared to the same period last year, primarily due to lower interest rates and, to a lesser extent, lower invested balances of cash, cash equivalents and investments. The lower cash, cash equivalents and investments were mainly due to our $889.9 million payment for repurchase and retirement of common stock under the Repurchase Program in the three months ended March 31, 2020. Interest income—net varies depending on our average investment balances during the period, types and mix of investments, and market interest rates. The change in other expense—net during the three months ended March 31, 2020 compared to the same period last year was the result of a $4.3 million impairment charge on an investment in a privately held company during the first quarter of 2020. In addition, foreign currency exchange losses increased by $3.1 million compared to the same period last year.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3300" w:type="dxa"/>
            <w:vAlign w:val="bottom"/>
            <w:gridSpan w:val="3"/>
          </w:tcPr>
          <w:p>
            <w:pPr>
              <w:jc w:val="right"/>
              <w:ind w:right="577"/>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09"/>
        </w:trPr>
        <w:tc>
          <w:tcPr>
            <w:tcW w:w="3620" w:type="dxa"/>
            <w:vAlign w:val="bottom"/>
          </w:tcPr>
          <w:p>
            <w:pPr>
              <w:spacing w:after="0"/>
              <w:rPr>
                <w:sz w:val="18"/>
                <w:szCs w:val="18"/>
                <w:color w:val="auto"/>
              </w:rPr>
            </w:pPr>
          </w:p>
        </w:tc>
        <w:tc>
          <w:tcPr>
            <w:tcW w:w="1300" w:type="dxa"/>
            <w:vAlign w:val="bottom"/>
          </w:tcPr>
          <w:p>
            <w:pPr>
              <w:jc w:val="center"/>
              <w:ind w:left="417"/>
              <w:spacing w:after="0"/>
              <w:rPr>
                <w:sz w:val="20"/>
                <w:szCs w:val="20"/>
                <w:color w:val="auto"/>
              </w:rPr>
            </w:pPr>
            <w:r>
              <w:rPr>
                <w:rFonts w:ascii="Arial" w:cs="Arial" w:eastAsia="Arial" w:hAnsi="Arial"/>
                <w:sz w:val="16"/>
                <w:szCs w:val="16"/>
                <w:b w:val="1"/>
                <w:bCs w:val="1"/>
                <w:color w:val="auto"/>
                <w:w w:val="97"/>
              </w:rPr>
              <w:t>March 31,</w:t>
            </w:r>
          </w:p>
        </w:tc>
        <w:tc>
          <w:tcPr>
            <w:tcW w:w="600" w:type="dxa"/>
            <w:vAlign w:val="bottom"/>
          </w:tcPr>
          <w:p>
            <w:pPr>
              <w:spacing w:after="0"/>
              <w:rPr>
                <w:sz w:val="18"/>
                <w:szCs w:val="18"/>
                <w:color w:val="auto"/>
              </w:rPr>
            </w:pPr>
          </w:p>
        </w:tc>
        <w:tc>
          <w:tcPr>
            <w:tcW w:w="1400" w:type="dxa"/>
            <w:vAlign w:val="bottom"/>
          </w:tcPr>
          <w:p>
            <w:pPr>
              <w:ind w:left="600"/>
              <w:spacing w:after="0"/>
              <w:rPr>
                <w:sz w:val="20"/>
                <w:szCs w:val="20"/>
                <w:color w:val="auto"/>
              </w:rPr>
            </w:pPr>
            <w:r>
              <w:rPr>
                <w:rFonts w:ascii="Arial" w:cs="Arial" w:eastAsia="Arial" w:hAnsi="Arial"/>
                <w:sz w:val="16"/>
                <w:szCs w:val="16"/>
                <w:b w:val="1"/>
                <w:bCs w:val="1"/>
                <w:color w:val="auto"/>
              </w:rPr>
              <w:t>March 31,</w:t>
            </w: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0"/>
        </w:trPr>
        <w:tc>
          <w:tcPr>
            <w:tcW w:w="3620" w:type="dxa"/>
            <w:vAlign w:val="bottom"/>
          </w:tcPr>
          <w:p>
            <w:pPr>
              <w:spacing w:after="0"/>
              <w:rPr>
                <w:sz w:val="18"/>
                <w:szCs w:val="18"/>
                <w:color w:val="auto"/>
              </w:rPr>
            </w:pPr>
          </w:p>
        </w:tc>
        <w:tc>
          <w:tcPr>
            <w:tcW w:w="1300" w:type="dxa"/>
            <w:vAlign w:val="bottom"/>
          </w:tcPr>
          <w:p>
            <w:pPr>
              <w:jc w:val="right"/>
              <w:ind w:right="137"/>
              <w:spacing w:after="0"/>
              <w:rPr>
                <w:sz w:val="20"/>
                <w:szCs w:val="20"/>
                <w:color w:val="auto"/>
              </w:rPr>
            </w:pPr>
            <w:r>
              <w:rPr>
                <w:rFonts w:ascii="Arial" w:cs="Arial" w:eastAsia="Arial" w:hAnsi="Arial"/>
                <w:sz w:val="16"/>
                <w:szCs w:val="16"/>
                <w:b w:val="1"/>
                <w:bCs w:val="1"/>
                <w:color w:val="auto"/>
              </w:rPr>
              <w:t>2020</w:t>
            </w:r>
          </w:p>
        </w:tc>
        <w:tc>
          <w:tcPr>
            <w:tcW w:w="600" w:type="dxa"/>
            <w:vAlign w:val="bottom"/>
          </w:tcPr>
          <w:p>
            <w:pPr>
              <w:spacing w:after="0"/>
              <w:rPr>
                <w:sz w:val="18"/>
                <w:szCs w:val="18"/>
                <w:color w:val="auto"/>
              </w:rPr>
            </w:pPr>
          </w:p>
        </w:tc>
        <w:tc>
          <w:tcPr>
            <w:tcW w:w="1400" w:type="dxa"/>
            <w:vAlign w:val="bottom"/>
          </w:tcPr>
          <w:p>
            <w:pPr>
              <w:ind w:left="820"/>
              <w:spacing w:after="0"/>
              <w:rPr>
                <w:sz w:val="20"/>
                <w:szCs w:val="20"/>
                <w:color w:val="auto"/>
              </w:rPr>
            </w:pPr>
            <w:r>
              <w:rPr>
                <w:rFonts w:ascii="Arial" w:cs="Arial" w:eastAsia="Arial" w:hAnsi="Arial"/>
                <w:sz w:val="16"/>
                <w:szCs w:val="16"/>
                <w:b w:val="1"/>
                <w:bCs w:val="1"/>
                <w:color w:val="auto"/>
              </w:rPr>
              <w:t>2019</w:t>
            </w:r>
          </w:p>
        </w:tc>
        <w:tc>
          <w:tcPr>
            <w:tcW w:w="500" w:type="dxa"/>
            <w:vAlign w:val="bottom"/>
          </w:tcPr>
          <w:p>
            <w:pPr>
              <w:spacing w:after="0"/>
              <w:rPr>
                <w:sz w:val="18"/>
                <w:szCs w:val="18"/>
                <w:color w:val="auto"/>
              </w:rPr>
            </w:pPr>
          </w:p>
        </w:tc>
        <w:tc>
          <w:tcPr>
            <w:tcW w:w="1360" w:type="dxa"/>
            <w:vAlign w:val="bottom"/>
          </w:tcPr>
          <w:p>
            <w:pPr>
              <w:jc w:val="right"/>
              <w:ind w:right="15"/>
              <w:spacing w:after="0"/>
              <w:rPr>
                <w:sz w:val="20"/>
                <w:szCs w:val="20"/>
                <w:color w:val="auto"/>
              </w:rPr>
            </w:pPr>
            <w:r>
              <w:rPr>
                <w:rFonts w:ascii="Arial" w:cs="Arial" w:eastAsia="Arial" w:hAnsi="Arial"/>
                <w:sz w:val="16"/>
                <w:szCs w:val="16"/>
                <w:b w:val="1"/>
                <w:bCs w:val="1"/>
                <w:color w:val="auto"/>
              </w:rPr>
              <w:t>Change</w:t>
            </w:r>
          </w:p>
        </w:tc>
        <w:tc>
          <w:tcPr>
            <w:tcW w:w="800" w:type="dxa"/>
            <w:vAlign w:val="bottom"/>
          </w:tcPr>
          <w:p>
            <w:pPr>
              <w:spacing w:after="0"/>
              <w:rPr>
                <w:sz w:val="18"/>
                <w:szCs w:val="18"/>
                <w:color w:val="auto"/>
              </w:rPr>
            </w:pPr>
          </w:p>
        </w:tc>
        <w:tc>
          <w:tcPr>
            <w:tcW w:w="1660" w:type="dxa"/>
            <w:vAlign w:val="bottom"/>
          </w:tcPr>
          <w:p>
            <w:pPr>
              <w:jc w:val="right"/>
              <w:ind w:right="475"/>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7"/>
        </w:trPr>
        <w:tc>
          <w:tcPr>
            <w:tcW w:w="3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60" w:type="dxa"/>
            <w:vAlign w:val="bottom"/>
            <w:gridSpan w:val="3"/>
          </w:tcPr>
          <w:p>
            <w:pPr>
              <w:ind w:left="820"/>
              <w:spacing w:after="0"/>
              <w:rPr>
                <w:sz w:val="20"/>
                <w:szCs w:val="20"/>
                <w:color w:val="auto"/>
              </w:rPr>
            </w:pPr>
            <w:r>
              <w:rPr>
                <w:rFonts w:ascii="Arial" w:cs="Arial" w:eastAsia="Arial" w:hAnsi="Arial"/>
                <w:sz w:val="16"/>
                <w:szCs w:val="16"/>
                <w:b w:val="1"/>
                <w:bCs w:val="1"/>
                <w:color w:val="auto"/>
                <w:w w:val="97"/>
              </w:rPr>
              <w:t>(in millions, except percentages)</w:t>
            </w:r>
          </w:p>
        </w:tc>
        <w:tc>
          <w:tcPr>
            <w:tcW w:w="8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300" w:type="dxa"/>
            <w:vAlign w:val="bottom"/>
            <w:tcBorders>
              <w:bottom w:val="single" w:sz="8" w:color="CCEEFF"/>
            </w:tcBorders>
            <w:shd w:val="clear" w:color="auto" w:fill="CCEEFF"/>
          </w:tcPr>
          <w:p>
            <w:pPr>
              <w:jc w:val="right"/>
              <w:ind w:right="1117"/>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6"/>
              </w:rPr>
              <w:t>13.1</w:t>
            </w:r>
          </w:p>
        </w:tc>
        <w:tc>
          <w:tcPr>
            <w:tcW w:w="1400" w:type="dxa"/>
            <w:vAlign w:val="bottom"/>
            <w:tcBorders>
              <w:bottom w:val="single" w:sz="8" w:color="CCEEFF"/>
            </w:tcBorders>
            <w:shd w:val="clear" w:color="auto" w:fill="CCEEFF"/>
          </w:tcPr>
          <w:p>
            <w:pPr>
              <w:jc w:val="right"/>
              <w:ind w:right="1157"/>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c>
          <w:tcPr>
            <w:tcW w:w="1360" w:type="dxa"/>
            <w:vAlign w:val="bottom"/>
            <w:tcBorders>
              <w:bottom w:val="single" w:sz="8" w:color="CCEEFF"/>
            </w:tcBorders>
            <w:shd w:val="clear" w:color="auto" w:fill="CCEEFF"/>
          </w:tcPr>
          <w:p>
            <w:pPr>
              <w:jc w:val="right"/>
              <w:ind w:right="1055"/>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11.6</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Effective tax rate (%)</w:t>
            </w:r>
          </w:p>
        </w:tc>
        <w:tc>
          <w:tcPr>
            <w:tcW w:w="13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4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60" w:type="dxa"/>
            <w:vAlign w:val="bottom"/>
          </w:tcPr>
          <w:p>
            <w:pPr>
              <w:spacing w:after="0"/>
              <w:rPr>
                <w:sz w:val="21"/>
                <w:szCs w:val="21"/>
                <w:color w:val="auto"/>
              </w:rPr>
            </w:pPr>
          </w:p>
        </w:tc>
      </w:tr>
    </w:tbl>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effective tax rate was 11% for the three months ended March 31, 2020 compared to an effective tax rate of 2% for the same period last year. The provision for income taxes for the three months ended March 31, 2020 was primarily comprised of U.S. federal and state taxes, withholding taxes and foreign taxes that were $28.3 million, which included a tax benefit of $4.8 million from the foreign-derived intangible income deduction. This tax provision for income taxes was further offset by excess tax benefits from stock-based compensation expense of $15.2 million. The provision for income taxes for the three months ended March 31, 2019 was comprised of U.S. federal and state taxes, withholding taxes, and foreign taxes that were $17.5 million, which were offset by excess tax benefits from stock-based compensation expense of $16.0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3"/>
          </w:tcPr>
          <w:p>
            <w:pPr>
              <w:jc w:val="center"/>
              <w:ind w:left="975"/>
              <w:spacing w:after="0"/>
              <w:rPr>
                <w:sz w:val="20"/>
                <w:szCs w:val="20"/>
                <w:color w:val="auto"/>
              </w:rPr>
            </w:pPr>
            <w:r>
              <w:rPr>
                <w:rFonts w:ascii="Arial" w:cs="Arial" w:eastAsia="Arial" w:hAnsi="Arial"/>
                <w:sz w:val="16"/>
                <w:szCs w:val="16"/>
                <w:b w:val="1"/>
                <w:bCs w:val="1"/>
                <w:color w:val="auto"/>
                <w:w w:val="84"/>
              </w:rPr>
              <w:t>As of</w:t>
            </w:r>
          </w:p>
        </w:tc>
        <w:tc>
          <w:tcPr>
            <w:tcW w:w="1260" w:type="dxa"/>
            <w:vAlign w:val="bottom"/>
          </w:tcPr>
          <w:p>
            <w:pPr>
              <w:spacing w:after="0"/>
              <w:rPr>
                <w:sz w:val="18"/>
                <w:szCs w:val="18"/>
                <w:color w:val="auto"/>
              </w:rPr>
            </w:pPr>
          </w:p>
        </w:tc>
      </w:tr>
      <w:tr>
        <w:trPr>
          <w:trHeight w:val="33"/>
        </w:trPr>
        <w:tc>
          <w:tcPr>
            <w:tcW w:w="8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8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March 31,</w:t>
            </w:r>
          </w:p>
        </w:tc>
        <w:tc>
          <w:tcPr>
            <w:tcW w:w="200" w:type="dxa"/>
            <w:vAlign w:val="bottom"/>
          </w:tcPr>
          <w:p>
            <w:pPr>
              <w:spacing w:after="0"/>
              <w:rPr>
                <w:sz w:val="18"/>
                <w:szCs w:val="18"/>
                <w:color w:val="auto"/>
              </w:rPr>
            </w:pPr>
          </w:p>
        </w:tc>
        <w:tc>
          <w:tcPr>
            <w:tcW w:w="1260" w:type="dxa"/>
            <w:vAlign w:val="bottom"/>
          </w:tcPr>
          <w:p>
            <w:pPr>
              <w:jc w:val="center"/>
              <w:ind w:right="153"/>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center"/>
              <w:ind w:right="155"/>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2019</w:t>
            </w:r>
          </w:p>
        </w:tc>
      </w:tr>
      <w:tr>
        <w:trPr>
          <w:trHeight w:val="33"/>
        </w:trPr>
        <w:tc>
          <w:tcPr>
            <w:tcW w:w="8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r>
      <w:tr>
        <w:trPr>
          <w:trHeight w:val="217"/>
        </w:trPr>
        <w:tc>
          <w:tcPr>
            <w:tcW w:w="8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4"/>
          </w:tcPr>
          <w:p>
            <w:pPr>
              <w:jc w:val="center"/>
              <w:ind w:right="113"/>
              <w:spacing w:after="0"/>
              <w:rPr>
                <w:sz w:val="20"/>
                <w:szCs w:val="20"/>
                <w:color w:val="auto"/>
              </w:rPr>
            </w:pPr>
            <w:r>
              <w:rPr>
                <w:rFonts w:ascii="Arial" w:cs="Arial" w:eastAsia="Arial" w:hAnsi="Arial"/>
                <w:sz w:val="16"/>
                <w:szCs w:val="16"/>
                <w:b w:val="1"/>
                <w:bCs w:val="1"/>
                <w:color w:val="auto"/>
                <w:w w:val="91"/>
              </w:rPr>
              <w:t>(in millions)</w:t>
            </w:r>
          </w:p>
        </w:tc>
      </w:tr>
      <w:tr>
        <w:trPr>
          <w:trHeight w:val="33"/>
        </w:trPr>
        <w:tc>
          <w:tcPr>
            <w:tcW w:w="8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1,222.5</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947.2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987.4</w:t>
            </w:r>
          </w:p>
        </w:tc>
      </w:tr>
      <w:tr>
        <w:trPr>
          <w:trHeight w:val="27"/>
        </w:trPr>
        <w:tc>
          <w:tcPr>
            <w:tcW w:w="8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investments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1,573.3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2,209.9</w:t>
            </w:r>
          </w:p>
        </w:tc>
      </w:tr>
      <w:tr>
        <w:trPr>
          <w:trHeight w:val="20"/>
        </w:trPr>
        <w:tc>
          <w:tcPr>
            <w:tcW w:w="8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0"/>
        </w:trPr>
        <w:tc>
          <w:tcPr>
            <w:tcW w:w="820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492.3</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1,295.4</w:t>
            </w:r>
          </w:p>
        </w:tc>
      </w:tr>
      <w:tr>
        <w:trPr>
          <w:trHeight w:val="20"/>
        </w:trPr>
        <w:tc>
          <w:tcPr>
            <w:tcW w:w="8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508"/>
        </w:trPr>
        <w:tc>
          <w:tcPr>
            <w:tcW w:w="8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gridSpan w:val="4"/>
          </w:tcPr>
          <w:p>
            <w:pPr>
              <w:jc w:val="center"/>
              <w:ind w:right="113"/>
              <w:spacing w:after="0"/>
              <w:rPr>
                <w:sz w:val="20"/>
                <w:szCs w:val="20"/>
                <w:color w:val="auto"/>
              </w:rPr>
            </w:pPr>
            <w:r>
              <w:rPr>
                <w:rFonts w:ascii="Arial" w:cs="Arial" w:eastAsia="Arial" w:hAnsi="Arial"/>
                <w:sz w:val="16"/>
                <w:szCs w:val="16"/>
                <w:b w:val="1"/>
                <w:bCs w:val="1"/>
                <w:color w:val="auto"/>
                <w:w w:val="92"/>
              </w:rPr>
              <w:t>Three Months Ended</w:t>
            </w:r>
          </w:p>
        </w:tc>
      </w:tr>
      <w:tr>
        <w:trPr>
          <w:trHeight w:val="33"/>
        </w:trPr>
        <w:tc>
          <w:tcPr>
            <w:tcW w:w="8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8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March 31,</w:t>
            </w:r>
          </w:p>
        </w:tc>
        <w:tc>
          <w:tcPr>
            <w:tcW w:w="20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Arial" w:cs="Arial" w:eastAsia="Arial" w:hAnsi="Arial"/>
                <w:sz w:val="16"/>
                <w:szCs w:val="16"/>
                <w:b w:val="1"/>
                <w:bCs w:val="1"/>
                <w:color w:val="auto"/>
                <w:w w:val="97"/>
              </w:rPr>
              <w:t>March 31,</w:t>
            </w:r>
          </w:p>
        </w:tc>
      </w:tr>
      <w:tr>
        <w:trPr>
          <w:trHeight w:val="210"/>
        </w:trPr>
        <w:tc>
          <w:tcPr>
            <w:tcW w:w="8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center"/>
              <w:ind w:right="155"/>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2019</w:t>
            </w:r>
          </w:p>
        </w:tc>
      </w:tr>
      <w:tr>
        <w:trPr>
          <w:trHeight w:val="33"/>
        </w:trPr>
        <w:tc>
          <w:tcPr>
            <w:tcW w:w="8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r>
      <w:tr>
        <w:trPr>
          <w:trHeight w:val="217"/>
        </w:trPr>
        <w:tc>
          <w:tcPr>
            <w:tcW w:w="8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4"/>
          </w:tcPr>
          <w:p>
            <w:pPr>
              <w:jc w:val="center"/>
              <w:ind w:right="113"/>
              <w:spacing w:after="0"/>
              <w:rPr>
                <w:sz w:val="20"/>
                <w:szCs w:val="20"/>
                <w:color w:val="auto"/>
              </w:rPr>
            </w:pPr>
            <w:r>
              <w:rPr>
                <w:rFonts w:ascii="Arial" w:cs="Arial" w:eastAsia="Arial" w:hAnsi="Arial"/>
                <w:sz w:val="16"/>
                <w:szCs w:val="16"/>
                <w:b w:val="1"/>
                <w:bCs w:val="1"/>
                <w:color w:val="auto"/>
                <w:w w:val="91"/>
              </w:rPr>
              <w:t>(in millions)</w:t>
            </w:r>
          </w:p>
        </w:tc>
      </w:tr>
      <w:tr>
        <w:trPr>
          <w:trHeight w:val="33"/>
        </w:trPr>
        <w:tc>
          <w:tcPr>
            <w:tcW w:w="8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201.3</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7"/>
        </w:trPr>
        <w:tc>
          <w:tcPr>
            <w:tcW w:w="8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r>
      <w:tr>
        <w:trPr>
          <w:trHeight w:val="257"/>
        </w:trPr>
        <w:tc>
          <w:tcPr>
            <w:tcW w:w="820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104.5</w:t>
            </w:r>
          </w:p>
        </w:tc>
      </w:tr>
      <w:tr>
        <w:trPr>
          <w:trHeight w:val="20"/>
        </w:trPr>
        <w:tc>
          <w:tcPr>
            <w:tcW w:w="8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Liquidity and capital resources may be impacted by our operating activities, as well as by our stock repurchases, proceeds associated with stock option exercises, issuances of common stock under our the Amended and Restated Fortinet, Inc. 2009 Equity Incentive Plan (the “Amended Plan”) and payment of taxes in connection with the net settlement of equity awards, real estate and other capital expenditures and business acquisitions. During the three months ended March 31, 2020, we repurchased $899.9 million in shares of our common stock under the Repurchase Program. In February 2020, we received a cash payment of $50.0 million pursuant to a mutual covenant-not-to-sue and release agreement with a competitor in the network security industry.</w:t>
      </w:r>
    </w:p>
    <w:p>
      <w:pPr>
        <w:spacing w:after="0" w:line="192"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In recent years, we have received significant capital resources from our billings to customers and, to some extent, from exercise of stock options. Additional increases in billings may depend on a number of factors, including demand for our products and services, competition, market or industry changes, macroeconomic events such as the COVID-19 pandemic and our ability to execute. We expect proceeds from the exercise of stock options in future years to be impacted by the increased mix of restricted stock units versus stock options granted and also to vary based on our share price. As of March 31, 2020, $692.9 million remained available for future share repurchases under the Repurchase Program.</w:t>
      </w:r>
    </w:p>
    <w:p>
      <w:pPr>
        <w:spacing w:after="0" w:line="17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Construction of a second building at our headquarters campus started in the fourth quarter of 2018 and related spending will continue in 2020 and until project completion. We estimate 2020 spending on the headquarters campus project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be between $110.0 million and $120.0 million dollars. The COVID-19 pandemic has resulted in a delay to the project schedule. We now estimate construction to be completed in early 2021.</w:t>
      </w:r>
    </w:p>
    <w:p>
      <w:pPr>
        <w:spacing w:after="0" w:line="17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As of March 31, 2020, our cash, cash equivalents and investments of $1.57 billion were invested primarily in deposit accounts, money market funds, corporate debt securities, commercial paper, certificates of deposit and term deposits and U.S. government securities. It is our investment policy to invest excess cash in a manner that preserves capital, provides liquidity and generates return without significantly increasing risk. We do not enter into investments for trading or speculative purposes.</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amount of cash, cash equivalents and investments held by our international subsidiaries was $116.8 million as of March 31, 2020 and $109.3 million as of December 31, 2019.</w:t>
      </w:r>
    </w:p>
    <w:p>
      <w:pPr>
        <w:spacing w:after="0" w:line="170"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We believe that our existing cash and cash equivalents will be sufficient to meet our anticipated cash needs for at least the next 12 months. Our future capital requirements will depend on many factors, including our growth rate, the timing and amount of our share repurchases, the timing and extent of spending to support development efforts, the expansion of sales and marketing activities, the introduction of new and enhanced products and services offerings, the continuing market acceptance of our products, our investments in purchasing or leasing real estate and macroeconomic impacts such as the COVID-19 pandemic. Historically, we have required capital principally to fund our working capital needs, share repurchases, capital expenditures and acquisition activities. In the event that additional financing is required from outside sources, we may not be able to raise it on terms acceptable to us or at all.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Cash generated by operating activities is our primary source of liquidity. It is primarily comprised of net income, as adjusted for non-cash items and changes in operating assets and liabilities. Non-cash adjustments consist primarily of stock-based compensation, amortization of deferred contract costs and depreciation and amortization. Changes in operating assets and liabilities consist primarily of changes in deferred revenue, deferred contract costs, accounts receivable, inventory and prepaid expenses and other current assets.</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operating activities during the three months ended March 31, 2020 provided $319.4 million in cash as a result of the continued growth of our business and our ability to successfully manage our working capital. Changes in operating assets and liabilities primarily resulted from an increase in sales of our FortiGuard security subscription and FortiCare technical support services to new and existing customers, as reflected by an increase in our deferred revenue, and proceeds from the mutual covenant-not-to-sue and release agreement. Our total deferred revenue balance grew $90.9 million, or 4%, during the three months ended March 31,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changes in cash flows from investing activities primarily relate to timing of purchases, maturities and sales of investments and purchases of property and equipment. Historically, in making a lease versus ownership decision related to our larger facilities, we have considered various factors including financial metrics and the impact on our engineers and other employees. In certain cases, we have elected to own a facility if we believed that ownership rather than leasing is more in line with our long-term strategy. We expect to make similar decisions in the future. We may also make cash payments in connection with future business combinations.</w:t>
      </w:r>
    </w:p>
    <w:p>
      <w:pPr>
        <w:spacing w:after="0" w:line="18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During the three months ended March 31, 2020, cash provided by investing activities was $4.6 million, primarily driven by $35.7 million in cash proceeds from maturities and sales of investments, net of purchases of investments, and partially offset by $27.6 million of purchases of property and equipment, a large portion of which relates to our headquarters building construction.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changes in cash flows from financing activities primarily relate to repurchase and retirement of common stock and taxes paid related to net share settlement of equity awards, net of proceeds from the issuance of common stock under the Amended Plan.</w:t>
      </w:r>
    </w:p>
    <w:p>
      <w:pPr>
        <w:spacing w:after="0" w:line="170"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During the three months ended March 31, 2020, cash used in financing activities was $920.4 million, primarily driven by $889.9 million used to repurchase shares of our common stock and $30.4 million used to pay tax withholding, net of proceeds from the issuance of common stock.</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There were no material changes outside the ordinary course of business during the three months ended March 31, 2020 to the contractual obligations and commitments disclosed in Management’s Discussion and Analysis of Financial Condition and Results of Operations, set forth in Part II, Item 7, of the Form 10-K. See Note 11 of the notes to condensed consolidated financial statements included in Part I, Item 1 of this Quarterly Report on Form 10-Q for additional information regarding contractual obligations and commitments.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of March 31, 2020,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There were no material changes in our market risk during the three months ended March 31, 2020 compared to the disclosures in Part II, Item 7A of the Form 10-K.</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 13a-15(e) or 15d-15(e) under the Exchange Act as of March 31, 2020.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92" w:lineRule="exact"/>
        <w:rPr>
          <w:sz w:val="20"/>
          <w:szCs w:val="20"/>
          <w:color w:val="auto"/>
        </w:rPr>
      </w:pPr>
    </w:p>
    <w:p>
      <w:pPr>
        <w:ind w:right="400" w:firstLine="648"/>
        <w:spacing w:after="0" w:line="257"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as of March 31, 2020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or 15d-15(f) under the Exchange Act) during the three months ended March 31, 2020 that have materially affected, or are reasonably likely to materially affect, our internal control over financial reporting.</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320" w:top="121" w:right="37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We are subject to various claims, complaints and legal actions that arise from time to time in the normal course of business. We accrue for contingencies when we believe that a loss is probable and that we can reasonably estimate the amount of any such loss.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1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Investors should carefully consider the following risks and all other information contained in this Quarterly Report on Form 10-Q, including our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likely to vary significantly and be unpredictable.</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attract and retain new end-customers or sell additional products and services to our existing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level of demand for our products and services, which may render forecasts inaccurate;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timing of channel partner and end-customer orders, and our reliance on a concentration of shipments at the end of each quarter;</w:t>
      </w:r>
    </w:p>
    <w:p>
      <w:pPr>
        <w:spacing w:after="0" w:line="248" w:lineRule="exact"/>
        <w:rPr>
          <w:rFonts w:ascii="Arial" w:cs="Arial" w:eastAsia="Arial" w:hAnsi="Arial"/>
          <w:sz w:val="16"/>
          <w:szCs w:val="16"/>
          <w:color w:val="auto"/>
        </w:rPr>
      </w:pPr>
    </w:p>
    <w:p>
      <w:pPr>
        <w:ind w:left="1300" w:right="8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to our business, the global economy, disruption of global supply chains and creation of significant volatility and disruption of the financial markets due to the COVID-19 pandemic;</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shipments, which may depend on factors such as inventory levels, logistics, manufacturing or shipping delays, our ability to ship new products on schedule and our ability to accurately forecast inventory requirements;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225" w:lineRule="exact"/>
        <w:rPr>
          <w:rFonts w:ascii="Arial" w:cs="Arial" w:eastAsia="Arial" w:hAnsi="Arial"/>
          <w:sz w:val="18"/>
          <w:szCs w:val="18"/>
          <w:color w:val="auto"/>
        </w:rPr>
      </w:pPr>
    </w:p>
    <w:p>
      <w:pPr>
        <w:ind w:left="1300" w:hanging="644"/>
        <w:spacing w:after="0" w:line="259"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component and product inventory shortages, including those caused by factors outside of our control such as natural disasters and health emergencies, including earthquakes, fires, power outages, typhoons, floods, pandemics or epidemics such as the COVID-19 pandemic and manmade events such as civil unrest, labor disruption, international trade disputes, international conflicts, terrorism, wars and critical infrastructure attacks;</w:t>
      </w:r>
    </w:p>
    <w:p>
      <w:pPr>
        <w:spacing w:after="0" w:line="186"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mix of products sold and the mix of revenue between products and services, as well as the degree to which products and services are bundled and sold together for a package price;</w:t>
      </w:r>
    </w:p>
    <w:p>
      <w:pPr>
        <w:spacing w:after="0" w:line="170"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purchasing practices and budgeting cycles of our channel partners and end-customers, including the effect of the end of product refresh cycles;</w:t>
      </w:r>
    </w:p>
    <w:p>
      <w:pPr>
        <w:spacing w:after="0" w:line="170" w:lineRule="exact"/>
        <w:rPr>
          <w:rFonts w:ascii="Arial" w:cs="Arial" w:eastAsia="Arial" w:hAnsi="Arial"/>
          <w:sz w:val="18"/>
          <w:szCs w:val="18"/>
          <w:color w:val="auto"/>
        </w:rPr>
      </w:pPr>
    </w:p>
    <w:p>
      <w:pPr>
        <w:ind w:left="1300" w:right="100" w:hanging="644"/>
        <w:spacing w:after="0" w:line="263"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decreases in demand by channel partners or end-customers, including any such decreases caused by factors outside of our control such as natural disasters and health emergencies, including earthquakes, fires, power outages, typhoons, floods, pandemics or epidemics such as the COVID-19 pandemic and manmade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320" w:top="121" w:right="37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1300" w:right="60"/>
        <w:spacing w:after="0" w:line="277" w:lineRule="auto"/>
        <w:rPr>
          <w:sz w:val="20"/>
          <w:szCs w:val="20"/>
          <w:color w:val="auto"/>
        </w:rPr>
      </w:pPr>
      <w:r>
        <w:rPr>
          <w:rFonts w:ascii="Arial" w:cs="Arial" w:eastAsia="Arial" w:hAnsi="Arial"/>
          <w:sz w:val="18"/>
          <w:szCs w:val="18"/>
          <w:color w:val="auto"/>
        </w:rPr>
        <w:t>events such as civil unrest, labor disruption, international trade disputes, international conflicts, terrorism, wars and critical infrastructure attacks;</w:t>
      </w:r>
    </w:p>
    <w:p>
      <w:pPr>
        <w:spacing w:after="0" w:line="170" w:lineRule="exact"/>
        <w:rPr>
          <w:sz w:val="20"/>
          <w:szCs w:val="20"/>
          <w:color w:val="auto"/>
        </w:rPr>
      </w:pPr>
    </w:p>
    <w:p>
      <w:pPr>
        <w:ind w:left="1300" w:right="10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effectiveness of our sales organization, generally or in a particular geographic region, the time it takes to hire sales personnel and the timing of hiring, and our ability to hire and retain effective sales personnel;</w:t>
      </w:r>
    </w:p>
    <w:p>
      <w:pPr>
        <w:spacing w:after="0" w:line="170" w:lineRule="exact"/>
        <w:rPr>
          <w:rFonts w:ascii="Arial" w:cs="Arial" w:eastAsia="Arial" w:hAnsi="Arial"/>
          <w:sz w:val="18"/>
          <w:szCs w:val="18"/>
          <w:color w:val="auto"/>
        </w:rPr>
      </w:pPr>
    </w:p>
    <w:p>
      <w:pPr>
        <w:ind w:left="1300" w:right="20" w:hanging="644"/>
        <w:spacing w:after="0" w:line="259"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execution risk related to effectively selling to all segments of the market, including enterprise and small- and medium-sized businesses and service providers, and to selling our broad security product and services portfolio, including, among other execution risks, risks associated with the complexity and distraction in selling to all segments and increased competition and unpredictability of timing to close sales deals with large enterprises;</w:t>
      </w:r>
    </w:p>
    <w:p>
      <w:pPr>
        <w:spacing w:after="0" w:line="186" w:lineRule="exact"/>
        <w:rPr>
          <w:rFonts w:ascii="Arial" w:cs="Arial" w:eastAsia="Arial" w:hAnsi="Arial"/>
          <w:sz w:val="18"/>
          <w:szCs w:val="18"/>
          <w:color w:val="auto"/>
        </w:rPr>
      </w:pPr>
    </w:p>
    <w:p>
      <w:pPr>
        <w:jc w:val="both"/>
        <w:ind w:left="1300" w:right="20" w:hanging="644"/>
        <w:spacing w:after="0" w:line="263"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execution risk associated with our efforts to capture the opportunities related to our identified growth drivers, such as risk associated with our ability to capitalize on network security and software defined wide area network (“SD-WAN”), infrastructure security, cloud security and endpoint protection, IoT and OT security opportunities;</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seasonal buying patterns of our end-customers;</w:t>
      </w:r>
    </w:p>
    <w:p>
      <w:pPr>
        <w:spacing w:after="0" w:line="225"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and level of our investments in sales and marketing, and the impact of such investments on our operating expenses, operating margin and the productivity and effectiveness of execution of our sales and marketing teams;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revenue recognition for our sales;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25"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actual or perceived vulnerabilities in our products or services, and any actual or perceived breach of our network or our customers’ networks;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requirements, market needs or buying practices and patterns of our distributors, resellers or end-customers;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growth rates of the network security market in particular and other security and networking markets, such as SD-WAN, for which we sell products and services;</w:t>
      </w:r>
    </w:p>
    <w:p>
      <w:pPr>
        <w:spacing w:after="0" w:line="170" w:lineRule="exact"/>
        <w:rPr>
          <w:rFonts w:ascii="Arial" w:cs="Arial" w:eastAsia="Arial" w:hAnsi="Arial"/>
          <w:sz w:val="18"/>
          <w:szCs w:val="18"/>
          <w:color w:val="auto"/>
        </w:rPr>
      </w:pPr>
    </w:p>
    <w:p>
      <w:pPr>
        <w:ind w:left="1300" w:right="280" w:hanging="644"/>
        <w:spacing w:after="0" w:line="308"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timing and success of new product and service introductions or enhancements by us or our competitors, or any other change in the competitive landscape of our industry, including consolidation among our competitors, partners or end-customers;</w:t>
      </w:r>
    </w:p>
    <w:p>
      <w:pPr>
        <w:spacing w:after="0" w:line="146" w:lineRule="exact"/>
        <w:rPr>
          <w:rFonts w:ascii="Arial" w:cs="Arial" w:eastAsia="Arial" w:hAnsi="Arial"/>
          <w:sz w:val="17"/>
          <w:szCs w:val="17"/>
          <w:color w:val="auto"/>
        </w:rPr>
      </w:pPr>
    </w:p>
    <w:p>
      <w:pPr>
        <w:ind w:left="1300" w:right="20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deferral of orders from distributors, resellers or end-customers in anticipation of new products or product enhancements announced by us or our competitors;</w:t>
      </w:r>
    </w:p>
    <w:p>
      <w:pPr>
        <w:spacing w:after="0" w:line="170" w:lineRule="exact"/>
        <w:rPr>
          <w:rFonts w:ascii="Arial" w:cs="Arial" w:eastAsia="Arial" w:hAnsi="Arial"/>
          <w:sz w:val="18"/>
          <w:szCs w:val="18"/>
          <w:color w:val="auto"/>
        </w:rPr>
      </w:pPr>
    </w:p>
    <w:p>
      <w:pPr>
        <w:ind w:left="1300" w:right="80" w:hanging="644"/>
        <w:spacing w:after="0" w:line="311" w:lineRule="auto"/>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increases or decreases in our billings, revenue and expenses caused by 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148" w:lineRule="exact"/>
        <w:rPr>
          <w:rFonts w:ascii="Arial" w:cs="Arial" w:eastAsia="Arial" w:hAnsi="Arial"/>
          <w:sz w:val="16"/>
          <w:szCs w:val="16"/>
          <w:color w:val="auto"/>
        </w:rPr>
      </w:pPr>
    </w:p>
    <w:p>
      <w:pPr>
        <w:ind w:left="1300" w:right="48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existing laws and regulations that are applicable to our ability to conduct business with the public sector and other sectors;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litigation, litigation fees and costs, settlements, judgments and other equitable and legal relief granted related to litigation;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cloud-based platforms on our billings, revenues, operating margins and free cash flow;</w:t>
      </w:r>
    </w:p>
    <w:p>
      <w:pPr>
        <w:spacing w:after="0" w:line="225" w:lineRule="exact"/>
        <w:rPr>
          <w:rFonts w:ascii="Arial" w:cs="Arial" w:eastAsia="Arial" w:hAnsi="Arial"/>
          <w:sz w:val="18"/>
          <w:szCs w:val="18"/>
          <w:color w:val="auto"/>
        </w:rPr>
      </w:pPr>
    </w:p>
    <w:p>
      <w:pPr>
        <w:ind w:left="1300" w:right="64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121" w:right="35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price competition and increased competitiveness in our market, including the competitive pressure caused by product refresh cycles;</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both increase revenues and manage and control operating expenses in order to improve our operating margins;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customer renewal rates or attached rates for our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payment terms of services contracts or the contractual term of services contracts sold;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payment terms of our contracts with service providers and distributors;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estimated annual effective tax rates;</w:t>
      </w:r>
    </w:p>
    <w:p>
      <w:pPr>
        <w:spacing w:after="0" w:line="225" w:lineRule="exact"/>
        <w:rPr>
          <w:rFonts w:ascii="Arial" w:cs="Arial" w:eastAsia="Arial" w:hAnsi="Arial"/>
          <w:sz w:val="18"/>
          <w:szCs w:val="18"/>
          <w:color w:val="auto"/>
        </w:rPr>
      </w:pPr>
    </w:p>
    <w:p>
      <w:pPr>
        <w:ind w:left="1300" w:right="120" w:hanging="644"/>
        <w:spacing w:after="0" w:line="308" w:lineRule="auto"/>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demand for cloud-based services and the uncertainty associated with transitioning to providing such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increased expenses, unforeseen liabilities or write-downs and any impact on results of operations from any acquisition consummated;</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channel partners having insufficient financial resources to withstand changes and challenges in business conditions;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 including as a result of consolidation among distributors and resellers of security solutions;</w:t>
      </w:r>
    </w:p>
    <w:p>
      <w:pPr>
        <w:spacing w:after="0" w:line="170"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170" w:lineRule="exact"/>
        <w:rPr>
          <w:rFonts w:ascii="Arial" w:cs="Arial" w:eastAsia="Arial" w:hAnsi="Arial"/>
          <w:sz w:val="18"/>
          <w:szCs w:val="18"/>
          <w:color w:val="auto"/>
        </w:rPr>
      </w:pPr>
    </w:p>
    <w:p>
      <w:pPr>
        <w:ind w:left="1300" w:right="640" w:hanging="644"/>
        <w:spacing w:after="0" w:line="308" w:lineRule="auto"/>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policy changes and uncertainty with respect to immigration laws, trade policy and tariffs, including increased tariffs applicable to countries where we manufacture our products, foreign imports and tax laws related to international commerce;</w:t>
      </w:r>
    </w:p>
    <w:p>
      <w:pPr>
        <w:spacing w:after="0" w:line="146" w:lineRule="exact"/>
        <w:rPr>
          <w:rFonts w:ascii="Arial" w:cs="Arial" w:eastAsia="Arial" w:hAnsi="Arial"/>
          <w:sz w:val="17"/>
          <w:szCs w:val="17"/>
          <w:color w:val="auto"/>
        </w:rPr>
      </w:pPr>
    </w:p>
    <w:p>
      <w:pPr>
        <w:ind w:left="1300" w:right="14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economic and social instability, including geo-political instability and uncertainty, such as the impact of the United Kingdom’s exit from the European Union (“Brexit”);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conditions, both in domestic and foreign markets;</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as well as the significant costs that may be incurred to adopt and comply with these new pronouncements;</w:t>
      </w:r>
    </w:p>
    <w:p>
      <w:pPr>
        <w:spacing w:after="0" w:line="170" w:lineRule="exact"/>
        <w:rPr>
          <w:rFonts w:ascii="Arial" w:cs="Arial" w:eastAsia="Arial" w:hAnsi="Arial"/>
          <w:sz w:val="18"/>
          <w:szCs w:val="18"/>
          <w:color w:val="auto"/>
        </w:rPr>
      </w:pPr>
    </w:p>
    <w:p>
      <w:pPr>
        <w:ind w:left="1300" w:right="76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possible impairments or acceleration of depreciation of our existing real estate due to our current real estate holdings and future development plans; and</w:t>
      </w:r>
    </w:p>
    <w:p>
      <w:pPr>
        <w:spacing w:after="0" w:line="170"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legislative or regulatory changes, such as with respect to privacy, information and cybersecurity, exports, the environment and applicable accounting standards.</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over the near term. Accordingly, in the event of revenue shortfalls, we are generally unable to mitigate the negative impact on margins in the short term.</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outbreak and spread of the COVID-19 pandemic could adversely affect our business in a material way.</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The COVID-19 pandemic has negatively impacted the global economy, disrupted global supply chains and demand for certain solutions and created significant volatility in, and disruption of, global financial markets. The extent of the impact of the COVID-19 pandemic on our operational and financial performance, including our ability to execute our business strategies and initiatives in the expected time frame, will depend on future developments, including the duration and spread of the pandemic and related restrictions on, and disruptions of, business and world economies, all of which are uncertain and cannot be predicted. An extended period of global supply chain disruption, demand reduction and economic slowdown could materially negatively affect our overall business and our operating results, including billings, revenue, gross margins, operating margins, cash flows and other operating results. If the spread of the COVID-19 pandemic limits the availability of our products, either by limiting components available, by limiting the actual manufacture and assembly or by limiting or restricting shipping of components and products, this likely would result in increased product backlog, lower billings, lower revenue and decreased profitability and would negatively impact, and may materially negatively impact, our operating results and business. Moreover, the COVID-19 pandemic has created a reduction in certain business activity and demand for certain solutions, which may negatively affect the rate and amount of our billings, also possibly in a materially negative way. The COVID-19 pandemic will adversely affect certain of our customers’ ability or willingness to purchase our products and services, delay certain customers’ purchasing decisions and increase customer attrition rates, all of which will adversely affect our future sales and operating results, possibly in a material way. As a result, we may experience extended sales cycles; our ability to close transactions with new and existing customers and partners may be negatively impacted; our ability to recognize revenue from sales we do close may be negatively impacted due to product or component shortages, implementation delays or other factors; and our ability to provide technical and other support to our customers may be affected. In addition, the COVID-19 pandemic has caused an increase in our expenses, including increased shipping costs, increased cancellation charges and reduced attendance fees due to the cancellation of a number of our 2020 Accelerate sales conferences, and it may result in increased component and product manufacturing costs. The full impact of the COVID-19 pandemic is unknown at this time. While we continue to monitor developments and the potential effect on our business, it is clear that the COVID-19 pandemic will negatively impact certain sales and may have a material negative impact on our operating results in the near term and longer term.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and regional economic conditions and spending environments, geopolitical instability and uncertainty, weak economic conditions in certain regions or a reduction in information technology spending regardless of macro-economic conditions, including the effects of the COVID-19 pandemic on the foregoing issues, could have adverse impacts on our business, financial condition and results of operations, including longer sales cycles, lower prices for our products and services, higher default rates among our channel partners, reduced unit sales and slower or declining growth.</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revenue, operating margin and free cash flow growth may slow or may not continue.</w:t>
      </w:r>
    </w:p>
    <w:p>
      <w:pPr>
        <w:spacing w:after="0" w:line="22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We may experience slowing growth, or a decrease, in billings, revenue, operating margin and free cash flow for a number of reasons, including as a result of the COVID-19 pandemic, a slowdown in demand for our products or services, a shift in demand from products to services, increased competition, a decrease in the growth of our overall market or softness in demand in certain geographies or industry verticals, such as the service provider industry, changes in our strategic opportunities, execution risks and our failure for any reason to continue to capitalize on sales and growth opportunities due to other risks identified in the risk factors described in this periodic report. Our expenses as a percentage of total revenue may be higher than expected if our revenue is lower than expected and, if our investments in sales and marketing and other functional areas do not result in expected billings and revenue growth, we may experience margin declines and may not be able to sustain profitability in future periods if we fail to increase billings, revenue or deferred revenue, do not appropriately manage our cost structure and free cash flow or encounter unanticipated liabilities. Any failure by us to maintain profitability, maintain our margins and continue our billings, revenue and free cash flow growth could cause the price of our common stock to materially decline.</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122" w:right="35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We rely on third-party channel partners for substantially all of our revenue. If our partners fail to perform, our ability to sell our products and services will be limited, and if we fail to optimize our channel partner model going forward, our operating results may be harmed. Additionally, a small number of distributors represents a large percentage of our revenue and gross accounts receivable, and one distributor accounted for 34% of our total net accounts receivable as of March 31, 2020.</w:t>
      </w:r>
    </w:p>
    <w:p>
      <w:pPr>
        <w:spacing w:after="0" w:line="187"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A significant portion of our sales is generated through a limited number of distributors, and substantially all of our revenue is from sales by our channel partners, including distributors and resellers. We depend on our channel partners to generate a significant portion of our sales opportunities and to manage our sales process. To the extent our channel partners are unsuccessful in selling our products, or if we are unable to enter into arrangements with and retain a sufficient number of high-quality channel partners in each of the regions in which we sell products, we are unable to keep them motivated to sell our products, or our channel partners shift focus to other vendors and/or our competitors, our ability to sell our products and operating results may be harmed. The termination of our relationship with any significant channel partner may adversely impact our sales and operating results.</w:t>
      </w:r>
    </w:p>
    <w:p>
      <w:pPr>
        <w:spacing w:after="0" w:line="164"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addition, a small number of channel partners represents a large percentage of our revenue and gross accounts receivable. We are exposed to the credit and liquidity risk of some of our channel partners and to credit exposure in weakened markets, which could result in material losses. Our dependence on a limited number of key channel partners means that our billings, revenue and operating results may be harmed by the inability of these key channel partners to successfully sell our products and services, or if any of these key channel partners is unable or unwilling to pay us, terminates its relationship with us or goes out of business. Although we have programs in place that are designed to monitor and mitigate credit and liquidity risks, we cannot guarantee these programs will be effective in reducing our credit risks. If we are unable to adequately control these risks, our business, operating results, and financial condition could be harmed. If channel partners fail to pay us under the terms of our agreements or we are otherwise unable to collect on our accounts receivable from these channel partners, we may be adversely affected both from the inability to collect amounts due and the cost of enforcing the terms of our contracts, including litigation. Our channel partners may seek bankruptcy protection or other similar relief and fail to pay amounts due to us, or pay those amounts more slowly, either of which could adversely affect our operating results, financial position, and cash flow. We may be further impacted by consolidation of our existing channel partners. In such instances, we may experience changes to our overall business and operational relationships due to dealing with a larger combined entity, and our ability to maintain such relationships on favorable contractual terms may be more limited. We may also become increasingly dependent on a more limited number of channel partners, as consolidation increases the relative proportion of our business for which each channel partner is responsible, which may magnify the risks described in the preceding paragraphs.</w:t>
      </w:r>
    </w:p>
    <w:p>
      <w:pPr>
        <w:spacing w:after="0" w:line="17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Exclusive accounted for 34% of our total net accounts receivable as of March 31, 2020. During the three months ended March 31, 2020, Exclusive and Ingram Micro, Inc. (“Ingram Micro”) accounted for 31% and 10% of our total revenue, respectively. Exclusive and Ingram Micro accounted for 34% and 10% of our total net accounts receivable as of March 31, 2019, respectively. During the three months ended March 31, 2019, Exclusive and Ingram Micro accounted for 30% and 11% of our total revenue, respectively. In addition to other risks associated with the concentration of accounts receivable and revenue from these distributors, Exclusive is a private entity and we may not have sufficient information to assess its financial condition and, accordingly, if Exclusive were to experience financial difficulties, we might not have advance notice. Additionally, Exclusive may face liquidity risk as a private equity-backed company, which may harm our ability to collect on our accounts receivable.</w:t>
      </w:r>
    </w:p>
    <w:p>
      <w:pPr>
        <w:spacing w:after="0" w:line="177"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We provide sales channel partners with specific programs to assist them with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Moreover, many of our channel partners are privately held, including our largest distributor Exclusive Networks, and we may not have sufficient information to assess their financial condition. If our channel partners’ financial condition or operations weaken, their ability to sell our product and services could be negatively impacted. Our channel partners may also market, sell and support products and services that are competitive with ours, and may devote more resources to the marketing, sales and support of such products, or may decide to cease selling our products and services altogether in favor of a competitor’s products and services. They may also have 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122" w:right="35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192"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b w:val="1"/>
          <w:bCs w:val="1"/>
          <w:i w:val="1"/>
          <w:iCs w:val="1"/>
          <w:color w:val="auto"/>
        </w:rPr>
        <w:t>We rely significantly on revenue from FortiGuard security subscription and FortiCare technical support services, and revenue from these services may decline or fluctuate. Because we recognize revenue from these services over the term of the relevant service period, downturns or upturns in sales of FortiGuard security subscription and FortiCare technical support services are not immediately reflected in full in our operating results.</w:t>
      </w:r>
    </w:p>
    <w:p>
      <w:pPr>
        <w:spacing w:after="0" w:line="149"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Our FortiGuard security subscription and FortiCare technical support services revenue has historically accounted for a significant percentage of our total revenue. Revenue from the sale of new, or from the renewal of existing, FortiGuard security subscription and FortiCare technical support service contracts may decline and fluctuate as a result of a number of factors, including fluctuations in purchases of FortiGate appliances or our Fortinet Security Fabric platform products, changes in the sales mix between products and services, end-customers’ level of satisfaction with our products and services, the prices of our products and services, the prices of products and services offered by our competitors, reductions in our customers’ spending levels and the timing of revenue recognition with respect to these arrangements. If our sales of new, or renewals of existing, FortiGuard security subscription and FortiCare technical support service contracts decline, our revenue and revenue growth may decline and our business could suffer. In addition, in the event significant customers require payment terms for FortiGuard security subscription and FortiCare technical support services in arrears or for shorter periods of time than annually, such as monthly or quarterly, this may negatively impact our billings and revenue. Furthermore, we recognize FortiGuard security subscription and FortiCare technical support services revenue monthly over the term of the relevant service period, which is typically from one to five years. As a result, much of the FortiGuard security subscription and FortiCare technical support services revenue we report each quarter is the recognition of deferred revenue from FortiGuard security subscription and FortiCare technical support services contracts entered into during previous quarters or years. Consequently, a decline in new or renewed FortiGuard security subscription and FortiCare technical support services contracts in any one quarter will not be fully reflected in revenue in that quarter but will negatively affect our revenue in future quarters. Accordingly, the effect of significant downturns in sales of new, or renewals of existing, FortiGuard security subscription and FortiCare technical support services is not reflected in full in our statements of income until future periods. Our FortiGuard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period.</w:t>
      </w:r>
    </w:p>
    <w:p>
      <w:pPr>
        <w:spacing w:after="0" w:line="3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spacing w:after="0" w:line="165"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including longer collection periods;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longer sales processes for larger deals, particularly during the summer months or as a result of the COVID-19 pandemic and related travel and gathering restrictions;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uncertainty of protection for IP rights in some countries;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1300" w:right="26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170" w:lineRule="exact"/>
        <w:rPr>
          <w:rFonts w:ascii="Arial" w:cs="Arial" w:eastAsia="Arial" w:hAnsi="Arial"/>
          <w:sz w:val="18"/>
          <w:szCs w:val="18"/>
          <w:color w:val="auto"/>
        </w:rPr>
      </w:pPr>
    </w:p>
    <w:p>
      <w:pPr>
        <w:ind w:left="1300" w:hanging="644"/>
        <w:spacing w:after="0" w:line="301" w:lineRule="auto"/>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disruption in manufacturing or shipping or decreases in demand by channel partners or end-customers, including any such disruption or decreases caused by factors outside of our control such as natural disasters and health emergencies, including earthquakes, fires, power outages, typhoons, floods, pandemics or epidemics such as the COVID-19 pandemic and manmade events such as civil unrest, labor disruption, international trade disputes, international conflicts, terrorism, wars and critical infrastructure attacks;</w:t>
      </w:r>
    </w:p>
    <w:p>
      <w:pPr>
        <w:spacing w:after="0" w:line="157" w:lineRule="exact"/>
        <w:rPr>
          <w:rFonts w:ascii="Arial" w:cs="Arial" w:eastAsia="Arial" w:hAnsi="Arial"/>
          <w:sz w:val="16"/>
          <w:szCs w:val="16"/>
          <w:color w:val="auto"/>
        </w:rPr>
      </w:pPr>
    </w:p>
    <w:p>
      <w:pPr>
        <w:ind w:left="1300" w:right="96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protectionist policies and penalties, and local laws, requirements, policies and perceptions that may adversely impact a U.S.-headquartered business’s sales in certain countries outside of the United States;</w:t>
      </w:r>
    </w:p>
    <w:p>
      <w:pPr>
        <w:spacing w:after="0" w:line="170" w:lineRule="exact"/>
        <w:rPr>
          <w:rFonts w:ascii="Arial" w:cs="Arial" w:eastAsia="Arial" w:hAnsi="Arial"/>
          <w:sz w:val="18"/>
          <w:szCs w:val="18"/>
          <w:color w:val="auto"/>
        </w:rPr>
      </w:pPr>
    </w:p>
    <w:p>
      <w:pPr>
        <w:ind w:left="1300" w:right="100" w:hanging="644"/>
        <w:spacing w:after="0" w:line="259"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of complying with, and the risks, reputational damage and other costs of non-compliance with, U.S. or other foreign laws and regulations for foreign operations, including the U.S. Foreign Corrupt Practices Act, the United Kingdom Bribery Act 2010, the General Data Protection Regulation (the “GDPR”), import and export control laws, trade laws and regulations, tariffs and retaliatory measures, trade barriers and economic sanctions;</w:t>
      </w:r>
    </w:p>
    <w:p>
      <w:pPr>
        <w:spacing w:after="0" w:line="186"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70" w:lineRule="exact"/>
        <w:rPr>
          <w:rFonts w:ascii="Arial" w:cs="Arial" w:eastAsia="Arial" w:hAnsi="Arial"/>
          <w:sz w:val="18"/>
          <w:szCs w:val="18"/>
          <w:color w:val="auto"/>
        </w:rPr>
      </w:pPr>
    </w:p>
    <w:p>
      <w:pPr>
        <w:ind w:left="1300" w:right="220" w:hanging="644"/>
        <w:spacing w:after="0" w:line="259"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or sales-related arrangements, such as sales “side agreements” to allow return rights,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effectively implement and maintain adequate internal controls to properly manage our international sales and operations;</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political unrest, changes and uncertainty associated with terrorism, hostilities, war or natural disasters;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tax, tariff, employment and other laws.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ongoing effects of the COVID-19 pandemic may enhance the severity and unpredictability of a number of the foregoing risks.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Product and service sales and employee and contractor matters may be subject to foreign governmental regulations, which vary substantially from country to country. Further, we may be unable to keep up to 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18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that we believe is in compliance with current prevailing tax laws. However, the tax authorities of the jurisdictions in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122" w:right="35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which we operate may challenge our methodologies for valuing developed technology or intercompany arrangements, which could impact our worldwide effective tax rate and harm our financial position and operating results.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An important part of our growth strategy is to increase sales of our products to large and medium-sized businesses, service providers and government organizations. While we have increased sales in recent periods to large and medium-sized businesses, our sales volume varies by quarter and there is risk as to our level of success selling to these target customers. Such sales involve unique sales skillsets, processes and structures, are often more complex and feature a longer contract term and may be at higher discount levels. We also have experienced uneven traction selling to certain government organizations and service providers and managed security service providers (“MSSPs”), and there can be no assurance that we will be successful selling to these customers. Sales to these organizations involve risks that may not be present, or that are present to a lesser extent, with sales to smaller entities. These risks include:</w:t>
      </w:r>
    </w:p>
    <w:p>
      <w:pPr>
        <w:spacing w:after="0" w:line="195" w:lineRule="exact"/>
        <w:rPr>
          <w:sz w:val="20"/>
          <w:szCs w:val="20"/>
          <w:color w:val="auto"/>
        </w:rPr>
      </w:pPr>
    </w:p>
    <w:p>
      <w:pPr>
        <w:ind w:left="1300" w:right="22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competition from competitors that traditionally target large and medium-sized businesses, service providers and government organizations and that may already have purchase commitments from those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25" w:lineRule="exact"/>
        <w:rPr>
          <w:rFonts w:ascii="Arial" w:cs="Arial" w:eastAsia="Arial" w:hAnsi="Arial"/>
          <w:sz w:val="18"/>
          <w:szCs w:val="18"/>
          <w:color w:val="auto"/>
        </w:rPr>
      </w:pPr>
    </w:p>
    <w:p>
      <w:pPr>
        <w:ind w:left="1300" w:right="120" w:hanging="644"/>
        <w:spacing w:after="0" w:line="263"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unanticipated changes in the capital resources or purchasing behavior of large end-customers, including changes in the volume and frequency of their purchases and changes in the mix of products and services, willingness to change to cloud delivery model and related payment terms;</w:t>
      </w:r>
    </w:p>
    <w:p>
      <w:pPr>
        <w:spacing w:after="0" w:line="183" w:lineRule="exact"/>
        <w:rPr>
          <w:rFonts w:ascii="Arial" w:cs="Arial" w:eastAsia="Arial" w:hAnsi="Arial"/>
          <w:sz w:val="18"/>
          <w:szCs w:val="18"/>
          <w:color w:val="auto"/>
        </w:rPr>
      </w:pPr>
    </w:p>
    <w:p>
      <w:pPr>
        <w:ind w:left="1300" w:right="84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more stringent support requirements in our support service contracts, including stricter support response times, more complex requirements and increased penalties for any failure to meet support requirements;</w:t>
      </w:r>
    </w:p>
    <w:p>
      <w:pPr>
        <w:spacing w:after="0" w:line="170"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uncertainty as to timing to close large deals and any delays in closing those deals;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longer ramp-up periods for enterprise sales personnel as compared to other sales personnel.</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Large and medium-sized businesses, service providers and MSSPs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purchases by large and medium-sized businesses, service providers and government organizations are frequently subject to budget constraints, multiple approvals and unplanned administrative, processing and other delays. Furthermore, service providers and MSSPs represent our largest industry vertical and consolidation or continued changes in buying behavior by larger customers within this industry could negatively impact our business. Large and medium-sized businesses, service providers and MSSPs and government organizations typically have longer implementation cycles, require greater product functionality and scalability, expect a broader range of services, including design, implementation and post go-live services, demand that vendors take on a larger share of risks, require acceptance provisions that can lead to a delay in revenue recognition and expect greater payment flexibility from vendors. In addition, large and medium-sized businesses, service providers and government organizations may require that our products and services be sold differently from how we offer our products and services, which could negatively impact our operating results. Our large business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17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addition, mitigation and containment measures adopted by government authorities to contain the spread of COVID-19 in the United States and internationally, including travel restrictions and other requirements that limit in-person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320" w:top="122" w:right="37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meetings, could limit our ability to establish and maintain relationships with new and existing customers, which may exacerbate the risks described above.</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or components may result in lost sales opportunities or delayed revenue, while excess inventory may harm our gross margins.</w:t>
      </w:r>
    </w:p>
    <w:p>
      <w:pPr>
        <w:spacing w:after="0" w:line="17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Managing our inventory is complex.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 orders in response to the supply of our products and the products of our competitors that are available to them and in response to seasonal fluctuations in end-customer demand. Furthermore, if the time required to manufacture or ship certain products increases for any reason, inventory shortfalls could result. If we cannot manufacture and ship our products due to, for example, natural disasters and health emergencies such as earthquakes, fires, power outages, typhoons, floods, pandemics and epidemics such as the COVID-19 pandemic or manmade events such as civil unrest, labor disruption, international trade disputes, international conflicts, terrorism, wars and critical infrastructure attacks, our business and financial results could be materially and adversely impacted. Management of our inventory is further complicated by the significant number of different products and models that we sell which may impact our billings, revenue, margins and free cash flow. Mismanagement of our inventory, whether due to imprecise forecasting, employee errors or malfeasance, inaccurate information or otherwise, may adversely affect our results of operations. The COVID-19 pandemic has resulted in challenges to obtaining components and inventory, as well as increases to freight and shipping costs, and may result in a material adverse effect on our results of operations.</w:t>
      </w:r>
    </w:p>
    <w:p>
      <w:pPr>
        <w:spacing w:after="0" w:line="18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Inventory management remains an area of focus as we balance the need to maintain inventory levels that are sufficient to ensure competitive lead times against the risk of inventory obsolescence because of rapidly changing technology, product transitions, customer requirements or excess inventory levels. If we ultimately determine that we have excess inventory, we may have to reduce our prices and write-down inventory, which in turn could result in lower gross margins. Alternatively, insufficient inventory levels may lead to shortages that result in delayed billings and revenue or loss of sales opportunities altogether as potential end-customers turn to competitors’ products that are readily available. For example, we have in the past experienced inventory shortages and excesses due to the variance in demand for certain products from forecasted amounts. In addition, for those channel partners that have rights of return, inventory held by such channel partners affects our results of operations. Our inventory management systems and related supply chain visibility tools may be inadequate to enable us to effectively manage inventory. If we are unable to effectively manage our inventory and that of our channel partners, our results of operations could be adversely affected.</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Chief Executive Officer and Chairman, or Michael Xie, our Co-Founder, President and Chief Technology Officer, or of any of our senior sales leaders or functional area leaders, could significantly delay or prevent the achievement of our development and strategic objectives. The loss of the services or the distraction of our senior management for any reason, including the COVID-19 pandemic, could adversely affect our business,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future success depends, in part, on our ability to continue to attract and retain highly skilled personnel. The loss of the services of any of our key personnel, the inability to attract or retain qualified personnel, any failure to have in place and execute an effective succession plan for key executives or delays in hiring required personnel, particularly in engineering, sales and marketing, may seriously harm our business, financial condition and results of operations. From time to time, we experience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w:t>
      </w:r>
    </w:p>
    <w:p>
      <w:pPr>
        <w:spacing w:after="0" w:line="19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Competition for highly skilled personnel is frequently intense, especially for qualified sales, support and engineering employees in network security and especially in the locations where we have a substantial presence and need for highly skilled personnel, such as the San Francisco Bay Area and Vancouver, Canada. We may not be successful in attracting, assimilating or retaining qualified personnel to fulfill our current or future needs. The COVID-19 pandemic may also decelerate our hiring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122" w:right="35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make it more challenge to entice qualified personnel to leave their current positions to join us. In addition, to the extent we hire personnel from competitors, we may be subject to allegations that they have been improperly solicited or divulged proprietary or other confidential information. Changes in immigration laws, including changes to the rules regarding H1-B visas, may also harm our ability to attract personnel from other countries. Our inability to hire properly qualified and effective sales, support and engineering employees could harm our growth and our ability to effectively support growth.</w:t>
      </w:r>
    </w:p>
    <w:p>
      <w:pPr>
        <w:spacing w:after="0" w:line="15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do not increase the effectiveness of our sales organization, we may have difficulty adding new end-customers or increasing sales to our existing end-customers and our business may be adversely affected.</w:t>
      </w:r>
    </w:p>
    <w:p>
      <w:pPr>
        <w:spacing w:after="0" w:line="170" w:lineRule="exact"/>
        <w:rPr>
          <w:sz w:val="20"/>
          <w:szCs w:val="20"/>
          <w:color w:val="auto"/>
        </w:rPr>
      </w:pPr>
    </w:p>
    <w:p>
      <w:pPr>
        <w:ind w:right="140" w:firstLine="648"/>
        <w:spacing w:after="0" w:line="267" w:lineRule="auto"/>
        <w:rPr>
          <w:sz w:val="20"/>
          <w:szCs w:val="20"/>
          <w:color w:val="auto"/>
        </w:rPr>
      </w:pPr>
      <w:r>
        <w:rPr>
          <w:rFonts w:ascii="Arial" w:cs="Arial" w:eastAsia="Arial" w:hAnsi="Arial"/>
          <w:sz w:val="17"/>
          <w:szCs w:val="17"/>
          <w:color w:val="auto"/>
        </w:rPr>
        <w:t>Although we have a channel sales model, sales in our industry are complex and members of our sales organization often engage in direct interaction with our prospective end-customers, particularly for larger deals involving larger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including experienced enterprise sales employees and others. Our ability to grow our revenue depends, in large part, on our success in recruiting, training and retaining sufficient numbers of sales personnel to support our growth and on the effectiveness of those personnel in selling successfully in different contexts, each of which has its own different complexities, approaches and competitive landscapes, such as managing and growing the channel business for sales to small businesses and more actively selling to the end-customer for sales to larger organizations. New hires require substantial training and may take significant time before they achieve full productivity. Our recent hires and planned hires may not become productive as quickly as we expect, especially in light of the COVID-19 pandemic, and we may be unable to hire or retain sufficient numbers of qualified individuals in the markets where we do business or plan to do business. Furthermore, hiring sales personnel in new countries requires additional setup and upfront costs that we may not recover if the sales personnel fail to achieve full productivity. If our sales employees do not become fully productive on the timelines that we have projected, our revenue will not increase at anticipated levels and our ability to achieve long-term projections may be negatively impacted. If we are unable to hire and train sufficient numbers of effective sales personnel, or the sales personnel are not successful in obtaining new end-customers or increasing sales to our existing customer base, our business, operating results and prospects will be adversely affected. If we do not hire properly qualified and effective sales employees and organize our sales team effectively to capture the opportunities in the various customer segments we are targeting, our growth and ability to effectively support growth would be harmed.</w:t>
      </w:r>
    </w:p>
    <w:p>
      <w:pPr>
        <w:spacing w:after="0" w:line="19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sales prices of our products and services may decrease, which may reduce our gross profits and operating margin, and which may adversely impact our financial results and the trading price of our common stock.</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sales prices for our products and services may decline for a variety of reasons or our product mix may change, resulting in lower growth and margins based on a number of factors, including competitive pricing pressures, discounts or promotional programs we offer, a change in our mix of products and services and anticipation of the introduction of new products and services.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Furthermore, we anticipate that the sales prices and gross profits for our products or services will decrease over product life cycles. We cannot ensure that we will be successful in developing and introducing new offerings with enhanced functionality on a timely basis, or that our product and service offerings, if introduced, will enable us to maintain our prices, gross profits and operating margin at levels that will allow us to maintain profitability.</w:t>
      </w:r>
    </w:p>
    <w:p>
      <w:pPr>
        <w:spacing w:after="0" w:line="182" w:lineRule="exact"/>
        <w:rPr>
          <w:sz w:val="20"/>
          <w:szCs w:val="20"/>
          <w:color w:val="auto"/>
        </w:rPr>
      </w:pPr>
    </w:p>
    <w:p>
      <w:pPr>
        <w:jc w:val="both"/>
        <w:ind w:right="260"/>
        <w:spacing w:after="0" w:line="327" w:lineRule="auto"/>
        <w:rPr>
          <w:sz w:val="20"/>
          <w:szCs w:val="20"/>
          <w:color w:val="auto"/>
        </w:rPr>
      </w:pPr>
      <w:r>
        <w:rPr>
          <w:rFonts w:ascii="Arial" w:cs="Arial" w:eastAsia="Arial" w:hAnsi="Arial"/>
          <w:sz w:val="15"/>
          <w:szCs w:val="15"/>
          <w:b w:val="1"/>
          <w:bCs w:val="1"/>
          <w:i w:val="1"/>
          <w:iCs w:val="1"/>
          <w:color w:val="auto"/>
        </w:rPr>
        <w:t>If our internal enterprise IT networks, on which we conduct internal business and interface externally, our operational networks, through which we connect to customer systems and provide services, or our research and development networks, our back-end labs and cloud stacks through which we research and develop products and services, are compromised, public perception of our products and services may be harmed, our customers may be breached and harmed, we may become subject to liability, and our business, operating results and stock price may be adversely impacted.</w:t>
      </w:r>
    </w:p>
    <w:p>
      <w:pPr>
        <w:spacing w:after="0" w:line="140"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success depends on the market’s confidence in our ability to provide effective network security protection. Despite our efforts and processes to prevent breaches of our internal network system and website, we are still vulnerable to computer viruses, break-ins, phishing attacks, attempts to overload our servers with denial-of-service and other cyber-attacks and similar disruptions from unauthorized access to our internal network system or our website. Our security measures may also be breached due to employee error, malfeasance or otherwise, which breaches may be more difficult to detect than outsider threats, and the existing programs and trainings we have in place to prevent such insider threats may not be effective 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sufficient. Third parties may also attempt to fraudulently induce our employees to transfer funds or disclose information in order to gain access to our network and confidential information. Third parties may also send our customers or others malware or malicious emails that falsely indicate that we are the source, potentially causing lost confidence in us and reputational harm. We cannot guarantee that the measures we have taken to protect our network and website will provide adequate security. Moreover, because we provide network security products, we may be a more attractive target for attacks by computer hackers and any security breaches and other security incidents involving us may result in more harm to our reputation and brand than companies that do not sell network security solutions. Hackers and malicious parties may be able to develop and deploy viruses, worms, ransomware and other malicious software programs that attack our products and customers, that impersonate our update servers in an effort to access customer networks and negatively impact customers, or otherwise exploit any security vulnerabilities of our products, or attempt to fraudulently induce our employees, customers or others to disclose passwords or other sensitive information or unwittingly provide access to our internal network system or data. For example, as we previously announced, in the second quarter of 2019 we discovered that an unauthorized party targeted us using sophisticated techniques, such as efforts to impersonate our firewall update servers, in order to try to gain access to certain of our customers’ systems. Although, based on our investigation of this incident, we do not believe that it had a material impact on our or our customers’ businesses, and in general we take numerous measures and implement multiple layers of security to protect our network and our customers’ networks, and, in this particular case, we took immediate additional action to protect our customers, we cannot guarantee that our security products and services will prevent all threats. Further, we cannot be sure that third parties have not been, or will not in the future be, successful in improperly accessing our system and our customers’ systems, which could negatively impact us and our customers. An actual or perceived breach, or any other actual or perceived data security incident, that involves our network, systems or website and/or our customers’ network, systems or websites, including the specific matter that is discussed above, could adversely affect the market perception of our products and services and investor confidence in our company. Any breach of our network system or website could impair our ability to operate our business, including our ability to provide FortiGuard security subscription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 system or our website could have an adverse effect on our business, operating results and stock price.</w:t>
      </w:r>
    </w:p>
    <w:p>
      <w:pPr>
        <w:spacing w:after="0" w:line="394"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In addition, due to the COVID-19 pandemic, a substantial majority of our employees are temporarily working remotely, which may pose additional data security risks. For example, there has been an increase in phishing and spam emails as well as social engineering attempts from “hackers” hoping to use the recent COVID-19 pandemic to their advantage. The risks described above could therefore be exacerbated by the COVID-19 pandemic.</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Reliance on a concentration of shipments at the end of the quarter could cause our billings and revenue to fall below expected levels.</w:t>
      </w:r>
    </w:p>
    <w:p>
      <w:pPr>
        <w:spacing w:after="0" w:line="23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We implemented a cloud-based quoting tool to help provide our sales team with the ability to have faster quote generation, reduce quote errors and increase sales productivity. Our ability to integrate the data from this tool into our order processing may cause order processing delays that could have an effect on our financial results. Our billings and revenue for any quarter could fall below our expectations or those of securities analysts and investors, resulting in a decline in our stock price, if expected orders at the end of any quarter are delayed for any reason or our ability to fulfill orders at the end of any quarter is hindered for any reason, including, among others:</w:t>
      </w:r>
    </w:p>
    <w:p>
      <w:pPr>
        <w:spacing w:after="0" w:line="177"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failure of anticipated purchase orders to materialize;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logistics partners’ inability to ship products prior to quarter-end to fulfill purchase orders received near the end of the quarter;</w:t>
      </w:r>
    </w:p>
    <w:p>
      <w:pPr>
        <w:spacing w:after="0" w:line="236" w:lineRule="exact"/>
        <w:rPr>
          <w:rFonts w:ascii="Arial" w:cs="Arial" w:eastAsia="Arial" w:hAnsi="Arial"/>
          <w:sz w:val="17"/>
          <w:szCs w:val="17"/>
          <w:color w:val="auto"/>
        </w:rPr>
      </w:pPr>
    </w:p>
    <w:p>
      <w:pPr>
        <w:ind w:left="1300" w:right="56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disruption in manufacturing or shipping based on natural disasters or widespread public health problems including pandemics and epidemics such as the COVID-19 pandemic;</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failure to accurately forecast our inventory requirements and to appropriately manage inventory to meet demand;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release new products on schedule;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122" w:right="35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failure of our systems related to order review and processing; and</w:t>
      </w:r>
    </w:p>
    <w:p>
      <w:pPr>
        <w:spacing w:after="0" w:line="225"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delays in shipments due to trade compliance requirements, labor disputes or logistics changes at shipping ports, airline strikes, severe weather or otherwise.</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Increased market awareness of our capabilities and products and increased lead generation are essential to our continued growth and our success in all of our markets, particularly for the large businesses, service provider and government organization market. We have historically had relatively low spending on marketing activities. While we have increased our investments in sales and marketing, it is not clear that these investments will continue to result in increased revenue. If our investments in additional sales personnel or our marketing programs are not successful in continuing to create market awareness of our company and products or increasing lead generation, or if we experience turnover and disruption in our sales and marketing teams, we will not be able to achieve sustained growth, and our business, financial condition and results of operations will be adversely affected. We are also limited in our marketing efforts as a result of the COVID-19 pandemic, as mitigation and containment measures adopted by government authorities to contain the spread of COVID-19, including travel restrictions and other requirements that limit in-person meetings, could limit our ability to establish and maintain relationships with new and existing customers and negatively affect our sales and marketing efforts.</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or vulnerabilities in our products or services, the failure of our products or services to detect or prevent a security breach or the misuse of our products could harm our reputation and divert resources.</w:t>
      </w:r>
    </w:p>
    <w:p>
      <w:pPr>
        <w:spacing w:after="0" w:line="170"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Because our products and services are complex, they have contained and may contain defects or errors that are not detected until after their commercial release and deployment by our customers. Defects or vulnerabilities may impede or block network traffic, cause our products or services to be vulnerable to electronic break-ins, cause them to fail to help secure our customers or cause our products or services to allow unauthorized access to our customers’ networks. We are also susceptible to errors, defects, vulnerabilities or attacks that may arise at, or be inserted into our products in, different stages in our supply chain, or manufacturing processes, and which are out of our control. Attacks may target specific unidentified or unresolved vulnerabilities that exist or arrive only in the supply chain, making these attacks virtually impossible to anticipate and difficult to defend against. Different customers deploy and use our products in different ways, and certain deployments and usages may subject our products to adverse conditions that may negatively impact the effectiveness and useful lifetime of our products. Our networks and products, including cloud-based technology, could be targeted by attacks specifically designed to disrupt our business and harm our reputation. We cannot ensure that our products will prevent all security threats. Because the techniques used by computer hackers to access or sabotage networks change frequently and generally are not recognized until launched against a target, we may be unable to anticipate these techniques. In addition, defects or errors in our FortiGuard security subscription or FortiCare updates or our FortiGate appliances and operating systems could result in a failure of our FortiGuard security subscription services to effectively update end-customers’ FortiGate appliances and cloud-based products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17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An actual, possible or perceived security breach or infection of the network of one of our end-customers, regardless of whether the breach is attributable to the failure of our products or services to prevent the security breach, could adversely affect the market’s perception of our security products and services and, in some instances, subject us to potential liability that is not contractually limited. We may not be able to correct any security flaws or 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 party. Any actual, possible or perceived defects, errors or vulnerabilities in our products, or misuse of our products, could result in:</w:t>
      </w:r>
    </w:p>
    <w:p>
      <w:pPr>
        <w:spacing w:after="0" w:line="192" w:lineRule="exact"/>
        <w:rPr>
          <w:sz w:val="20"/>
          <w:szCs w:val="20"/>
          <w:color w:val="auto"/>
        </w:rPr>
      </w:pPr>
    </w:p>
    <w:p>
      <w:pPr>
        <w:ind w:left="1300" w:right="100" w:hanging="644"/>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expenditure of significant financial and product development resources in efforts to analyze, correct, eliminate or work around errors or defects or to address and eliminate vulnerabilities;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negative publicity and harm to our reputation; and</w:t>
      </w:r>
    </w:p>
    <w:p>
      <w:pPr>
        <w:spacing w:after="0" w:line="225"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 and, in some instances, subject us to potential liability that is not contractually limited.</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do not appropriately manage any future growth, including through the expansion of our real estate facilities, or are unable to improve our systems, processes and controls, our operating results will be negatively affected.</w:t>
      </w:r>
    </w:p>
    <w:p>
      <w:pPr>
        <w:spacing w:after="0" w:line="184"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We rely heavily on information technology to help manage critical functions such as order configuration, pricing and quoting, revenue recognition, financial forecasts, inventory and supply chain management and trade compliance reviews. In addition, we have been slow to adopt and implement certain automated functions, which could have a negative impact on our business. For example, a large part of our order processing relies on manual data entry of customer purchase orders received through email and, to a lesser extent, through electronic data interchange from our customers. Due to the use of manual processes and the fact that we may receive a large amount of our orders in the last few weeks of any given quarter, an interruption in our email service or other systems could result in delayed order fulfillment and decreased billings and revenue for that quarter.</w:t>
      </w:r>
    </w:p>
    <w:p>
      <w:pPr>
        <w:spacing w:after="0" w:line="149"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To manage any future growth effectively, we must continue to improve and expand our information technology and financial, operating, security and administrative systems and controls, and our business continuity and disaster recovery plans and processes. We must also continue to manage headcount, capital and processes in an efficient manner. We may not be able to successfully implement requisite improvements to these systems, controls and processes, such as system capacity, access, security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w:t>
      </w:r>
    </w:p>
    <w:p>
      <w:pPr>
        <w:spacing w:after="0" w:line="165" w:lineRule="exact"/>
        <w:rPr>
          <w:sz w:val="20"/>
          <w:szCs w:val="20"/>
          <w:color w:val="auto"/>
        </w:rPr>
      </w:pPr>
    </w:p>
    <w:p>
      <w:pPr>
        <w:ind w:right="460" w:firstLine="648"/>
        <w:spacing w:after="0" w:line="296" w:lineRule="auto"/>
        <w:rPr>
          <w:sz w:val="20"/>
          <w:szCs w:val="20"/>
          <w:color w:val="auto"/>
        </w:rPr>
      </w:pPr>
      <w:r>
        <w:rPr>
          <w:rFonts w:ascii="Arial" w:cs="Arial" w:eastAsia="Arial" w:hAnsi="Arial"/>
          <w:sz w:val="16"/>
          <w:szCs w:val="16"/>
          <w:color w:val="auto"/>
        </w:rPr>
        <w:t>In addition, our systems, processes and controls may not prevent or detect all errors, omissions, malfeasance or fraud, such as corruption and improper “side agreements” that may impact revenue recognition or result in financial liability.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ensure appropriate systems, processes and controls and to manage any future growth effectively could result in increased costs and harm our reputation and results of operations.</w:t>
      </w:r>
    </w:p>
    <w:p>
      <w:pPr>
        <w:spacing w:after="0" w:line="161"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We have expanded our office real estate holdings to meet our projected growing need for office space. We have started construction on a second building adjacent to our headquarters as we expand our campus in Sunnyvale, California.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and risks related to construction. Future changes in growth or fluctuations in cash flow may also negatively impact our ability to pay for these projects or free cash flow. Additionally, inaccuracies in our projected capital expenditures could negatively impact our business, operating results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maintaining and expanding our internal business management systems.</w:t>
      </w:r>
    </w:p>
    <w:p>
      <w:pPr>
        <w:spacing w:after="0" w:line="225"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The maintenance of our internal business management systems, such as our Enterprise Resource Planning (“ERP”) and Customer Relationship Management (“CRM”) systems, has required, and will continue to require, the investment of significant financial and human resources. In addition, we may choose to upgrade or expand the functionality of our internal systems, leading to additional costs. We may also discover deficiencies in our design or maintenance of our internal systems that could adversely affect our ability to forecast orders, process orders, ship products, provide services and customer support, send invoices and track payments, fulfill contractual obligations, accurately maintain books and records, provide accurate,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timely and reliable reports on our financial and operating results or otherwise operate our business. Additionally, if any of our internal systems does not operate as intended, the effectiveness of our internal control over financial reporting could be adversely affected or our ability to assess it adequately could be delayed. Further, we may expand the scope of our ERP and CRM systems. Our operating results may be adversely affected if these upgrades or expansions are delayed or if the systems do not function as intended or are not sufficient to meet our operating requirements.</w:t>
      </w:r>
    </w:p>
    <w:p>
      <w:pPr>
        <w:spacing w:after="0" w:line="17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6"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Operations—Critical Accounting Policies and Estimates” in this Quarterly Report on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deferred contract costs and commission expense, valuation of inventory, accounting for business combination, contingent liabilities and accounting for income taxes.</w:t>
      </w:r>
    </w:p>
    <w:p>
      <w:pPr>
        <w:spacing w:after="0" w:line="166"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2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18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 and free cash flow.</w:t>
      </w:r>
    </w:p>
    <w:p>
      <w:pPr>
        <w:spacing w:after="0" w:line="184"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outsource the manufacturing of our security appliance products to contract manufacturing partners and original design manufacturing partners, including manufacturers with facilities located in Taiwan, China and other countries outside the United States such as Micro-Star, Wistron, Senao, ADLINK and IBASE. Our reliance on our third-party manufacturers in Asia and elsewhere reduces our control over the manufacturing process, exposing us to risks, including reduced control over quality assurance, costs, supply and timing and possible tariffs. Any manufacturing disruption related to our third-party manufacturers or their component suppliers for any reason, including natural disasters and health emergencies such as earthquakes, fires, power outages, typhoons, floods, health pandemics and epidemics such as the COVID-19 pandemic and manmade events such as civil unrest, labor disruption, international trade disputes, international conflicts, terrorism, wars and critical infrastructure attacks,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6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These manufacturers fulfill our supply requirements on the basis of individual purchase orders. We have no long-term contracts or arrangements with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 capacity shortages, quality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proprietary SPUs, which are key to the performance of our appliances, are built by contract manufacturers including Renesas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Toshiba. These contract manufacturers use foundries operated by TSMC or Renesas on a purchase-order basis, and these foundries do not guarantee their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capacity and could delay orders or increase their pricing. Accordingly, the foundries are not obligated to continue to fulfill our supply requirements,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the long lead time that a new foundry would require, we could suffer inventory shortages of our SPU as well as increased costs. In addition to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proprietary SPU, we also purchase off-the-shelf ASICs or integrated circuits from vendors for which we have experienced, and may continue to experience,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long lead times. Our suppliers may also prioritize orders by other companies that order higher volumes or more profitable products. If any of these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manufacturers materially delays its supply of ASICs or specific product models to us, or requires us to find an alternate supplier and we are not able to do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so on a timely and reasonable basis, or if these foundries materially increase their prices for fabrication of our ASICs, our business would be harmed.</w:t>
      </w:r>
    </w:p>
    <w:p>
      <w:pPr>
        <w:spacing w:after="0" w:line="222"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(the “EU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We have incurred and expect to incur additional costs to comply with the rules, including costs related to efforts to determine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which would make it more difficult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spacing w:after="0" w:line="171"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cause loss of sales and customers or increase component costs resulting in lower gross margins and free cash flow.</w:t>
      </w:r>
    </w:p>
    <w:p>
      <w:pPr>
        <w:spacing w:after="0" w:line="149"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may discontinue or modify components used in our products. We have in the past experienced, and are currently experiencing, shortages and long lead times for certain components. Our limited source components for particular appliances and suppliers of those components include specific types of CPUs from Intel, network chips from Broadcom, Marvell and Intel, and memory devices from Intel, ADATA, Toshiba, Samsung and Western Digital. We also may face shortages in the supply of the capacitors and resistors that are used in the manufacturing of our products.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6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health emergencies such as earthquakes, fires, power outages, typhoons, floods, health pandemics and epidemics such as the COVID-19 pandemic, and manmade events such as civil unrest, labor disruption, international trade disputes, international conflicts, terrorism, wars, critical infrastructure attacks and other factors. Our reliance on a limited number of suppliers involves several additional risks, including:</w:t>
      </w:r>
    </w:p>
    <w:p>
      <w:pPr>
        <w:spacing w:after="0" w:line="188" w:lineRule="exact"/>
        <w:rPr>
          <w:sz w:val="20"/>
          <w:szCs w:val="20"/>
          <w:color w:val="auto"/>
        </w:rPr>
      </w:pPr>
    </w:p>
    <w:p>
      <w:pPr>
        <w:ind w:left="5540" w:right="2960" w:hanging="4884"/>
        <w:spacing w:after="0" w:line="527" w:lineRule="auto"/>
        <w:tabs>
          <w:tab w:leader="none" w:pos="131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 48</w:t>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infringement or misappropriation of our IP;</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in component quality;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inability to ship products on a timely basis.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 significant portion of our operating expenses are incurred outside the United States. These expenses are denominated in foreign currencies and are subject to fluctuations due to changes in foreign currency exchange rates, particularly changes in the Euro, Brazilian real, Canadian dollar and British pound. Additionally, fluctuations in the exchange rate of the Canadian dollar may negatively impact our development plans in Burnaby, Canada. While we are not currently engaged in material hedging activities, we have been hedging currency exposures relating to certain balance sheet accounts through the use of forward exchange contracts. If we stop hedging against any of these risks or if our attempts to hedge against these currency exposures are not successful, our financial condition and results of operations could be adversely affected.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may increase the real cost of our products to our customers outside of the United States, which may also adversely affect our financial condition and results of operations.</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Failure to comply with laws and regulations applicable to our business could subject us to fines and penalties and could also cause us to lose end-customers in the public sector or negatively impact our ability to contract with the public sector.</w:t>
      </w:r>
    </w:p>
    <w:p>
      <w:pPr>
        <w:spacing w:after="0" w:line="170"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Our business is subject to regulation by various federal, state, regional,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In certain jurisdictions, these regulatory requirements may be more stringent than in the United States. Non-compliance with applicable regulations or requirements could subject us to investigations, sanctions, enforcement actions, disgorgement of profits, fines, damages and civil and criminal penalties or injunctions. If any governmental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16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For example, the GDPR, which became effective in May 2018 and superseded current EU data protection regulations, imposes stringent data handling requirements on companies that receive or process personal data of residents of the EU. Non-compliance with the GDPR could result in significant penalties, including data protection audits and heavy fines. Compliance with, and the other burdens imposed by, the GDPR may limit our ability to operate or expand our business in Europe and could adversely impact our operating results, as could delays or shortcomings in the implementation of our GDPR compliance program.</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320" w:top="122" w:right="35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Additionally, we may be subject to other legal regimes throughout the world governing data handling, protection and privacy. For example, in June 2018, California passed the California Consumer Privacy Act (the “CCPA”), which provides new data privacy rights for consumers and new operational requirements for companies and became effective on January 1, 2020. Fines for non-compliance may be up to $7,500 per violation. The costs of compliance with, and other burdens imposed by, the GDPR and CCPA may limit the use and adoption of our products and services and could have an adverse impact on our business.</w:t>
      </w:r>
    </w:p>
    <w:p>
      <w:pPr>
        <w:spacing w:after="0" w:line="18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Selling our solutions to the U.S. government, whether directly or through channel partners, also subjects us to certain regulatory and contractual requirements and risks. Failure to comply with these requirements by either us or our channel partners could subject us to investigations, fines, suspension or debarment from doing business with the U.S. government or one of its divisions, and other penalties and damages, which could have an adverse effect on our business, operating results, financial condition and prospects. As an example, the U.S. Department of Justice has in the past pursued claims against, and obtained monetary settlements or damages from, companies, including us, under the False Claims Act and other statutes related to pricing, discount practices and compliance with laws related to sales to the federal government, such as the Trade Agreements Act (the “TAA”). Any violations of regulatory and contractual requirements could result in us being suspended or debarred from future government contracting. Any of these outcomes could have an adverse effect on our revenue, operating results, financial condition and prospects.</w:t>
      </w:r>
    </w:p>
    <w:p>
      <w:pPr>
        <w:spacing w:after="0" w:line="17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These laws and regulations impose added costs on our business, and failure to comply with these or other applicable regulations and requirements, including non-compliance in the past, could lead to claims for damages from our channel partners, penalties, termination of contracts, loss of exclusive rights in our IP and temporary suspension or permanent debarment from government contracting. Any such damages, penalties, disruptions or limitations in our ability to do business with the public sector could have an adverse effect on our business and operating results.</w:t>
      </w:r>
    </w:p>
    <w:p>
      <w:pPr>
        <w:spacing w:after="0" w:line="17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Global economic uncertainty and weakening product demand caused by political instability and conflict could adversely affect our business and financial performance.</w:t>
      </w:r>
    </w:p>
    <w:p>
      <w:pPr>
        <w:spacing w:after="0" w:line="170"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Economic uncertainty in various global markets caused by political instability and conflict has resulted, and may continue to result, in weakened demand for our products and services and difficulty in forecasting our financial results and managing inventory levels. Political developments impacting government spending and international trade, including potential government shutdowns and election year instability in the United States, continued uncertainty surrounding the United Kingdom’s departure from the EU and trade disputes and tariffs, may negatively impact markets and cause weaker macro-economic conditions. The effects of these events may continue due to potential additional U.S. government shutdowns and developments resulting from the 2020 presidential election, instability in the United Kingdom and the EU as negotiations for the terms of Brexit continue, with the ultimate outcome still uncertain, and the United States’ ongoing trade disputes with China and other countries. The continuing effect of any or all of these events could adversely impact demand for our products, harm our operations and weaken our financial results.</w:t>
      </w:r>
    </w:p>
    <w:p>
      <w:pPr>
        <w:spacing w:after="0" w:line="16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restrictions on sales, and that could impair our ability to compete in international markets.</w:t>
      </w:r>
    </w:p>
    <w:p>
      <w:pPr>
        <w:spacing w:after="0" w:line="17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Because we incorporate encryption technology into our products, certain of our products are subject to U.S. export controls and may be exported outside the United States only with the required export license or through an export license exception, or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(e.g.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178"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164"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b w:val="1"/>
          <w:bCs w:val="1"/>
          <w:i w:val="1"/>
          <w:iCs w:val="1"/>
          <w:color w:val="auto"/>
        </w:rPr>
        <w:t>Efforts to withdraw from or materially modify international trade agreements, to change tax provisions related to global manufacturing and sales or to impose new tariffs, economic sanctions or related legislation, any of which could adversely affect our financial condition and results of operations.</w:t>
      </w:r>
    </w:p>
    <w:p>
      <w:pPr>
        <w:spacing w:after="0" w:line="100"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Our business benefits directly and indirectly from free trade agreements, and we also rely on various U.S. corporate tax provisions related to international commerce, as we develop, market and sell our products and services globally. Efforts to withdraw from or materially modify international trade agreements, or to change corporate tax policy related to international commerce, could adversely affect our financial condition and results of operations as could the continuing uncertainty regarding whether such actions will be taken.</w:t>
      </w:r>
    </w:p>
    <w:p>
      <w:pPr>
        <w:spacing w:after="0" w:line="187"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Moreover, efforts to implement changes related to export or import regulations (including the imposition of new border taxes or tariffs on foreign imports), trade barriers, economic sanctions and other related policies could harm our results of operations. For example, during 2018 and 2019 the United States imposed additional import tariffs on certain goods from different countries and on most of Chinese imported goods. As a result, China and other countries imposed retaliatory tariffs on goods exported from the United States and both the United States and foreign countries have threatened to alter or leave current trade agreements. While we do not currently expect these tariffs to have a significant effect on our raw material and product import costs, if the United States expands increased tariffs, or retaliatory trade measures are taken by China or other countries in response to the tariffs, the cost of our products could increase, our operations could be disrupted or we could be required to raise our prices, which may result in the loss of customers and harm to our reputation and operating performance.</w:t>
      </w:r>
    </w:p>
    <w:p>
      <w:pPr>
        <w:spacing w:after="0" w:line="178"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Any modification in these areas, any shift in the enforcement or scope of existing regulations or any change in the countries, governments, persons or technologies targeted by such regulations, could result in decreased use of our products by, or in our decreased ability to export or sell our products to, existing or potential end-customers with international operations and could result in increased costs. Any decreased use of our products or limitation on our ability to export or sell our products would likely adversely affect our business,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comply with environmental requirements, our business, financial condition, operating results and reputation could be adversely affected.</w:t>
      </w:r>
    </w:p>
    <w:p>
      <w:pPr>
        <w:spacing w:after="0" w:line="26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are subject to various environmental laws and regulations, including laws governing the hazardous material content of our products, laws relating to our real property and future expansion plans and laws concerning the recycling of electrical and electronic equipment. The laws and regulations to which we are subject include the EU RoHS Directive, EU Registration, Evaluation, Authorization and Restriction of Chemicals and the EU Waste Electrical and Electronic Equipment Directive (the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7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EU RoHS Directive and the similar laws of other jurisdictions ban or restrict the presence of certain hazardous substances such as lead, mercury, cadmium, hexavalent chromium and certain fire-retardant plastic additives in electrical equipment, including our products. We have incurred costs to comply with these laws, including research and development costs, costs associated with assuring the supply of compliant components and costs associated with writing off scrapped noncompliant inventory. We expect to continue to incur costs related to environmental laws and regulations in the future. With respect to the EU RoHS, we and our competitors rely on exemptions for lead and other substances in network infrastructure equipment. It is possible one or more of these use exemptions will be revoked in the future. Additionally, although some of the EU RoHS exemptions have been extended, it is possible that some of these exemptions may expire in the future without being extended. If this exemption is revoked or expires without extension,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and/or disrupt our operations or logistics.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5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portion of our revenue is generated by sales to government organizations, which are subject to a number of challenges and risks.</w:t>
      </w:r>
    </w:p>
    <w:p>
      <w:pPr>
        <w:spacing w:after="0" w:line="23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Sales to U.S. and foreign federal, state and local governmental agency end-customers have accounted for a portion of our revenue in past periods, and we may in the future increase sales to government organizations. Sales to government organizations are subject to a number of risks. Selling to government organizations can be highly competitive, expensive and time consuming, often requiring significant upfront time and expense, with long sales cycles and without any assurance of winning a sale.</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Government demand, sales and payment for our products and services may be negatively impacted by numerous factors and requirements unique to selling to government agencies, such as:</w:t>
      </w:r>
    </w:p>
    <w:p>
      <w:pPr>
        <w:spacing w:after="0" w:line="170"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public sector budgetary cycles;</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funding authorizations and requirements unique to government agencies, with funding or purchasing reductions or delays adversely affecting public sector demand for our products;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geopolitical matters, including tariff and trade disputes, Brexit and government shutdowns;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rules and regulations applicable to certain government sales, including GSA regulations.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Government spending may also be negatively impacted by the COVID-19 pandemic.</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rules and regulations applicable to sales to government organizations may also negatively impact sales to other organizations. To date, we have had limited traction in sales to U.S. federal government agencies, and any future sales to government organizations is uncertain. Government organizations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 organization, the financial health of the distributor could be substantially harmed, which could negatively affect our future sales to such distributor. Governments routinely investigate, review and audit government vendors’ administrative and other processes, and any unfavorable investigation, audit or other review could result in the government’s refusing to continue buying our products and services, a reduction of revenue or fines, or civil or criminal liability if the investigation, audit or other review uncovers improper, illegal or otherwise concerning activities. Any such penalties could adversely impact our results of operations in a material way. Finally, purchases by the U.S. government may require certain products to be manufactured in the United States and other high cost manufacturing locations, and we may not manufacture all products in locations that meet the requirements of the U.S. government.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False detection of vulnerabilities, viruses or security breaches or false identification of spam or spyware could adversely affect our business.</w:t>
      </w:r>
    </w:p>
    <w:p>
      <w:pPr>
        <w:spacing w:after="0" w:line="24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FortiGuard security subscription services may falsely detect, report and act on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FortiGuard security subscription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122" w:right="35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19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ability to sell our products is dependent on the quality of our technical support services, and our failure to offer high-quality technical support services would have a material adverse effect on our sales and results of operations.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planning, deploying and operational proficiency for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large end-customers, and service provider or government organization end-customers, require higher levels of support than smaller end-customers because of their more complex deployments and more demanding environments and business models. If we, our channel partners or other third parties fail to meet the requirements of our larger end-customers, it may be more difficult to execute on our strategy to increase our penetration with large businesses, service providers and government organizations. Our failure to maintain high-quality support services would have a material adverse effect on our business, financial condition and results of operations and may subject us to litigation, reputational damage, loss of customers and additional costs.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changes in our tax rates, the adoption of new U.S. or international tax legislation or exposure to additional tax liabilities.</w:t>
      </w:r>
    </w:p>
    <w:p>
      <w:pPr>
        <w:spacing w:after="0" w:line="248"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These include:</w:t>
      </w:r>
    </w:p>
    <w:p>
      <w:pPr>
        <w:spacing w:after="0" w:line="124"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mix of earnings in countries with differing statutory tax rates or withholding taxes;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transfer pricing adjustments;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availability of tax credits and/or tax deductions;</w:t>
      </w:r>
    </w:p>
    <w:p>
      <w:pPr>
        <w:spacing w:after="0" w:line="26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25"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provision for income taxes for the period in which the settlement takes place; and</w:t>
      </w:r>
    </w:p>
    <w:p>
      <w:pPr>
        <w:spacing w:after="0" w:line="170" w:lineRule="exact"/>
        <w:rPr>
          <w:rFonts w:ascii="Arial" w:cs="Arial" w:eastAsia="Arial" w:hAnsi="Arial"/>
          <w:sz w:val="18"/>
          <w:szCs w:val="18"/>
          <w:color w:val="auto"/>
        </w:rPr>
      </w:pPr>
    </w:p>
    <w:p>
      <w:pPr>
        <w:ind w:left="1300" w:right="86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accounting principles, court decisions, tax rulings, and interpretations of or changes to tax laws, and regulations by international, federal or local governmental authorities.</w:t>
      </w:r>
    </w:p>
    <w:p>
      <w:pPr>
        <w:spacing w:after="0" w:line="170"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have open tax years that could be subject to the examination by the Internal Revenue Service (the “IRS”) and other tax authorities. We currently have ongoing tax audits in the United Kingdom, Canada and several other foreign jurisdictions. The focus of all of these audits is the allocation of profit between our legal entities. We regularly assess the likelihood of adverse outcomes resulting from such examinations to determine the adequacy of our provision for income taxes. Although we believe that our estimates are reasonable, the ultimate tax outcome may differ from the amounts recorded in our consolidated financial statements and may materially affect our financial results.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On June 7, 2019, the Ninth Circuit issued an opinion in </w:t>
      </w:r>
      <w:r>
        <w:rPr>
          <w:rFonts w:ascii="Arial" w:cs="Arial" w:eastAsia="Arial" w:hAnsi="Arial"/>
          <w:sz w:val="18"/>
          <w:szCs w:val="18"/>
          <w:i w:val="1"/>
          <w:iCs w:val="1"/>
          <w:color w:val="auto"/>
        </w:rPr>
        <w:t>Altera Corporation and Subsidiaries vs. Commissioner of Internal Revenue</w:t>
      </w:r>
      <w:r>
        <w:rPr>
          <w:rFonts w:ascii="Arial" w:cs="Arial" w:eastAsia="Arial" w:hAnsi="Arial"/>
          <w:sz w:val="18"/>
          <w:szCs w:val="18"/>
          <w:color w:val="auto"/>
        </w:rPr>
        <w:t xml:space="preserve"> that reversed the Tax Court Decision in favor of the IRS. The opinion ruled in favor of the IRS, stating that stock compensation must be included in cost sharing. Based on this decision, in the second quarter of 2019, we recorded a reserve for uncertain tax positions for this potential tax liability. On February 10, 2020, the Ninth Circuit decision was appealed to the Supreme Court of the United States. We will continue to monitor and assess the impact as this case moves forward.</w:t>
      </w:r>
    </w:p>
    <w:p>
      <w:pPr>
        <w:spacing w:after="0" w:line="188"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that we believe is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17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in a given jurisdiction differs from our estimate, our actual tax rate could be materially different than forecasted, which could have a material impact on our results of business, financial condition and results of operations. Additionally, our actual tax rate may be subject to further uncertainty due to potential changes in U.S. and foreign tax rules.</w:t>
      </w:r>
    </w:p>
    <w:p>
      <w:pPr>
        <w:spacing w:after="0" w:line="16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 authorities may impose tax assessments or judgments against us that could materially impact our tax liability and/or our effective income tax rate.</w:t>
      </w:r>
    </w:p>
    <w:p>
      <w:pPr>
        <w:spacing w:after="0" w:line="177"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The Organisation for Economic Co-operation and Development (the “OECD”), an international association comprised of 36 countries, including the United States, has issued and continues to issue guidelines and proposals that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acquire and integrate other businesses, products or technologies could seriously harm our competitive position.</w:t>
      </w:r>
    </w:p>
    <w:p>
      <w:pPr>
        <w:spacing w:after="0" w:line="225"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In order to remain competitive, we may seek to acquire additional businesses, products, technologies or IP, such as patents. For example, we closed our acquisitions of enSilo and CyberSponse in the fourth quarter of 2019. For any possible future acquisitions, we may not be successful in negotiating the terms of the acquisition or financing the acquisition. For both our prior and future acquisitions, we may not be successful in effectively integrating the acquired business, product, technology or IP and sales force into our existing business and operations. We may have difficulty incorporating acquired technologies, IP or products with our existing product lines, integrating reporting systems and procedures, and maintaining uniform standards,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320" w:top="122" w:right="35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controls, procedures and policies. For example, we may experience difficulties integrating an acquired company’s ERP or CRM systems, sales support and other processes and systems, with our current systems and processes. Our due diligence may fail to identify all of the problems, liabilities or other shortcomings or challenges of an acquired business, product or technology, including issues with IP, product quality or product architecture, regulatory compliance practices, revenue recognition or other accounting practices or employee or customer issues, and we may not accurately forecast the financial impact of an acquisition. In addition, any acquisitions we are able to complete may be dilutive to revenue growth and earnings and may not result in any synergies or other benefits we had expected to achieve, which could result in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during a quarter may result in increased operating expenses and adversely affect our results of operations for that period or future periods compared to the results that we have previously forecasted or achieved. Further, completing a potential acquisition and integrating acquired businesses, products, technologies or IP could significantly divert management time and resources.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products are very complex and, despite testing prior to their release, have contained and may contain undetected defects or errors, especially when first introduced or when new versions are released. Product errors have affected the performance and effectiveness of our products and could delay the development or release of new products or new versions of products, adversely affect our reputation and our end-customers’ willingness to buy products from us, result in litigation and disputes with customers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litigation, litigation costs and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7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Although we generally have limitation of liability provisions in our standard terms and conditions of sale, they may not fully or effectively protect us from claims if exceptions apply or if the provisions are deemed unenforceable, and in some circumstances we may be required to indemnify a customer in full, without limitation, for certain liabilities, including liabilities that are not contractually limited. The sale and support of our products also entail the risk of product liability claims. We maintain insurance to protect against certain claims associated with the use of our products, but our insurance coverage may not adequately cover any claim asserted against us, if at all,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195" w:lineRule="exact"/>
        <w:rPr>
          <w:sz w:val="20"/>
          <w:szCs w:val="20"/>
          <w:color w:val="auto"/>
        </w:rPr>
      </w:pPr>
    </w:p>
    <w:p>
      <w:pPr>
        <w:jc w:val="both"/>
        <w:ind w:right="60"/>
        <w:spacing w:after="0" w:line="381" w:lineRule="auto"/>
        <w:rPr>
          <w:sz w:val="20"/>
          <w:szCs w:val="20"/>
          <w:color w:val="auto"/>
        </w:rPr>
      </w:pPr>
      <w:r>
        <w:rPr>
          <w:rFonts w:ascii="Arial" w:cs="Arial" w:eastAsia="Arial" w:hAnsi="Arial"/>
          <w:sz w:val="15"/>
          <w:szCs w:val="15"/>
          <w:b w:val="1"/>
          <w:bCs w:val="1"/>
          <w:i w:val="1"/>
          <w:iCs w:val="1"/>
          <w:color w:val="auto"/>
        </w:rPr>
        <w:t>Our business is subject to the risks of earthquakes, fire, power outages, typhoon, floods, virus outbreaks and other broad health-related challenges and other catastrophic events, and to interruption by manmade problems such as civil unrest, labor disruption, critical infrastructure attack and terrorism.</w:t>
      </w:r>
    </w:p>
    <w:p>
      <w:pPr>
        <w:spacing w:after="0" w:line="100"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A significant natural disaster, such as an earthquake, fire, power outage, flood, viral outbreak or other catastrophic event, could have a material adverse impact on our business, operating results and financial condition. Our corporate headquarters are located in the San Francisco Bay Area, a region known for seismic activity, and our research and development and data center in Burnaby, Canada, from which we deliver to customers our FortiGuard security subscription updates, is subject to the risk of flooding and is also in a region known for seismic activity. Any earthquake in the Bay Area or Burnaby, or flooding in Burnaby, could materially negatively impact our ability to provide products and services, such as FortiCare support and FortiGuard subscription services and could otherwise materially negatively impact our business. In addition, natural disasters could affect our manufacturing vendors, suppliers or logistics providers’ ability to perform services, such as obtaining product components and manufacturing products, or performing or assisting with shipments, on a timely basis, as well as our customers’ ability to order from us and our employees’ ability to perform their duties. For example, a typhoon in Taiwan could materially negatively impact our ability to ship products and could result in delays and reductions in billings and revenues, and the COVID-19 pandemic will negatively impact our ability to manufacture and ship products, possibly in a material way, and could result in delays and reductions in billings and revenues, also possibly in a material way.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civil unrest, labor disruptions, acts of terrorism and other geo-political unrest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122" w:right="35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could cause disruptions in our business or the business of our manufacturers, logistics providers, partners or end-customers, or of the economy as a whole. Given our typical concentration of sales at the end of each quarter, any disruption in the business of our manufacturers, logistics providers, partners or end-customers that impacts sales at the end of our quarter could have a significant adverse impact on our quarterly results. To the extent that any of the above results in security risks to our customers, delays or cancellations of customer orders, the delay of the manufacture, deployment or shipment of our products or interruption or downtime of our services, our business, financial condition and results of operations would be adversely affected.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may be harmed.</w:t>
      </w:r>
    </w:p>
    <w:p>
      <w:pPr>
        <w:spacing w:after="0" w:line="184"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time-consuming research and development processes. For example, we enter into development agreements with third parties. If our contract development projects are not successfully completed, or are not completed in a timely fashion, our product development could be delayed and our business generally could suffer. Costs for contract development can be substantial and our profitability may be harmed if we are unable to recover these costs.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may be harmed.</w:t>
      </w:r>
    </w:p>
    <w:p>
      <w:pPr>
        <w:spacing w:after="0" w:line="16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Moreover, business models based on SaaS, either hosted or cloud-based services, have become increasingly in-demand by our end-customers and adopted by other providers, including our competitors. While we have introduced additional cloud-based products and services and will continue to do so, most of our platform is currently deployed on premise, and therefore, if customers demand that our platform be provided through a SaaS business model, we would be required to make additional investments in our infrastructure and personnel to be able to more fully provide our platform through a SaaS model in order to maintain the competitiveness of our platform. Such investments may involve expanding our data centers, servers and networks, and increasing our technical operations and engineering teams. These risks are compounded by the uncertainty concerning the future viability of SaaS business models and the future demand for such models by customers. Additionally, if we are unable to meet the demand to provide our services through a SaaS model, we may lose customers to competitors.</w:t>
      </w:r>
    </w:p>
    <w:p>
      <w:pPr>
        <w:spacing w:after="0" w:line="17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uniform resource locator (“URL”) database for our web filtering service may fail to keep pace with the rapid growth of URLs and may not categorize websites in accordance with our end-customers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expectations.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122" w:right="35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16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our new products and product enhancements do not achieve sufficient market acceptance, our results of operations and competitive position will suffer.</w:t>
      </w:r>
    </w:p>
    <w:p>
      <w:pPr>
        <w:spacing w:after="0" w:line="170"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spend substantial amounts of time and money to acquire and develop internally new products and enhanced versions of our existing products in order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failure to have the appropriate research and development expertise and focus to make our top strategic fabric products successful;</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perceived defects, vulnerabilities,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to the regulatory requirements around security;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122" w:right="35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Demand for our products may be limited by market perception that individual products from one vendor that provide multiple layers of security protection in one product are inferior to point solution network security solutions from multiple vendors.</w:t>
      </w:r>
    </w:p>
    <w:p>
      <w:pPr>
        <w:spacing w:after="0" w:line="146"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Sales of many of our products depend on increased demand for incorporating broad security functionality into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businesses,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intense competition in our market and we may lack sufficient financial or other resources to maintain or improve our competitive position.</w:t>
      </w: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market for network security products is intensely competitive and we expect competition to intensify in the future. We face many competitors across the different cybersecurity markets. Our competitors include companies such as Barracuda, Check Point, Cisco, CrowdStrike, F5 Networks, FireEye, Forcepoint, Imperva, Juniper, McAfee, Palo Alto Networks, Proofpoint, SonicWALL, Sophos, Trend Micro and Zscaler.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existing and potential competitors enjoy substantial competitive advantages such as:</w:t>
      </w:r>
    </w:p>
    <w:p>
      <w:pPr>
        <w:spacing w:after="0" w:line="225"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In addition, some of our larger competitors have substantially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security threat are often able to deliver these specialized security products to the market more quickly than we can.</w:t>
      </w:r>
    </w:p>
    <w:p>
      <w:pPr>
        <w:spacing w:after="0" w:line="19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Conditions in our markets could change rapidly and significantly as a result of technological advancements or continuing market consolidation. Our competitors and potential competitors may also be able to develop products or services, and leverage new business models, that are equal or superior to ours, achieve greater market acceptance of their products and services, and increase sales by utilizing different distribution channels than we do. For example, certain of our competitors are focusing on delivering security services from the cloud. In addition, current or potential competitors may be acquired by third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parties with greater available resources,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As our customers refresh the security products bought in prior years, they may seek to consolidate vendors, which may result in current customers choosing to purchase products from our competitors on an ongoing basis.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16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Large, well-established providers of networking equipment such as Cisco, F5 Networks and Juniper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24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8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IP rights, to protect our trade secrets, to determine the validity and scope of the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122" w:right="35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15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products contain software modules licensed to us by third-party authors under “open source” licenses, including the GNU Public License, the GNU Lesser Public License, the BSD License, the Apache License, the MIT X License and the Mozilla Public License. From time to time, there have been claims against companies that distribute or use open source software in their products and services, asserting that open source software infringes the claimants’ IP rights. We could be subject to suits by parties claiming infringement of IP rights in what we believe to be licensed open source software. Use and distribution of open source software may entail greater risks than use of third-party commercial software, as, for example,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8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U.S. courts, and there is a risk that these licenses could be construed in a way that, for example,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Patent and other IP disputes are common in the network security industry. Third parties are currently asserting, have asserted and may in the future assert claims of infringement of IP rights against us. Third parties have also asserted such claims against our end-customers or channel partners whom we may indemnify against claims that our products infringe the IP rights of third parties. As the number of products and competitors in our market increases and overlaps occur, infringement claims may increase. Any claim of infringement by a third 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95"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4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88"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From time to time we are subject to lawsuits claiming patent infringement. We are also subject to other litigation in addition to patent infringement claims, such as employment-related litigation and disputes, as well as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We have several ongoing patent lawsuits, certain companies have sent us demand letters proposing that we license certain of their patents, and organizations have sent letters demanding that we provide indemnification for patent claims. As two examples of the ongoing patent lawsuits against us, one such patent lawsuit by British Telecommunications plc was filed in federal court in Delaware in July 2018, and a second such lawsuit by Finjan, Inc. was filed in federal court in California in October 2018, and additional patent lawsuits have been filed against us since. Given this and the proliferation of lawsuits in our industry and other similar industries by both non-practicing entities and operating entities, and recent non-practicing entity and operating entity patent litigation against other companies in the security space, we expect that we will be sued for patent infringement in the future, regardless of the merits of any such lawsuits. The cost to defend such lawsuits and any settlement payment or adverse result in such lawsuits could have a material adverse effect on our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Many of our products include software or other IP licensed from third parties. It may be necessary in the future to renew licenses relating to various aspects of these products or to seek new licenses for existing or new products. Licensors may claim we owe them additional license fees for past and future use of their software and other IP or that we cannot utilize such software or IP in our products going forward. There can be no assurance that the necessary licenses would be available on acceptable terms, if at all. The inability to obtain certain licenses or other rights or to obtain such licenses or rights on favorable terms or for reasonable pricing, or the need to engage in litigation regarding these matters, could result in delays in product releases until equivalent technology can be identified, licensed or developed, if at all, and integrated into our products and may result in significant license fees and have a material adverse effect on our business, operating results, and financial condition. Moreover, the inclusion in our products of software or other IP licensed from third parties on a non-exclusive basis could limit our ability to differentiate our products from those of our competitors.</w:t>
      </w:r>
    </w:p>
    <w:p>
      <w:pPr>
        <w:spacing w:after="0" w:line="16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We also rely on technologies licensed from third parties in order to operate functions of our business. If any of these third parties allege that we have not properly paid for such licenses or that we have improperly used the technologies under such licenses, we may need to pay additional fees or obtain new licenses, and such licenses may not be available on terms acceptable to us or at all or may be costly. In any such case, or if we were required to redesign our internal operations to function with new technologies, our business, results of operations and financial condition could be harmed.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Sarbanes-Oxley Act of 2002 (“Sarbanes-Oxley”),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2019, our internal controls over financial reporting were effective, we cannot predict the outcome of our testing in 2020 or future periods. We may incur additional expenses and commitment of management’s time in connection with further evaluations, both of which could materially increase our operating expenses and accordingly reduce our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financial accounting standards may cause adverse unexpected fluctuations and affect our reported results of operations.</w:t>
      </w:r>
    </w:p>
    <w:p>
      <w:pPr>
        <w:spacing w:after="0" w:line="23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 change in accounting standards or practices, and varying interpretations of existing or new accounting pronouncements, such as changes to standards related to accounting for leases (which became effective for us on January 1, 2019), as well as the significant costs incurred or that may be incurred to adopt and to comply with these new pronouncements,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could have an adverse effect on our business, our ability to meet our reporting obligations and compliance with internal control requirements.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lease standard is principles based and interpretation of those principles may vary from company to company based on their unique circumstances. Management will continue to make judgments and assumptions based on our interpretation of the new standard. If our circumstances change or if actual circumstances differ from our assumptions, our operating result may be adversely affected and could fall below our publicly announced guidance or the expectations of securities analysts and investors, resulting in a decline in the market price of our common stock. Further, equity investments are now required to be measured at fair value (with subsequent changes in fair value recognized in net income), which may increase the volatility of our earnings</w:t>
      </w:r>
    </w:p>
    <w:p>
      <w:pPr>
        <w:spacing w:after="0" w:line="15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70"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 us downgrades our stock or publishes inaccurate or unfavorable research about our business, our stock price could decline. If one or more of these analysts ceases coverage of our company or fails to publish reports on us regularly, demand for our stock could decrease, which could cause our stock price and trading volume to decline.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may be volatile.</w:t>
      </w:r>
    </w:p>
    <w:p>
      <w:pPr>
        <w:spacing w:after="0" w:line="225" w:lineRule="exact"/>
        <w:rPr>
          <w:sz w:val="20"/>
          <w:szCs w:val="20"/>
          <w:color w:val="auto"/>
        </w:rPr>
      </w:pPr>
    </w:p>
    <w:p>
      <w:pPr>
        <w:jc w:val="both"/>
        <w:ind w:right="260" w:firstLine="648"/>
        <w:spacing w:after="0" w:line="279" w:lineRule="auto"/>
        <w:rPr>
          <w:sz w:val="20"/>
          <w:szCs w:val="20"/>
          <w:color w:val="auto"/>
        </w:rPr>
      </w:pPr>
      <w:r>
        <w:rPr>
          <w:rFonts w:ascii="Arial" w:cs="Arial" w:eastAsia="Arial" w:hAnsi="Arial"/>
          <w:sz w:val="17"/>
          <w:szCs w:val="17"/>
          <w:color w:val="auto"/>
        </w:rPr>
        <w:t>The market price of our common stock may be subject to wide fluctuations in response to, among other things, the risk factors described in this periodic report, news about us and our financial results, the impact of the COVID-19 pandemic, news about our competitors and their results, and other factors such as rumors or fluctuations in the valuation of companies perceived by investors to be comparable to us. For example, the three months ended March 31, 2020, the closing price of our common stock ranged from $75.70 to $121.33 per share.</w:t>
      </w:r>
    </w:p>
    <w:p>
      <w:pPr>
        <w:spacing w:after="0" w:line="171" w:lineRule="exact"/>
        <w:rPr>
          <w:sz w:val="20"/>
          <w:szCs w:val="20"/>
          <w:color w:val="auto"/>
        </w:rPr>
      </w:pPr>
    </w:p>
    <w:p>
      <w:pPr>
        <w:ind w:right="160" w:firstLine="693"/>
        <w:spacing w:after="0" w:line="279" w:lineRule="auto"/>
        <w:rPr>
          <w:sz w:val="20"/>
          <w:szCs w:val="20"/>
          <w:color w:val="auto"/>
        </w:rPr>
      </w:pPr>
      <w:r>
        <w:rPr>
          <w:rFonts w:ascii="Arial" w:cs="Arial" w:eastAsia="Arial" w:hAnsi="Arial"/>
          <w:sz w:val="17"/>
          <w:szCs w:val="17"/>
          <w:color w:val="auto"/>
        </w:rPr>
        <w:t>Furthermore,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7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 In addition, the market price of our common stock and the market price of the common stock of many other companies have fallen significantly since the outbreak of the COVID-19 pandemic. The extent to which the COVID-19 pandemic may impact the market price of our common stock is unclear, and the market price of our common stock may fluctuate significantly as a result of the COVID-19 pandemic.</w:t>
      </w:r>
    </w:p>
    <w:p>
      <w:pPr>
        <w:spacing w:after="0" w:line="19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Share repurchases under our Repurchase Program (the “Repurchase Program”) could increase the volatility of the trading price of our common stock, could diminish our cash reserves, could occur at non-optimal prices and may not result in the most effective use of our capital.</w:t>
      </w:r>
    </w:p>
    <w:p>
      <w:pPr>
        <w:spacing w:after="0" w:line="124"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In November 2019, our board of directors approved a $1.0 billion increase in the authorized stock repurchase under the Repurchase Program and extended the term of the Repurchase Program to February 28, 2021, bringing the aggregate amount authorized to be repurchased $2.5 billion. As of March 31, 2020, $0.7 billion remained available for future share repurchases under the Repurchase Program. Share repurchases under the Repurchase Program could affect the price of our common stock, increase stock price volatility and diminish our cash reserves. In addition, an announcement of the reduction, suspension or termination of the Repurchase Program could result in a decrease in the trading price of our common stock. Moreover, our stock price could decline, resulting in repurchases made at non-optimal prices. Our failure to repurchase our stock at optimal prices may be perceived by investors as an inefficient use of our cash and cash equivalents, which could result in litigation that may have an adverse effect on our business, operating results and financial condition. In addition, while our board of directors carefully considers various alternative uses of our cash and cash equivalents in determining whether to authorize stock repurchases, there can be no assurance that the decision by our board of directors to repurchase stock would result in the most effective uses of our cash and cash equivalents, and there may be alternative uses of our cash and cash equivalents that would be more effective, such as investing in growing our business organically or through acquisitions.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certificate of incorporation and bylaws, as well as provisions of Delaware law, could impair a takeover attempt.</w:t>
      </w:r>
    </w:p>
    <w:p>
      <w:pPr>
        <w:spacing w:after="0" w:line="170"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46" w:lineRule="exact"/>
        <w:rPr>
          <w:sz w:val="20"/>
          <w:szCs w:val="20"/>
          <w:color w:val="auto"/>
        </w:rPr>
      </w:pPr>
    </w:p>
    <w:p>
      <w:pPr>
        <w:ind w:left="1300" w:right="360" w:hanging="644"/>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providing that certain litigation matters may only be brought against us in state or federal courts in the State of Delaware;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480" w:hanging="644"/>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addition, our amended and restated bylaws provide that unless we consent in writing to the selection of an alternative forum, to the fullest extent permitted by law, the federal district courts of the United States shall be the exclusive forum for the resolution of any complaint asserting a cause of action arising under the Securities Act of 1933, as amended. Any person or entity purchasing or otherwise acquiring any interest in any of our securities shall be deemed to have notice of and consented to this provision. This provision, as well as provisions providing that certain litigation matters may only be brought against us in state or federal courts in the State of Delaware, may limit a stockholder’s ability to bring a claim in a judicial forum that it finds favorable for disputes with us or any of our directors, officers or other employees, which may discourage lawsuits against us and our directors, officers and other employees.</w:t>
      </w:r>
    </w:p>
    <w:p>
      <w:pPr>
        <w:spacing w:after="0" w:line="19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stockholders holding more than 15% of our outstanding common stock from engaging in certain business combinations without approval of the holders of a substantial majority of all of our outstanding common stock.</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4"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However, these anti-takeover provisions will not have the effect of preventing activist stockholders from seeking to increase short-term stockholder value through actions such as nominating board candidates and requesting that we pursue strategic combinations or other transactions. These actions could disrupt our operations, be costly and time-consuming and divert the attention of our management and employees. In addition, perceived uncertainties as to our future direction as a result of activist stockholder actions could result in the loss of potential business opportunities, as well as other negative business consequences. Actions of an activist stockholder may also cause fluctuations in our stock price based on speculative market perceptions or other factors that do not necessarily reflect our business. Further, we may incur significant expenses in retaining professionals to advise and assist us on activist stockholder matters, including legal, financial, communications advisors and solicitation experts, which may negatively impact our future financial results.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provides information with respect to the shares of common stock we repurchased under the Repurchase Program during the three months ended March 31, 2020 (in millions,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1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 Price</w:t>
            </w: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 Publicly</w:t>
            </w:r>
          </w:p>
        </w:tc>
        <w:tc>
          <w:tcPr>
            <w:tcW w:w="120" w:type="dxa"/>
            <w:vAlign w:val="bottom"/>
          </w:tcPr>
          <w:p>
            <w:pPr>
              <w:spacing w:after="0"/>
              <w:rPr>
                <w:sz w:val="12"/>
                <w:szCs w:val="12"/>
                <w:color w:val="auto"/>
              </w:rPr>
            </w:pPr>
          </w:p>
        </w:tc>
        <w:tc>
          <w:tcPr>
            <w:tcW w:w="2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81"/>
        </w:trPr>
        <w:tc>
          <w:tcPr>
            <w:tcW w:w="3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Announced Plan or Program</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0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105"/>
        </w:trPr>
        <w:tc>
          <w:tcPr>
            <w:tcW w:w="372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9"/>
                <w:szCs w:val="9"/>
                <w:color w:val="auto"/>
              </w:rPr>
            </w:pPr>
          </w:p>
        </w:tc>
        <w:tc>
          <w:tcPr>
            <w:tcW w:w="2020" w:type="dxa"/>
            <w:vAlign w:val="bottom"/>
            <w:vMerge w:val="restart"/>
          </w:tcPr>
          <w:p>
            <w:pPr>
              <w:jc w:val="right"/>
              <w:ind w:right="595"/>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9"/>
                <w:szCs w:val="9"/>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Paid per Share</w:t>
            </w:r>
          </w:p>
        </w:tc>
        <w:tc>
          <w:tcPr>
            <w:tcW w:w="120" w:type="dxa"/>
            <w:vAlign w:val="bottom"/>
            <w:vMerge w:val="restart"/>
          </w:tcPr>
          <w:p>
            <w:pPr>
              <w:spacing w:after="0"/>
              <w:rPr>
                <w:sz w:val="9"/>
                <w:szCs w:val="9"/>
                <w:color w:val="auto"/>
              </w:rPr>
            </w:pPr>
          </w:p>
        </w:tc>
        <w:tc>
          <w:tcPr>
            <w:tcW w:w="20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7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20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00" w:type="dxa"/>
            <w:vAlign w:val="bottom"/>
            <w:tcBorders>
              <w:bottom w:val="single" w:sz="8" w:color="auto"/>
            </w:tcBorders>
            <w:gridSpan w:val="2"/>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 January 31, 2020</w:t>
            </w:r>
          </w:p>
        </w:tc>
        <w:tc>
          <w:tcPr>
            <w:tcW w:w="2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1,592.8</w:t>
            </w:r>
          </w:p>
        </w:tc>
        <w:tc>
          <w:tcPr>
            <w:tcW w:w="0" w:type="dxa"/>
            <w:vAlign w:val="bottom"/>
          </w:tcPr>
          <w:p>
            <w:pPr>
              <w:spacing w:after="0"/>
              <w:rPr>
                <w:sz w:val="1"/>
                <w:szCs w:val="1"/>
                <w:color w:val="auto"/>
              </w:rPr>
            </w:pPr>
          </w:p>
        </w:tc>
      </w:tr>
      <w:tr>
        <w:trPr>
          <w:trHeight w:val="243"/>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February 1 - February 29, 2020</w:t>
            </w:r>
          </w:p>
        </w:tc>
        <w:tc>
          <w:tcPr>
            <w:tcW w:w="2020" w:type="dxa"/>
            <w:vAlign w:val="bottom"/>
          </w:tcPr>
          <w:p>
            <w:pPr>
              <w:jc w:val="right"/>
              <w:ind w:right="15"/>
              <w:spacing w:after="0"/>
              <w:rPr>
                <w:sz w:val="20"/>
                <w:szCs w:val="20"/>
                <w:color w:val="auto"/>
              </w:rPr>
            </w:pPr>
            <w:r>
              <w:rPr>
                <w:rFonts w:ascii="Arial" w:cs="Arial" w:eastAsia="Arial" w:hAnsi="Arial"/>
                <w:sz w:val="18"/>
                <w:szCs w:val="18"/>
                <w:color w:val="auto"/>
              </w:rPr>
              <w:t>0.4</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103.36</w:t>
            </w:r>
          </w:p>
        </w:tc>
        <w:tc>
          <w:tcPr>
            <w:tcW w:w="120" w:type="dxa"/>
            <w:vAlign w:val="bottom"/>
          </w:tcPr>
          <w:p>
            <w:pPr>
              <w:spacing w:after="0"/>
              <w:rPr>
                <w:sz w:val="21"/>
                <w:szCs w:val="21"/>
                <w:color w:val="auto"/>
              </w:rPr>
            </w:pPr>
          </w:p>
        </w:tc>
        <w:tc>
          <w:tcPr>
            <w:tcW w:w="2000" w:type="dxa"/>
            <w:vAlign w:val="bottom"/>
          </w:tcPr>
          <w:p>
            <w:pPr>
              <w:jc w:val="right"/>
              <w:ind w:right="18"/>
              <w:spacing w:after="0"/>
              <w:rPr>
                <w:sz w:val="20"/>
                <w:szCs w:val="20"/>
                <w:color w:val="auto"/>
              </w:rPr>
            </w:pPr>
            <w:r>
              <w:rPr>
                <w:rFonts w:ascii="Arial" w:cs="Arial" w:eastAsia="Arial" w:hAnsi="Arial"/>
                <w:sz w:val="18"/>
                <w:szCs w:val="18"/>
                <w:color w:val="auto"/>
              </w:rPr>
              <w:t>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9"/>
              <w:spacing w:after="0"/>
              <w:rPr>
                <w:sz w:val="20"/>
                <w:szCs w:val="20"/>
                <w:color w:val="auto"/>
              </w:rPr>
            </w:pPr>
            <w:r>
              <w:rPr>
                <w:rFonts w:ascii="Arial" w:cs="Arial" w:eastAsia="Arial" w:hAnsi="Arial"/>
                <w:sz w:val="18"/>
                <w:szCs w:val="18"/>
                <w:color w:val="auto"/>
              </w:rPr>
              <w:t>1,550.9</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 March 31, 2020</w:t>
            </w:r>
          </w:p>
        </w:tc>
        <w:tc>
          <w:tcPr>
            <w:tcW w:w="2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9.6</w:t>
            </w:r>
          </w:p>
        </w:tc>
        <w:tc>
          <w:tcPr>
            <w:tcW w:w="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89.80</w:t>
            </w:r>
          </w:p>
        </w:tc>
        <w:tc>
          <w:tcPr>
            <w:tcW w:w="12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692.9</w:t>
            </w:r>
          </w:p>
        </w:tc>
        <w:tc>
          <w:tcPr>
            <w:tcW w:w="0" w:type="dxa"/>
            <w:vAlign w:val="bottom"/>
          </w:tcPr>
          <w:p>
            <w:pPr>
              <w:spacing w:after="0"/>
              <w:rPr>
                <w:sz w:val="1"/>
                <w:szCs w:val="1"/>
                <w:color w:val="auto"/>
              </w:rPr>
            </w:pPr>
          </w:p>
        </w:tc>
      </w:tr>
      <w:tr>
        <w:trPr>
          <w:trHeight w:val="257"/>
        </w:trPr>
        <w:tc>
          <w:tcPr>
            <w:tcW w:w="3840" w:type="dxa"/>
            <w:vAlign w:val="bottom"/>
            <w:gridSpan w:val="2"/>
          </w:tcPr>
          <w:p>
            <w:pPr>
              <w:ind w:left="1680"/>
              <w:spacing w:after="0"/>
              <w:rPr>
                <w:sz w:val="20"/>
                <w:szCs w:val="20"/>
                <w:color w:val="auto"/>
              </w:rPr>
            </w:pPr>
            <w:r>
              <w:rPr>
                <w:rFonts w:ascii="Arial" w:cs="Arial" w:eastAsia="Arial" w:hAnsi="Arial"/>
                <w:sz w:val="18"/>
                <w:szCs w:val="18"/>
                <w:color w:val="auto"/>
              </w:rPr>
              <w:t>Total</w:t>
            </w:r>
          </w:p>
        </w:tc>
        <w:tc>
          <w:tcPr>
            <w:tcW w:w="20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10.0</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90.36</w:t>
            </w:r>
          </w:p>
        </w:tc>
        <w:tc>
          <w:tcPr>
            <w:tcW w:w="120" w:type="dxa"/>
            <w:vAlign w:val="bottom"/>
          </w:tcPr>
          <w:p>
            <w:pPr>
              <w:spacing w:after="0"/>
              <w:rPr>
                <w:sz w:val="22"/>
                <w:szCs w:val="22"/>
                <w:color w:val="auto"/>
              </w:rPr>
            </w:pPr>
          </w:p>
        </w:tc>
        <w:tc>
          <w:tcPr>
            <w:tcW w:w="20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jc w:val="right"/>
              <w:ind w:right="55"/>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exhibits listed in the accompanying Exhibit Index are filed or incorporated by reference as part of this Quarterly Report on Form 10-Q.</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0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220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Incorporated by reference herein</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80"/>
        </w:trPr>
        <w:tc>
          <w:tcPr>
            <w:tcW w:w="700" w:type="dxa"/>
            <w:vAlign w:val="bottom"/>
          </w:tcPr>
          <w:p>
            <w:pPr>
              <w:spacing w:after="0"/>
              <w:rPr>
                <w:sz w:val="6"/>
                <w:szCs w:val="6"/>
                <w:color w:val="auto"/>
              </w:rPr>
            </w:pPr>
          </w:p>
        </w:tc>
        <w:tc>
          <w:tcPr>
            <w:tcW w:w="5540" w:type="dxa"/>
            <w:vAlign w:val="bottom"/>
          </w:tcPr>
          <w:p>
            <w:pPr>
              <w:spacing w:after="0"/>
              <w:rPr>
                <w:sz w:val="6"/>
                <w:szCs w:val="6"/>
                <w:color w:val="auto"/>
              </w:rPr>
            </w:pPr>
          </w:p>
        </w:tc>
        <w:tc>
          <w:tcPr>
            <w:tcW w:w="2200" w:type="dxa"/>
            <w:vAlign w:val="bottom"/>
            <w:tcBorders>
              <w:bottom w:val="single" w:sz="8" w:color="auto"/>
            </w:tcBorders>
            <w:gridSpan w:val="2"/>
          </w:tcPr>
          <w:p>
            <w:pPr>
              <w:spacing w:after="0"/>
              <w:rPr>
                <w:sz w:val="6"/>
                <w:szCs w:val="6"/>
                <w:color w:val="auto"/>
              </w:rPr>
            </w:pPr>
          </w:p>
        </w:tc>
        <w:tc>
          <w:tcPr>
            <w:tcW w:w="1440" w:type="dxa"/>
            <w:vAlign w:val="bottom"/>
            <w:tcBorders>
              <w:bottom w:val="single" w:sz="8" w:color="auto"/>
            </w:tcBorders>
            <w:gridSpan w:val="2"/>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r>
      <w:tr>
        <w:trPr>
          <w:trHeight w:val="184"/>
        </w:trPr>
        <w:tc>
          <w:tcPr>
            <w:tcW w:w="70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2200" w:type="dxa"/>
            <w:vAlign w:val="bottom"/>
            <w:gridSpan w:val="2"/>
          </w:tcPr>
          <w:p>
            <w:pPr>
              <w:ind w:left="20"/>
              <w:spacing w:after="0"/>
              <w:rPr>
                <w:sz w:val="20"/>
                <w:szCs w:val="20"/>
                <w:color w:val="auto"/>
              </w:rPr>
            </w:pPr>
            <w:r>
              <w:rPr>
                <w:rFonts w:ascii="Arial" w:cs="Arial" w:eastAsia="Arial" w:hAnsi="Arial"/>
                <w:sz w:val="14"/>
                <w:szCs w:val="14"/>
                <w:b w:val="1"/>
                <w:bCs w:val="1"/>
                <w:color w:val="auto"/>
              </w:rPr>
              <w:t>Form</w:t>
            </w: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Date</w:t>
            </w:r>
          </w:p>
        </w:tc>
        <w:tc>
          <w:tcPr>
            <w:tcW w:w="1320" w:type="dxa"/>
            <w:vAlign w:val="bottom"/>
          </w:tcPr>
          <w:p>
            <w:pPr>
              <w:jc w:val="right"/>
              <w:ind w:right="228"/>
              <w:spacing w:after="0"/>
              <w:rPr>
                <w:sz w:val="20"/>
                <w:szCs w:val="20"/>
                <w:color w:val="auto"/>
              </w:rPr>
            </w:pPr>
            <w:r>
              <w:rPr>
                <w:rFonts w:ascii="Arial" w:cs="Arial" w:eastAsia="Arial" w:hAnsi="Arial"/>
                <w:sz w:val="14"/>
                <w:szCs w:val="14"/>
                <w:b w:val="1"/>
                <w:bCs w:val="1"/>
                <w:color w:val="auto"/>
                <w:w w:val="96"/>
              </w:rPr>
              <w:t>Exhibit Number</w:t>
            </w:r>
          </w:p>
        </w:tc>
      </w:tr>
      <w:tr>
        <w:trPr>
          <w:trHeight w:val="80"/>
        </w:trPr>
        <w:tc>
          <w:tcPr>
            <w:tcW w:w="700" w:type="dxa"/>
            <w:vAlign w:val="bottom"/>
          </w:tcPr>
          <w:p>
            <w:pPr>
              <w:spacing w:after="0"/>
              <w:rPr>
                <w:sz w:val="6"/>
                <w:szCs w:val="6"/>
                <w:color w:val="auto"/>
              </w:rPr>
            </w:pPr>
          </w:p>
        </w:tc>
        <w:tc>
          <w:tcPr>
            <w:tcW w:w="5540" w:type="dxa"/>
            <w:vAlign w:val="bottom"/>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r>
      <w:tr>
        <w:trPr>
          <w:trHeight w:val="272"/>
        </w:trPr>
        <w:tc>
          <w:tcPr>
            <w:tcW w:w="700" w:type="dxa"/>
            <w:vAlign w:val="bottom"/>
          </w:tcPr>
          <w:p>
            <w:pPr>
              <w:spacing w:after="0"/>
              <w:rPr>
                <w:rFonts w:ascii="Arial" w:cs="Arial" w:eastAsia="Arial" w:hAnsi="Arial"/>
                <w:sz w:val="14"/>
                <w:szCs w:val="14"/>
                <w:u w:val="single" w:color="auto"/>
                <w:color w:val="0000FF"/>
              </w:rPr>
            </w:pPr>
            <w:hyperlink r:id="rId37">
              <w:r>
                <w:rPr>
                  <w:rFonts w:ascii="Arial" w:cs="Arial" w:eastAsia="Arial" w:hAnsi="Arial"/>
                  <w:sz w:val="14"/>
                  <w:szCs w:val="14"/>
                  <w:u w:val="single" w:color="auto"/>
                  <w:color w:val="0000FF"/>
                </w:rPr>
                <w:t>3.1</w:t>
              </w:r>
            </w:hyperlink>
          </w:p>
        </w:tc>
        <w:tc>
          <w:tcPr>
            <w:tcW w:w="5540" w:type="dxa"/>
            <w:vAlign w:val="bottom"/>
          </w:tcPr>
          <w:p>
            <w:pPr>
              <w:ind w:left="80"/>
              <w:spacing w:after="0"/>
              <w:rPr>
                <w:sz w:val="20"/>
                <w:szCs w:val="20"/>
                <w:color w:val="auto"/>
              </w:rPr>
            </w:pPr>
            <w:r>
              <w:rPr>
                <w:rFonts w:ascii="Arial" w:cs="Arial" w:eastAsia="Arial" w:hAnsi="Arial"/>
                <w:sz w:val="14"/>
                <w:szCs w:val="14"/>
                <w:color w:val="auto"/>
              </w:rPr>
              <w:t>Amended and Restated Bylaws</w:t>
            </w:r>
          </w:p>
        </w:tc>
        <w:tc>
          <w:tcPr>
            <w:tcW w:w="2200" w:type="dxa"/>
            <w:vAlign w:val="bottom"/>
            <w:gridSpan w:val="2"/>
          </w:tcPr>
          <w:p>
            <w:pPr>
              <w:ind w:left="20"/>
              <w:spacing w:after="0"/>
              <w:rPr>
                <w:sz w:val="20"/>
                <w:szCs w:val="20"/>
                <w:color w:val="auto"/>
              </w:rPr>
            </w:pPr>
            <w:r>
              <w:rPr>
                <w:rFonts w:ascii="Arial" w:cs="Arial" w:eastAsia="Arial" w:hAnsi="Arial"/>
                <w:sz w:val="14"/>
                <w:szCs w:val="14"/>
                <w:color w:val="auto"/>
              </w:rPr>
              <w:t>Current Report on Form 8-K (File</w:t>
            </w:r>
          </w:p>
        </w:tc>
        <w:tc>
          <w:tcPr>
            <w:tcW w:w="1440" w:type="dxa"/>
            <w:vAlign w:val="bottom"/>
            <w:gridSpan w:val="2"/>
          </w:tcPr>
          <w:p>
            <w:pPr>
              <w:ind w:left="40"/>
              <w:spacing w:after="0"/>
              <w:rPr>
                <w:sz w:val="20"/>
                <w:szCs w:val="20"/>
                <w:color w:val="auto"/>
              </w:rPr>
            </w:pPr>
            <w:r>
              <w:rPr>
                <w:rFonts w:ascii="Arial" w:cs="Arial" w:eastAsia="Arial" w:hAnsi="Arial"/>
                <w:sz w:val="14"/>
                <w:szCs w:val="14"/>
                <w:color w:val="auto"/>
              </w:rPr>
              <w:t>April 23, 2020</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3.1</w:t>
            </w:r>
          </w:p>
        </w:tc>
      </w:tr>
      <w:tr>
        <w:trPr>
          <w:trHeight w:val="182"/>
        </w:trPr>
        <w:tc>
          <w:tcPr>
            <w:tcW w:w="70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2200" w:type="dxa"/>
            <w:vAlign w:val="bottom"/>
            <w:gridSpan w:val="2"/>
          </w:tcPr>
          <w:p>
            <w:pPr>
              <w:ind w:left="20"/>
              <w:spacing w:after="0"/>
              <w:rPr>
                <w:sz w:val="20"/>
                <w:szCs w:val="20"/>
                <w:color w:val="auto"/>
              </w:rPr>
            </w:pPr>
            <w:r>
              <w:rPr>
                <w:rFonts w:ascii="Arial" w:cs="Arial" w:eastAsia="Arial" w:hAnsi="Arial"/>
                <w:sz w:val="14"/>
                <w:szCs w:val="14"/>
                <w:color w:val="auto"/>
              </w:rPr>
              <w:t>No. 001-34511)</w:t>
            </w: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439"/>
        </w:trPr>
        <w:tc>
          <w:tcPr>
            <w:tcW w:w="700" w:type="dxa"/>
            <w:vAlign w:val="bottom"/>
          </w:tcPr>
          <w:p>
            <w:pPr>
              <w:spacing w:after="0"/>
              <w:rPr>
                <w:rFonts w:ascii="Arial" w:cs="Arial" w:eastAsia="Arial" w:hAnsi="Arial"/>
                <w:sz w:val="14"/>
                <w:szCs w:val="14"/>
                <w:color w:val="0000FF"/>
              </w:rPr>
            </w:pPr>
            <w:hyperlink w:anchor="page70">
              <w:r>
                <w:rPr>
                  <w:rFonts w:ascii="Arial" w:cs="Arial" w:eastAsia="Arial" w:hAnsi="Arial"/>
                  <w:sz w:val="14"/>
                  <w:szCs w:val="14"/>
                  <w:u w:val="single" w:color="auto"/>
                  <w:color w:val="0000FF"/>
                </w:rPr>
                <w:t>31.1</w:t>
              </w:r>
            </w:hyperlink>
            <w:r>
              <w:rPr>
                <w:rFonts w:ascii="Arial" w:cs="Arial" w:eastAsia="Arial" w:hAnsi="Arial"/>
                <w:sz w:val="14"/>
                <w:szCs w:val="14"/>
                <w:color w:val="000000"/>
              </w:rPr>
              <w:t>*</w:t>
            </w:r>
          </w:p>
        </w:tc>
        <w:tc>
          <w:tcPr>
            <w:tcW w:w="5540" w:type="dxa"/>
            <w:vAlign w:val="bottom"/>
          </w:tcPr>
          <w:p>
            <w:pPr>
              <w:ind w:left="80"/>
              <w:spacing w:after="0"/>
              <w:rPr>
                <w:sz w:val="20"/>
                <w:szCs w:val="20"/>
                <w:color w:val="auto"/>
              </w:rPr>
            </w:pPr>
            <w:r>
              <w:rPr>
                <w:rFonts w:ascii="Arial" w:cs="Arial" w:eastAsia="Arial" w:hAnsi="Arial"/>
                <w:sz w:val="14"/>
                <w:szCs w:val="14"/>
                <w:color w:val="auto"/>
              </w:rPr>
              <w:t>Certification of Chief Executive Officer pursuant to Exchange Act Rules 13a-14(a) and</w:t>
            </w: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2"/>
        </w:trPr>
        <w:tc>
          <w:tcPr>
            <w:tcW w:w="700" w:type="dxa"/>
            <w:vAlign w:val="bottom"/>
          </w:tcPr>
          <w:p>
            <w:pPr>
              <w:spacing w:after="0"/>
              <w:rPr>
                <w:sz w:val="15"/>
                <w:szCs w:val="15"/>
                <w:color w:val="auto"/>
              </w:rPr>
            </w:pPr>
          </w:p>
        </w:tc>
        <w:tc>
          <w:tcPr>
            <w:tcW w:w="5540" w:type="dxa"/>
            <w:vAlign w:val="bottom"/>
          </w:tcPr>
          <w:p>
            <w:pPr>
              <w:ind w:left="80"/>
              <w:spacing w:after="0"/>
              <w:rPr>
                <w:sz w:val="20"/>
                <w:szCs w:val="20"/>
                <w:color w:val="auto"/>
              </w:rPr>
            </w:pPr>
            <w:r>
              <w:rPr>
                <w:rFonts w:ascii="Arial" w:cs="Arial" w:eastAsia="Arial" w:hAnsi="Arial"/>
                <w:sz w:val="14"/>
                <w:szCs w:val="14"/>
                <w:color w:val="auto"/>
              </w:rPr>
              <w:t>15d-14(a), as adopted pursuant to Section 302 of the Sarbanes-Oxley Act of 2002</w:t>
            </w: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90"/>
        </w:trPr>
        <w:tc>
          <w:tcPr>
            <w:tcW w:w="700" w:type="dxa"/>
            <w:vAlign w:val="bottom"/>
          </w:tcPr>
          <w:p>
            <w:pPr>
              <w:spacing w:after="0"/>
              <w:rPr>
                <w:rFonts w:ascii="Arial" w:cs="Arial" w:eastAsia="Arial" w:hAnsi="Arial"/>
                <w:sz w:val="14"/>
                <w:szCs w:val="14"/>
                <w:color w:val="0000FF"/>
              </w:rPr>
            </w:pPr>
            <w:hyperlink w:anchor="page71">
              <w:r>
                <w:rPr>
                  <w:rFonts w:ascii="Arial" w:cs="Arial" w:eastAsia="Arial" w:hAnsi="Arial"/>
                  <w:sz w:val="14"/>
                  <w:szCs w:val="14"/>
                  <w:u w:val="single" w:color="auto"/>
                  <w:color w:val="0000FF"/>
                </w:rPr>
                <w:t>31.2</w:t>
              </w:r>
            </w:hyperlink>
            <w:r>
              <w:rPr>
                <w:rFonts w:ascii="Arial" w:cs="Arial" w:eastAsia="Arial" w:hAnsi="Arial"/>
                <w:sz w:val="14"/>
                <w:szCs w:val="14"/>
                <w:color w:val="000000"/>
              </w:rPr>
              <w:t>*</w:t>
            </w:r>
          </w:p>
        </w:tc>
        <w:tc>
          <w:tcPr>
            <w:tcW w:w="5540" w:type="dxa"/>
            <w:vAlign w:val="bottom"/>
          </w:tcPr>
          <w:p>
            <w:pPr>
              <w:ind w:left="80"/>
              <w:spacing w:after="0"/>
              <w:rPr>
                <w:sz w:val="20"/>
                <w:szCs w:val="20"/>
                <w:color w:val="auto"/>
              </w:rPr>
            </w:pPr>
            <w:r>
              <w:rPr>
                <w:rFonts w:ascii="Arial" w:cs="Arial" w:eastAsia="Arial" w:hAnsi="Arial"/>
                <w:sz w:val="14"/>
                <w:szCs w:val="14"/>
                <w:color w:val="auto"/>
                <w:w w:val="97"/>
              </w:rPr>
              <w:t>Certification of Chief Financial Officer pursuant to Exchange Act Rules 13a-14(a) and 15d-</w:t>
            </w: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2"/>
        </w:trPr>
        <w:tc>
          <w:tcPr>
            <w:tcW w:w="700" w:type="dxa"/>
            <w:vAlign w:val="bottom"/>
          </w:tcPr>
          <w:p>
            <w:pPr>
              <w:spacing w:after="0"/>
              <w:rPr>
                <w:sz w:val="15"/>
                <w:szCs w:val="15"/>
                <w:color w:val="auto"/>
              </w:rPr>
            </w:pPr>
          </w:p>
        </w:tc>
        <w:tc>
          <w:tcPr>
            <w:tcW w:w="5540" w:type="dxa"/>
            <w:vAlign w:val="bottom"/>
          </w:tcPr>
          <w:p>
            <w:pPr>
              <w:ind w:left="80"/>
              <w:spacing w:after="0"/>
              <w:rPr>
                <w:sz w:val="20"/>
                <w:szCs w:val="20"/>
                <w:color w:val="auto"/>
              </w:rPr>
            </w:pPr>
            <w:r>
              <w:rPr>
                <w:rFonts w:ascii="Arial" w:cs="Arial" w:eastAsia="Arial" w:hAnsi="Arial"/>
                <w:sz w:val="14"/>
                <w:szCs w:val="14"/>
                <w:color w:val="auto"/>
              </w:rPr>
              <w:t>14(a), as adopted pursuant to Section 302 of the Sarbanes-Oxley Act of 2002</w:t>
            </w: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90"/>
        </w:trPr>
        <w:tc>
          <w:tcPr>
            <w:tcW w:w="700" w:type="dxa"/>
            <w:vAlign w:val="bottom"/>
          </w:tcPr>
          <w:p>
            <w:pPr>
              <w:spacing w:after="0"/>
              <w:rPr>
                <w:rFonts w:ascii="Arial" w:cs="Arial" w:eastAsia="Arial" w:hAnsi="Arial"/>
                <w:sz w:val="14"/>
                <w:szCs w:val="14"/>
                <w:color w:val="0000FF"/>
              </w:rPr>
            </w:pPr>
            <w:hyperlink w:anchor="page72">
              <w:r>
                <w:rPr>
                  <w:rFonts w:ascii="Arial" w:cs="Arial" w:eastAsia="Arial" w:hAnsi="Arial"/>
                  <w:sz w:val="14"/>
                  <w:szCs w:val="14"/>
                  <w:u w:val="single" w:color="auto"/>
                  <w:color w:val="0000FF"/>
                </w:rPr>
                <w:t>32.1</w:t>
              </w:r>
            </w:hyperlink>
            <w:r>
              <w:rPr>
                <w:rFonts w:ascii="Arial" w:cs="Arial" w:eastAsia="Arial" w:hAnsi="Arial"/>
                <w:sz w:val="14"/>
                <w:szCs w:val="14"/>
                <w:color w:val="000000"/>
              </w:rPr>
              <w:t>#</w:t>
            </w:r>
          </w:p>
        </w:tc>
        <w:tc>
          <w:tcPr>
            <w:tcW w:w="5540" w:type="dxa"/>
            <w:vAlign w:val="bottom"/>
          </w:tcPr>
          <w:p>
            <w:pPr>
              <w:ind w:left="80"/>
              <w:spacing w:after="0"/>
              <w:rPr>
                <w:sz w:val="20"/>
                <w:szCs w:val="20"/>
                <w:color w:val="auto"/>
              </w:rPr>
            </w:pPr>
            <w:r>
              <w:rPr>
                <w:rFonts w:ascii="Arial" w:cs="Arial" w:eastAsia="Arial" w:hAnsi="Arial"/>
                <w:sz w:val="14"/>
                <w:szCs w:val="14"/>
                <w:color w:val="auto"/>
                <w:w w:val="98"/>
              </w:rPr>
              <w:t>Certifications of Chief Executive Officer and Chief Financial Officer pursuant to 18 U.S.C.</w:t>
            </w: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2"/>
        </w:trPr>
        <w:tc>
          <w:tcPr>
            <w:tcW w:w="700" w:type="dxa"/>
            <w:vAlign w:val="bottom"/>
          </w:tcPr>
          <w:p>
            <w:pPr>
              <w:spacing w:after="0"/>
              <w:rPr>
                <w:sz w:val="15"/>
                <w:szCs w:val="15"/>
                <w:color w:val="auto"/>
              </w:rPr>
            </w:pPr>
          </w:p>
        </w:tc>
        <w:tc>
          <w:tcPr>
            <w:tcW w:w="5540" w:type="dxa"/>
            <w:vAlign w:val="bottom"/>
          </w:tcPr>
          <w:p>
            <w:pPr>
              <w:ind w:left="80"/>
              <w:spacing w:after="0"/>
              <w:rPr>
                <w:sz w:val="20"/>
                <w:szCs w:val="20"/>
                <w:color w:val="auto"/>
              </w:rPr>
            </w:pPr>
            <w:r>
              <w:rPr>
                <w:rFonts w:ascii="Arial" w:cs="Arial" w:eastAsia="Arial" w:hAnsi="Arial"/>
                <w:sz w:val="14"/>
                <w:szCs w:val="14"/>
                <w:color w:val="auto"/>
              </w:rPr>
              <w:t>Section 1350, as adopted pursuant to Section 906 of the Sarbanes-Oxley Act of 2002</w:t>
            </w: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90"/>
        </w:trPr>
        <w:tc>
          <w:tcPr>
            <w:tcW w:w="700" w:type="dxa"/>
            <w:vAlign w:val="bottom"/>
          </w:tcPr>
          <w:p>
            <w:pPr>
              <w:spacing w:after="0"/>
              <w:rPr>
                <w:sz w:val="20"/>
                <w:szCs w:val="20"/>
                <w:color w:val="auto"/>
              </w:rPr>
            </w:pPr>
            <w:r>
              <w:rPr>
                <w:rFonts w:ascii="Arial" w:cs="Arial" w:eastAsia="Arial" w:hAnsi="Arial"/>
                <w:sz w:val="14"/>
                <w:szCs w:val="14"/>
                <w:color w:val="auto"/>
              </w:rPr>
              <w:t>101.INS*</w:t>
            </w:r>
          </w:p>
        </w:tc>
        <w:tc>
          <w:tcPr>
            <w:tcW w:w="5540" w:type="dxa"/>
            <w:vAlign w:val="bottom"/>
          </w:tcPr>
          <w:p>
            <w:pPr>
              <w:ind w:left="80"/>
              <w:spacing w:after="0"/>
              <w:rPr>
                <w:sz w:val="20"/>
                <w:szCs w:val="20"/>
                <w:color w:val="auto"/>
              </w:rPr>
            </w:pPr>
            <w:r>
              <w:rPr>
                <w:rFonts w:ascii="Arial" w:cs="Arial" w:eastAsia="Arial" w:hAnsi="Arial"/>
                <w:sz w:val="14"/>
                <w:szCs w:val="14"/>
                <w:color w:val="auto"/>
                <w:w w:val="96"/>
              </w:rPr>
              <w:t>Inline XBRL Instance Document - the instance document does not appear in the interactive</w:t>
            </w: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2"/>
        </w:trPr>
        <w:tc>
          <w:tcPr>
            <w:tcW w:w="700" w:type="dxa"/>
            <w:vAlign w:val="bottom"/>
          </w:tcPr>
          <w:p>
            <w:pPr>
              <w:spacing w:after="0"/>
              <w:rPr>
                <w:sz w:val="15"/>
                <w:szCs w:val="15"/>
                <w:color w:val="auto"/>
              </w:rPr>
            </w:pPr>
          </w:p>
        </w:tc>
        <w:tc>
          <w:tcPr>
            <w:tcW w:w="5540" w:type="dxa"/>
            <w:vAlign w:val="bottom"/>
          </w:tcPr>
          <w:p>
            <w:pPr>
              <w:ind w:left="80"/>
              <w:spacing w:after="0"/>
              <w:rPr>
                <w:sz w:val="20"/>
                <w:szCs w:val="20"/>
                <w:color w:val="auto"/>
              </w:rPr>
            </w:pPr>
            <w:r>
              <w:rPr>
                <w:rFonts w:ascii="Arial" w:cs="Arial" w:eastAsia="Arial" w:hAnsi="Arial"/>
                <w:sz w:val="14"/>
                <w:szCs w:val="14"/>
                <w:color w:val="auto"/>
              </w:rPr>
              <w:t>data file because its XBRL tags are embedded within the inline XBRL document.</w:t>
            </w: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4"/>
                <w:szCs w:val="14"/>
                <w:color w:val="auto"/>
              </w:rPr>
              <w:t>101.SCH*</w:t>
            </w:r>
          </w:p>
        </w:tc>
        <w:tc>
          <w:tcPr>
            <w:tcW w:w="5540" w:type="dxa"/>
            <w:vAlign w:val="bottom"/>
          </w:tcPr>
          <w:p>
            <w:pPr>
              <w:ind w:left="80"/>
              <w:spacing w:after="0"/>
              <w:rPr>
                <w:sz w:val="20"/>
                <w:szCs w:val="20"/>
                <w:color w:val="auto"/>
              </w:rPr>
            </w:pPr>
            <w:r>
              <w:rPr>
                <w:rFonts w:ascii="Arial" w:cs="Arial" w:eastAsia="Arial" w:hAnsi="Arial"/>
                <w:sz w:val="14"/>
                <w:szCs w:val="14"/>
                <w:color w:val="auto"/>
              </w:rPr>
              <w:t>Inline XBRL Taxonomy Extension Schema Document</w:t>
            </w: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2"/>
        </w:trPr>
        <w:tc>
          <w:tcPr>
            <w:tcW w:w="700" w:type="dxa"/>
            <w:vAlign w:val="bottom"/>
          </w:tcPr>
          <w:p>
            <w:pPr>
              <w:spacing w:after="0"/>
              <w:rPr>
                <w:sz w:val="20"/>
                <w:szCs w:val="20"/>
                <w:color w:val="auto"/>
              </w:rPr>
            </w:pPr>
            <w:r>
              <w:rPr>
                <w:rFonts w:ascii="Arial" w:cs="Arial" w:eastAsia="Arial" w:hAnsi="Arial"/>
                <w:sz w:val="14"/>
                <w:szCs w:val="14"/>
                <w:color w:val="auto"/>
              </w:rPr>
              <w:t>101.CAL*</w:t>
            </w:r>
          </w:p>
        </w:tc>
        <w:tc>
          <w:tcPr>
            <w:tcW w:w="5540" w:type="dxa"/>
            <w:vAlign w:val="bottom"/>
          </w:tcPr>
          <w:p>
            <w:pPr>
              <w:ind w:left="80"/>
              <w:spacing w:after="0"/>
              <w:rPr>
                <w:sz w:val="20"/>
                <w:szCs w:val="20"/>
                <w:color w:val="auto"/>
              </w:rPr>
            </w:pPr>
            <w:r>
              <w:rPr>
                <w:rFonts w:ascii="Arial" w:cs="Arial" w:eastAsia="Arial" w:hAnsi="Arial"/>
                <w:sz w:val="14"/>
                <w:szCs w:val="14"/>
                <w:color w:val="auto"/>
              </w:rPr>
              <w:t>Inline XBRL Taxonomy Extension Calculation Linkbase Document</w:t>
            </w: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1"/>
        </w:trPr>
        <w:tc>
          <w:tcPr>
            <w:tcW w:w="700" w:type="dxa"/>
            <w:vAlign w:val="bottom"/>
          </w:tcPr>
          <w:p>
            <w:pPr>
              <w:spacing w:after="0"/>
              <w:rPr>
                <w:sz w:val="20"/>
                <w:szCs w:val="20"/>
                <w:color w:val="auto"/>
              </w:rPr>
            </w:pPr>
            <w:r>
              <w:rPr>
                <w:rFonts w:ascii="Arial" w:cs="Arial" w:eastAsia="Arial" w:hAnsi="Arial"/>
                <w:sz w:val="14"/>
                <w:szCs w:val="14"/>
                <w:color w:val="auto"/>
              </w:rPr>
              <w:t>101.DEF*</w:t>
            </w:r>
          </w:p>
        </w:tc>
        <w:tc>
          <w:tcPr>
            <w:tcW w:w="5540" w:type="dxa"/>
            <w:vAlign w:val="bottom"/>
          </w:tcPr>
          <w:p>
            <w:pPr>
              <w:ind w:left="80"/>
              <w:spacing w:after="0"/>
              <w:rPr>
                <w:sz w:val="20"/>
                <w:szCs w:val="20"/>
                <w:color w:val="auto"/>
              </w:rPr>
            </w:pPr>
            <w:r>
              <w:rPr>
                <w:rFonts w:ascii="Arial" w:cs="Arial" w:eastAsia="Arial" w:hAnsi="Arial"/>
                <w:sz w:val="14"/>
                <w:szCs w:val="14"/>
                <w:color w:val="auto"/>
              </w:rPr>
              <w:t>Inline XBRL Taxonomy Extension Definition Linkbase Document</w:t>
            </w: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2"/>
        </w:trPr>
        <w:tc>
          <w:tcPr>
            <w:tcW w:w="700" w:type="dxa"/>
            <w:vAlign w:val="bottom"/>
          </w:tcPr>
          <w:p>
            <w:pPr>
              <w:spacing w:after="0"/>
              <w:rPr>
                <w:sz w:val="20"/>
                <w:szCs w:val="20"/>
                <w:color w:val="auto"/>
              </w:rPr>
            </w:pPr>
            <w:r>
              <w:rPr>
                <w:rFonts w:ascii="Arial" w:cs="Arial" w:eastAsia="Arial" w:hAnsi="Arial"/>
                <w:sz w:val="14"/>
                <w:szCs w:val="14"/>
                <w:color w:val="auto"/>
              </w:rPr>
              <w:t>101.LAB*</w:t>
            </w:r>
          </w:p>
        </w:tc>
        <w:tc>
          <w:tcPr>
            <w:tcW w:w="5540" w:type="dxa"/>
            <w:vAlign w:val="bottom"/>
          </w:tcPr>
          <w:p>
            <w:pPr>
              <w:ind w:left="80"/>
              <w:spacing w:after="0"/>
              <w:rPr>
                <w:sz w:val="20"/>
                <w:szCs w:val="20"/>
                <w:color w:val="auto"/>
              </w:rPr>
            </w:pPr>
            <w:r>
              <w:rPr>
                <w:rFonts w:ascii="Arial" w:cs="Arial" w:eastAsia="Arial" w:hAnsi="Arial"/>
                <w:sz w:val="14"/>
                <w:szCs w:val="14"/>
                <w:color w:val="auto"/>
              </w:rPr>
              <w:t>Inline XBRL Taxonomy Extension Label Linkbase Document</w:t>
            </w: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2"/>
        </w:trPr>
        <w:tc>
          <w:tcPr>
            <w:tcW w:w="700" w:type="dxa"/>
            <w:vAlign w:val="bottom"/>
          </w:tcPr>
          <w:p>
            <w:pPr>
              <w:spacing w:after="0"/>
              <w:rPr>
                <w:sz w:val="20"/>
                <w:szCs w:val="20"/>
                <w:color w:val="auto"/>
              </w:rPr>
            </w:pPr>
            <w:r>
              <w:rPr>
                <w:rFonts w:ascii="Arial" w:cs="Arial" w:eastAsia="Arial" w:hAnsi="Arial"/>
                <w:sz w:val="14"/>
                <w:szCs w:val="14"/>
                <w:color w:val="auto"/>
              </w:rPr>
              <w:t>101.PRE*</w:t>
            </w:r>
          </w:p>
        </w:tc>
        <w:tc>
          <w:tcPr>
            <w:tcW w:w="5540" w:type="dxa"/>
            <w:vAlign w:val="bottom"/>
          </w:tcPr>
          <w:p>
            <w:pPr>
              <w:ind w:left="80"/>
              <w:spacing w:after="0"/>
              <w:rPr>
                <w:sz w:val="20"/>
                <w:szCs w:val="20"/>
                <w:color w:val="auto"/>
              </w:rPr>
            </w:pPr>
            <w:r>
              <w:rPr>
                <w:rFonts w:ascii="Arial" w:cs="Arial" w:eastAsia="Arial" w:hAnsi="Arial"/>
                <w:sz w:val="14"/>
                <w:szCs w:val="14"/>
                <w:color w:val="auto"/>
              </w:rPr>
              <w:t>Inline XBRL Taxonomy Extension Presentation Linkbase Document</w:t>
            </w: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58"/>
        </w:trPr>
        <w:tc>
          <w:tcPr>
            <w:tcW w:w="700" w:type="dxa"/>
            <w:vAlign w:val="bottom"/>
          </w:tcPr>
          <w:p>
            <w:pPr>
              <w:spacing w:after="0"/>
              <w:rPr>
                <w:sz w:val="20"/>
                <w:szCs w:val="20"/>
                <w:color w:val="auto"/>
              </w:rPr>
            </w:pPr>
            <w:r>
              <w:rPr>
                <w:rFonts w:ascii="Arial" w:cs="Arial" w:eastAsia="Arial" w:hAnsi="Arial"/>
                <w:sz w:val="14"/>
                <w:szCs w:val="14"/>
                <w:color w:val="auto"/>
              </w:rPr>
              <w:t>104*</w:t>
            </w:r>
          </w:p>
        </w:tc>
        <w:tc>
          <w:tcPr>
            <w:tcW w:w="5540" w:type="dxa"/>
            <w:vAlign w:val="bottom"/>
          </w:tcPr>
          <w:p>
            <w:pPr>
              <w:ind w:left="80"/>
              <w:spacing w:after="0"/>
              <w:rPr>
                <w:sz w:val="20"/>
                <w:szCs w:val="20"/>
                <w:color w:val="auto"/>
              </w:rPr>
            </w:pPr>
            <w:r>
              <w:rPr>
                <w:rFonts w:ascii="Arial" w:cs="Arial" w:eastAsia="Arial" w:hAnsi="Arial"/>
                <w:sz w:val="14"/>
                <w:szCs w:val="14"/>
                <w:color w:val="auto"/>
                <w:w w:val="96"/>
              </w:rPr>
              <w:t>Cover Page Interactive Data File - the cover page from the Company’s Quarterly Report on</w:t>
            </w: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2"/>
        </w:trPr>
        <w:tc>
          <w:tcPr>
            <w:tcW w:w="700" w:type="dxa"/>
            <w:vAlign w:val="bottom"/>
          </w:tcPr>
          <w:p>
            <w:pPr>
              <w:spacing w:after="0"/>
              <w:rPr>
                <w:sz w:val="15"/>
                <w:szCs w:val="15"/>
                <w:color w:val="auto"/>
              </w:rPr>
            </w:pPr>
          </w:p>
        </w:tc>
        <w:tc>
          <w:tcPr>
            <w:tcW w:w="5540" w:type="dxa"/>
            <w:vAlign w:val="bottom"/>
          </w:tcPr>
          <w:p>
            <w:pPr>
              <w:ind w:left="80"/>
              <w:spacing w:after="0"/>
              <w:rPr>
                <w:sz w:val="20"/>
                <w:szCs w:val="20"/>
                <w:color w:val="auto"/>
              </w:rPr>
            </w:pPr>
            <w:r>
              <w:rPr>
                <w:rFonts w:ascii="Arial" w:cs="Arial" w:eastAsia="Arial" w:hAnsi="Arial"/>
                <w:sz w:val="14"/>
                <w:szCs w:val="14"/>
                <w:color w:val="auto"/>
              </w:rPr>
              <w:t>Form 10-Q for the quarter ended March 31, 2020 is formatted in inline XBRL.</w:t>
            </w: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179" w:lineRule="exact"/>
        <w:rPr>
          <w:sz w:val="20"/>
          <w:szCs w:val="20"/>
          <w:color w:val="auto"/>
        </w:rPr>
      </w:pPr>
    </w:p>
    <w:p>
      <w:pPr>
        <w:ind w:left="140" w:hanging="132"/>
        <w:spacing w:after="0"/>
        <w:tabs>
          <w:tab w:leader="none" w:pos="140" w:val="left"/>
        </w:tabs>
        <w:numPr>
          <w:ilvl w:val="0"/>
          <w:numId w:val="42"/>
        </w:numPr>
        <w:rPr>
          <w:rFonts w:ascii="Arial" w:cs="Arial" w:eastAsia="Arial" w:hAnsi="Arial"/>
          <w:sz w:val="18"/>
          <w:szCs w:val="18"/>
          <w:color w:val="auto"/>
        </w:rPr>
      </w:pPr>
      <w:r>
        <w:rPr>
          <w:rFonts w:ascii="Arial" w:cs="Arial" w:eastAsia="Arial" w:hAnsi="Arial"/>
          <w:sz w:val="14"/>
          <w:szCs w:val="14"/>
          <w:color w:val="auto"/>
        </w:rPr>
        <w:t>Filed herewith.</w:t>
      </w:r>
    </w:p>
    <w:p>
      <w:pPr>
        <w:ind w:left="100" w:hanging="92"/>
        <w:spacing w:after="0" w:line="187" w:lineRule="auto"/>
        <w:tabs>
          <w:tab w:leader="none" w:pos="100" w:val="left"/>
        </w:tabs>
        <w:numPr>
          <w:ilvl w:val="0"/>
          <w:numId w:val="43"/>
        </w:numPr>
        <w:rPr>
          <w:rFonts w:ascii="Arial" w:cs="Arial" w:eastAsia="Arial" w:hAnsi="Arial"/>
          <w:sz w:val="24"/>
          <w:szCs w:val="24"/>
          <w:color w:val="auto"/>
          <w:vertAlign w:val="superscript"/>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6, 2020</w:t>
      </w: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3520"/>
        <w:spacing w:after="0"/>
        <w:tabs>
          <w:tab w:leader="none" w:pos="7160" w:val="left"/>
          <w:tab w:leader="none" w:pos="7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31750</wp:posOffset>
            </wp:positionV>
            <wp:extent cx="45605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4560570" cy="8255"/>
                    </a:xfrm>
                    <a:prstGeom prst="rect">
                      <a:avLst/>
                    </a:prstGeom>
                    <a:noFill/>
                  </pic:spPr>
                </pic:pic>
              </a:graphicData>
            </a:graphic>
          </wp:anchor>
        </w:drawing>
      </w:r>
    </w:p>
    <w:p>
      <w:pPr>
        <w:spacing w:after="0" w:line="57" w:lineRule="exact"/>
        <w:rPr>
          <w:sz w:val="20"/>
          <w:szCs w:val="20"/>
          <w:color w:val="auto"/>
        </w:rPr>
      </w:pPr>
    </w:p>
    <w:p>
      <w:pPr>
        <w:jc w:val="center"/>
        <w:ind w:left="4040"/>
        <w:spacing w:after="0"/>
        <w:rPr>
          <w:sz w:val="20"/>
          <w:szCs w:val="20"/>
          <w:color w:val="auto"/>
        </w:rPr>
      </w:pPr>
      <w:r>
        <w:rPr>
          <w:rFonts w:ascii="Arial" w:cs="Arial" w:eastAsia="Arial" w:hAnsi="Arial"/>
          <w:sz w:val="16"/>
          <w:szCs w:val="16"/>
          <w:b w:val="1"/>
          <w:bCs w:val="1"/>
          <w:color w:val="auto"/>
        </w:rPr>
        <w:t>Ken Xie, Chief Executive Officer and Chairman</w:t>
      </w:r>
    </w:p>
    <w:p>
      <w:pPr>
        <w:spacing w:after="0" w:line="154" w:lineRule="exact"/>
        <w:rPr>
          <w:sz w:val="20"/>
          <w:szCs w:val="20"/>
          <w:color w:val="auto"/>
        </w:rPr>
      </w:pPr>
    </w:p>
    <w:p>
      <w:pPr>
        <w:jc w:val="center"/>
        <w:ind w:left="4040"/>
        <w:spacing w:after="0"/>
        <w:rPr>
          <w:sz w:val="20"/>
          <w:szCs w:val="20"/>
          <w:color w:val="auto"/>
        </w:rPr>
      </w:pPr>
      <w:r>
        <w:rPr>
          <w:rFonts w:ascii="Arial" w:cs="Arial" w:eastAsia="Arial" w:hAnsi="Arial"/>
          <w:sz w:val="16"/>
          <w:szCs w:val="16"/>
          <w:b w:val="1"/>
          <w:bCs w:val="1"/>
          <w:color w:val="auto"/>
        </w:rPr>
        <w:t>(Duly Authorized Officer and Principal Executive Officer)</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3520"/>
        <w:spacing w:after="0"/>
        <w:tabs>
          <w:tab w:leader="none" w:pos="6820" w:val="left"/>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31750</wp:posOffset>
            </wp:positionV>
            <wp:extent cx="45605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4560570" cy="8255"/>
                    </a:xfrm>
                    <a:prstGeom prst="rect">
                      <a:avLst/>
                    </a:prstGeom>
                    <a:noFill/>
                  </pic:spPr>
                </pic:pic>
              </a:graphicData>
            </a:graphic>
          </wp:anchor>
        </w:drawing>
      </w:r>
    </w:p>
    <w:p>
      <w:pPr>
        <w:spacing w:after="0" w:line="57" w:lineRule="exact"/>
        <w:rPr>
          <w:sz w:val="20"/>
          <w:szCs w:val="20"/>
          <w:color w:val="auto"/>
        </w:rPr>
      </w:pPr>
    </w:p>
    <w:p>
      <w:pPr>
        <w:jc w:val="center"/>
        <w:ind w:left="4040"/>
        <w:spacing w:after="0"/>
        <w:rPr>
          <w:sz w:val="20"/>
          <w:szCs w:val="20"/>
          <w:color w:val="auto"/>
        </w:rPr>
      </w:pPr>
      <w:r>
        <w:rPr>
          <w:rFonts w:ascii="Arial" w:cs="Arial" w:eastAsia="Arial" w:hAnsi="Arial"/>
          <w:sz w:val="16"/>
          <w:szCs w:val="16"/>
          <w:b w:val="1"/>
          <w:bCs w:val="1"/>
          <w:color w:val="auto"/>
        </w:rPr>
        <w:t>Keith Jensen, Chief Financial Officer</w:t>
      </w:r>
    </w:p>
    <w:p>
      <w:pPr>
        <w:spacing w:after="0" w:line="154" w:lineRule="exact"/>
        <w:rPr>
          <w:sz w:val="20"/>
          <w:szCs w:val="20"/>
          <w:color w:val="auto"/>
        </w:rPr>
      </w:pPr>
    </w:p>
    <w:p>
      <w:pPr>
        <w:jc w:val="center"/>
        <w:ind w:left="4040"/>
        <w:spacing w:after="0"/>
        <w:rPr>
          <w:sz w:val="20"/>
          <w:szCs w:val="20"/>
          <w:color w:val="auto"/>
        </w:rPr>
      </w:pPr>
      <w:r>
        <w:rPr>
          <w:rFonts w:ascii="Arial" w:cs="Arial" w:eastAsia="Arial" w:hAnsi="Arial"/>
          <w:sz w:val="16"/>
          <w:szCs w:val="16"/>
          <w:b w:val="1"/>
          <w:bCs w:val="1"/>
          <w:color w:val="auto"/>
        </w:rPr>
        <w:t>(Duly Authorized Officer and Principal Financial Officer and Principal Accounting Officer)</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80"/>
          </w:cols>
          <w:pgMar w:left="320" w:top="122" w:right="39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3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3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31750</wp:posOffset>
            </wp:positionV>
            <wp:extent cx="29229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5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Ken Xie</w:t>
      </w:r>
    </w:p>
    <w:p>
      <w:pPr>
        <w:spacing w:after="0" w:line="6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Executive Officer and Chairman</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553"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Keith Jensen, certify that:</w:t>
      </w:r>
    </w:p>
    <w:p>
      <w:pPr>
        <w:spacing w:after="0" w:line="171"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3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3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31750</wp:posOffset>
            </wp:positionV>
            <wp:extent cx="29229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5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Keith Jensen</w:t>
      </w:r>
    </w:p>
    <w:p>
      <w:pPr>
        <w:spacing w:after="0" w:line="6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240"/>
          </w:cols>
          <w:pgMar w:left="320" w:top="553"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 Ken Xie, certify, pursuant to 18 U.S.C. Section 1350, as adopted pursuant to Section 906 of the Sarbanes-Oxley Act of 2002, that the Quarterly Report on Form 10-Q of Fortinet, Inc. for the quarter ended March 31, 2020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2820" w:type="dxa"/>
            <w:vAlign w:val="bottom"/>
          </w:tcPr>
          <w:p>
            <w:pPr>
              <w:ind w:left="2180"/>
              <w:spacing w:after="0"/>
              <w:rPr>
                <w:sz w:val="20"/>
                <w:szCs w:val="20"/>
                <w:color w:val="auto"/>
              </w:rPr>
            </w:pPr>
            <w:r>
              <w:rPr>
                <w:rFonts w:ascii="Arial" w:cs="Arial" w:eastAsia="Arial" w:hAnsi="Arial"/>
                <w:sz w:val="18"/>
                <w:szCs w:val="18"/>
                <w:color w:val="auto"/>
              </w:rPr>
              <w:t>By:</w:t>
            </w:r>
          </w:p>
        </w:tc>
        <w:tc>
          <w:tcPr>
            <w:tcW w:w="4600" w:type="dxa"/>
            <w:vAlign w:val="bottom"/>
          </w:tcPr>
          <w:p>
            <w:pPr>
              <w:ind w:left="20"/>
              <w:spacing w:after="0"/>
              <w:rPr>
                <w:sz w:val="20"/>
                <w:szCs w:val="20"/>
                <w:color w:val="auto"/>
              </w:rPr>
            </w:pPr>
            <w:r>
              <w:rPr>
                <w:rFonts w:ascii="Arial" w:cs="Arial" w:eastAsia="Arial" w:hAnsi="Arial"/>
                <w:sz w:val="18"/>
                <w:szCs w:val="18"/>
                <w:color w:val="auto"/>
              </w:rPr>
              <w:t>/s/ Ken Xie</w:t>
            </w:r>
          </w:p>
        </w:tc>
      </w:tr>
      <w:tr>
        <w:trPr>
          <w:trHeight w:val="27"/>
        </w:trPr>
        <w:tc>
          <w:tcPr>
            <w:tcW w:w="37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r>
              <w:rPr>
                <w:rFonts w:ascii="Arial" w:cs="Arial" w:eastAsia="Arial" w:hAnsi="Arial"/>
                <w:sz w:val="18"/>
                <w:szCs w:val="18"/>
                <w:color w:val="auto"/>
              </w:rPr>
              <w:t>Date:   May 6, 2020</w:t>
            </w:r>
          </w:p>
        </w:tc>
        <w:tc>
          <w:tcPr>
            <w:tcW w:w="2820" w:type="dxa"/>
            <w:vAlign w:val="bottom"/>
          </w:tcPr>
          <w:p>
            <w:pPr>
              <w:ind w:left="2180"/>
              <w:spacing w:after="0"/>
              <w:rPr>
                <w:sz w:val="20"/>
                <w:szCs w:val="20"/>
                <w:color w:val="auto"/>
              </w:rPr>
            </w:pPr>
            <w:r>
              <w:rPr>
                <w:rFonts w:ascii="Arial" w:cs="Arial" w:eastAsia="Arial" w:hAnsi="Arial"/>
                <w:sz w:val="18"/>
                <w:szCs w:val="18"/>
                <w:color w:val="auto"/>
              </w:rPr>
              <w:t>Name:</w:t>
            </w:r>
          </w:p>
        </w:tc>
        <w:tc>
          <w:tcPr>
            <w:tcW w:w="4600" w:type="dxa"/>
            <w:vAlign w:val="bottom"/>
          </w:tcPr>
          <w:p>
            <w:pPr>
              <w:ind w:left="20"/>
              <w:spacing w:after="0"/>
              <w:rPr>
                <w:sz w:val="20"/>
                <w:szCs w:val="20"/>
                <w:color w:val="auto"/>
              </w:rPr>
            </w:pPr>
            <w:r>
              <w:rPr>
                <w:rFonts w:ascii="Arial" w:cs="Arial" w:eastAsia="Arial" w:hAnsi="Arial"/>
                <w:sz w:val="18"/>
                <w:szCs w:val="18"/>
                <w:color w:val="auto"/>
              </w:rPr>
              <w:t>Ken Xie</w:t>
            </w:r>
          </w:p>
        </w:tc>
      </w:tr>
      <w:tr>
        <w:trPr>
          <w:trHeight w:val="256"/>
        </w:trPr>
        <w:tc>
          <w:tcPr>
            <w:tcW w:w="3780" w:type="dxa"/>
            <w:vAlign w:val="bottom"/>
          </w:tcPr>
          <w:p>
            <w:pPr>
              <w:spacing w:after="0"/>
              <w:rPr>
                <w:sz w:val="22"/>
                <w:szCs w:val="22"/>
                <w:color w:val="auto"/>
              </w:rPr>
            </w:pPr>
          </w:p>
        </w:tc>
        <w:tc>
          <w:tcPr>
            <w:tcW w:w="2820" w:type="dxa"/>
            <w:vAlign w:val="bottom"/>
          </w:tcPr>
          <w:p>
            <w:pPr>
              <w:ind w:left="2180"/>
              <w:spacing w:after="0"/>
              <w:rPr>
                <w:sz w:val="20"/>
                <w:szCs w:val="20"/>
                <w:color w:val="auto"/>
              </w:rPr>
            </w:pPr>
            <w:r>
              <w:rPr>
                <w:rFonts w:ascii="Arial" w:cs="Arial" w:eastAsia="Arial" w:hAnsi="Arial"/>
                <w:sz w:val="18"/>
                <w:szCs w:val="18"/>
                <w:color w:val="auto"/>
              </w:rPr>
              <w:t>Title:</w:t>
            </w:r>
          </w:p>
        </w:tc>
        <w:tc>
          <w:tcPr>
            <w:tcW w:w="4600" w:type="dxa"/>
            <w:vAlign w:val="bottom"/>
          </w:tcPr>
          <w:p>
            <w:pPr>
              <w:ind w:left="20"/>
              <w:spacing w:after="0"/>
              <w:rPr>
                <w:sz w:val="20"/>
                <w:szCs w:val="20"/>
                <w:color w:val="auto"/>
              </w:rPr>
            </w:pPr>
            <w:r>
              <w:rPr>
                <w:rFonts w:ascii="Arial" w:cs="Arial" w:eastAsia="Arial" w:hAnsi="Arial"/>
                <w:sz w:val="18"/>
                <w:szCs w:val="18"/>
                <w:color w:val="auto"/>
              </w:rPr>
              <w:t>Chief Executive Officer and Chairman</w:t>
            </w:r>
          </w:p>
        </w:tc>
      </w:tr>
      <w:tr>
        <w:trPr>
          <w:trHeight w:val="230"/>
        </w:trPr>
        <w:tc>
          <w:tcPr>
            <w:tcW w:w="37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17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 Keith Jensen, certify, pursuant to 18 U.S.C. Section 1350, as adopted pursuant to Section 906 of the Sarbanes-Oxley Act of 2002, that the Quarterly Report on Form 10-Q of Fortinet, Inc. for the quarter ended March 31, 2020 fully complies with the requirements of Section 13(a) or 15(d) of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820" w:type="dxa"/>
            <w:vAlign w:val="bottom"/>
          </w:tcPr>
          <w:p>
            <w:pPr>
              <w:ind w:left="2180"/>
              <w:spacing w:after="0"/>
              <w:rPr>
                <w:sz w:val="20"/>
                <w:szCs w:val="20"/>
                <w:color w:val="auto"/>
              </w:rPr>
            </w:pPr>
            <w:r>
              <w:rPr>
                <w:rFonts w:ascii="Arial" w:cs="Arial" w:eastAsia="Arial" w:hAnsi="Arial"/>
                <w:sz w:val="18"/>
                <w:szCs w:val="18"/>
                <w:color w:val="auto"/>
              </w:rPr>
              <w:t>By:</w:t>
            </w:r>
          </w:p>
        </w:tc>
        <w:tc>
          <w:tcPr>
            <w:tcW w:w="4600" w:type="dxa"/>
            <w:vAlign w:val="bottom"/>
          </w:tcPr>
          <w:p>
            <w:pPr>
              <w:ind w:left="20"/>
              <w:spacing w:after="0"/>
              <w:rPr>
                <w:sz w:val="20"/>
                <w:szCs w:val="20"/>
                <w:color w:val="auto"/>
              </w:rPr>
            </w:pPr>
            <w:r>
              <w:rPr>
                <w:rFonts w:ascii="Arial" w:cs="Arial" w:eastAsia="Arial" w:hAnsi="Arial"/>
                <w:sz w:val="18"/>
                <w:szCs w:val="18"/>
                <w:color w:val="auto"/>
              </w:rPr>
              <w:t>/s/ Keith Jensen</w:t>
            </w:r>
          </w:p>
        </w:tc>
      </w:tr>
      <w:tr>
        <w:trPr>
          <w:trHeight w:val="27"/>
        </w:trPr>
        <w:tc>
          <w:tcPr>
            <w:tcW w:w="5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260" w:type="dxa"/>
            <w:vAlign w:val="bottom"/>
          </w:tcPr>
          <w:p>
            <w:pPr>
              <w:ind w:left="160"/>
              <w:spacing w:after="0"/>
              <w:rPr>
                <w:sz w:val="20"/>
                <w:szCs w:val="20"/>
                <w:color w:val="auto"/>
              </w:rPr>
            </w:pPr>
            <w:r>
              <w:rPr>
                <w:rFonts w:ascii="Arial" w:cs="Arial" w:eastAsia="Arial" w:hAnsi="Arial"/>
                <w:sz w:val="18"/>
                <w:szCs w:val="18"/>
                <w:color w:val="auto"/>
              </w:rPr>
              <w:t>May 6, 2020</w:t>
            </w:r>
          </w:p>
        </w:tc>
        <w:tc>
          <w:tcPr>
            <w:tcW w:w="2820" w:type="dxa"/>
            <w:vAlign w:val="bottom"/>
          </w:tcPr>
          <w:p>
            <w:pPr>
              <w:ind w:left="2180"/>
              <w:spacing w:after="0"/>
              <w:rPr>
                <w:sz w:val="20"/>
                <w:szCs w:val="20"/>
                <w:color w:val="auto"/>
              </w:rPr>
            </w:pPr>
            <w:r>
              <w:rPr>
                <w:rFonts w:ascii="Arial" w:cs="Arial" w:eastAsia="Arial" w:hAnsi="Arial"/>
                <w:sz w:val="18"/>
                <w:szCs w:val="18"/>
                <w:color w:val="auto"/>
              </w:rPr>
              <w:t>Name:</w:t>
            </w:r>
          </w:p>
        </w:tc>
        <w:tc>
          <w:tcPr>
            <w:tcW w:w="4600" w:type="dxa"/>
            <w:vAlign w:val="bottom"/>
          </w:tcPr>
          <w:p>
            <w:pPr>
              <w:ind w:left="20"/>
              <w:spacing w:after="0"/>
              <w:rPr>
                <w:sz w:val="20"/>
                <w:szCs w:val="20"/>
                <w:color w:val="auto"/>
              </w:rPr>
            </w:pPr>
            <w:r>
              <w:rPr>
                <w:rFonts w:ascii="Arial" w:cs="Arial" w:eastAsia="Arial" w:hAnsi="Arial"/>
                <w:sz w:val="18"/>
                <w:szCs w:val="18"/>
                <w:color w:val="auto"/>
              </w:rPr>
              <w:t>Keith Jensen</w:t>
            </w:r>
          </w:p>
        </w:tc>
      </w:tr>
      <w:tr>
        <w:trPr>
          <w:trHeight w:val="256"/>
        </w:trPr>
        <w:tc>
          <w:tcPr>
            <w:tcW w:w="52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2820" w:type="dxa"/>
            <w:vAlign w:val="bottom"/>
          </w:tcPr>
          <w:p>
            <w:pPr>
              <w:ind w:left="2180"/>
              <w:spacing w:after="0"/>
              <w:rPr>
                <w:sz w:val="20"/>
                <w:szCs w:val="20"/>
                <w:color w:val="auto"/>
              </w:rPr>
            </w:pPr>
            <w:r>
              <w:rPr>
                <w:rFonts w:ascii="Arial" w:cs="Arial" w:eastAsia="Arial" w:hAnsi="Arial"/>
                <w:sz w:val="18"/>
                <w:szCs w:val="18"/>
                <w:color w:val="auto"/>
              </w:rPr>
              <w:t>Title:</w:t>
            </w:r>
          </w:p>
        </w:tc>
        <w:tc>
          <w:tcPr>
            <w:tcW w:w="46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5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w w:val="95"/>
              </w:rPr>
              <w:t>(Principal Financial Officer and Principal Accounting Officer)</w:t>
            </w:r>
          </w:p>
        </w:tc>
      </w:tr>
    </w:tbl>
    <w:p>
      <w:pPr>
        <w:spacing w:after="0" w:line="39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2"/>
    </w:lvl>
  </w:abstractNum>
  <w:abstractNum w:abstractNumId="4">
    <w:nsid w:val="79838CB2"/>
    <w:multiLevelType w:val="hybridMultilevel"/>
    <w:lvl w:ilvl="0">
      <w:lvlJc w:val="left"/>
      <w:lvlText w:val="%1."/>
      <w:numFmt w:val="decimal"/>
      <w:start w:val="3"/>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4"/>
    </w:lvl>
  </w:abstractNum>
  <w:abstractNum w:abstractNumId="7">
    <w:nsid w:val="189A769B"/>
    <w:multiLevelType w:val="hybridMultilevel"/>
    <w:lvl w:ilvl="0">
      <w:lvlJc w:val="left"/>
      <w:lvlText w:val="%1."/>
      <w:numFmt w:val="decimal"/>
      <w:start w:val="6"/>
    </w:lvl>
  </w:abstractNum>
  <w:abstractNum w:abstractNumId="8">
    <w:nsid w:val="54E49EB4"/>
    <w:multiLevelType w:val="hybridMultilevel"/>
    <w:lvl w:ilvl="0">
      <w:lvlJc w:val="left"/>
      <w:lvlText w:val="%1."/>
      <w:numFmt w:val="decimal"/>
      <w:start w:val="7"/>
    </w:lvl>
  </w:abstractNum>
  <w:abstractNum w:abstractNumId="9">
    <w:nsid w:val="71F32454"/>
    <w:multiLevelType w:val="hybridMultilevel"/>
    <w:lvl w:ilvl="0">
      <w:lvlJc w:val="left"/>
      <w:lvlText w:val="%1."/>
      <w:numFmt w:val="decimal"/>
      <w:start w:val="8"/>
    </w:lvl>
  </w:abstractNum>
  <w:abstractNum w:abstractNumId="10">
    <w:nsid w:val="2CA88611"/>
    <w:multiLevelType w:val="hybridMultilevel"/>
    <w:lvl w:ilvl="0">
      <w:lvlJc w:val="left"/>
      <w:lvlText w:val="%1."/>
      <w:numFmt w:val="decimal"/>
      <w:start w:val="9"/>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1."/>
      <w:numFmt w:val="decimal"/>
      <w:start w:val="10"/>
    </w:lvl>
  </w:abstractNum>
  <w:abstractNum w:abstractNumId="13">
    <w:nsid w:val="3A95F874"/>
    <w:multiLevelType w:val="hybridMultilevel"/>
    <w:lvl w:ilvl="0">
      <w:lvlJc w:val="left"/>
      <w:lvlText w:val="%1."/>
      <w:numFmt w:val="decimal"/>
      <w:start w:val="11"/>
    </w:lvl>
  </w:abstractNum>
  <w:abstractNum w:abstractNumId="14">
    <w:nsid w:val="8138641"/>
    <w:multiLevelType w:val="hybridMultilevel"/>
    <w:lvl w:ilvl="0">
      <w:lvlJc w:val="left"/>
      <w:lvlText w:val="%1."/>
      <w:numFmt w:val="decimal"/>
      <w:start w:val="12"/>
    </w:lvl>
  </w:abstractNum>
  <w:abstractNum w:abstractNumId="15">
    <w:nsid w:val="1E7FF521"/>
    <w:multiLevelType w:val="hybridMultilevel"/>
    <w:lvl w:ilvl="0">
      <w:lvlJc w:val="left"/>
      <w:lvlText w:val="%1."/>
      <w:numFmt w:val="decimal"/>
      <w:start w:val="13"/>
    </w:lvl>
  </w:abstractNum>
  <w:abstractNum w:abstractNumId="16">
    <w:nsid w:val="7C3DBD3D"/>
    <w:multiLevelType w:val="hybridMultilevel"/>
    <w:lvl w:ilvl="0">
      <w:lvlJc w:val="left"/>
      <w:lvlText w:val="%1."/>
      <w:numFmt w:val="decimal"/>
      <w:start w:val="14"/>
    </w:lvl>
  </w:abstractNum>
  <w:abstractNum w:abstractNumId="17">
    <w:nsid w:val="737B8DDC"/>
    <w:multiLevelType w:val="hybridMultilevel"/>
    <w:lvl w:ilvl="0">
      <w:lvlJc w:val="left"/>
      <w:lvlText w:val="%1."/>
      <w:numFmt w:val="decimal"/>
      <w:start w:val="15"/>
    </w:lvl>
  </w:abstractNum>
  <w:abstractNum w:abstractNumId="18">
    <w:nsid w:val="6CEAF087"/>
    <w:multiLevelType w:val="hybridMultilevel"/>
    <w:lvl w:ilvl="0">
      <w:lvlJc w:val="left"/>
      <w:lvlText w:val="%1."/>
      <w:numFmt w:val="decimal"/>
      <w:start w:val="16"/>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37" Type="http://schemas.openxmlformats.org/officeDocument/2006/relationships/hyperlink" Target="https://www.sec.gov/Archives/edgar/data/1262039/000126203920000025/ex31amendedandrestate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2020-05-07T05:14:52Z</dcterms:created>
  <dcterms:modified xsi:type="dcterms:W3CDTF">2020-05-07T05:14:52Z</dcterms:modified>
</cp:coreProperties>
</file>