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200"/>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039" w:hanging="3985"/>
        <w:spacing w:after="0" w:line="50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31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3" w:lineRule="exact"/>
        <w:rPr>
          <w:sz w:val="24"/>
          <w:szCs w:val="24"/>
          <w:color w:val="auto"/>
        </w:rPr>
      </w:pPr>
    </w:p>
    <w:p>
      <w:pPr>
        <w:ind w:left="3700"/>
        <w:spacing w:after="0"/>
        <w:tabs>
          <w:tab w:leader="none" w:pos="694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4008120</wp:posOffset>
            </wp:positionH>
            <wp:positionV relativeFrom="paragraph">
              <wp:posOffset>-10795</wp:posOffset>
            </wp:positionV>
            <wp:extent cx="9213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55" w:lineRule="exact"/>
        <w:rPr>
          <w:sz w:val="24"/>
          <w:szCs w:val="24"/>
          <w:color w:val="auto"/>
        </w:rPr>
      </w:pPr>
    </w:p>
    <w:p>
      <w:pPr>
        <w:ind w:left="4200"/>
        <w:spacing w:after="0"/>
        <w:rPr>
          <w:sz w:val="20"/>
          <w:szCs w:val="20"/>
          <w:color w:val="auto"/>
        </w:rPr>
      </w:pPr>
      <w:r>
        <w:rPr>
          <w:rFonts w:ascii="Arial" w:cs="Arial" w:eastAsia="Arial" w:hAnsi="Arial"/>
          <w:sz w:val="20"/>
          <w:szCs w:val="20"/>
          <w:b w:val="1"/>
          <w:bCs w:val="1"/>
          <w:color w:val="auto"/>
        </w:rPr>
        <w:t>Commission file number: 001-34511</w:t>
      </w:r>
    </w:p>
    <w:p>
      <w:pPr>
        <w:spacing w:after="0" w:line="26"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______________________________________</w:t>
      </w:r>
    </w:p>
    <w:p>
      <w:pPr>
        <w:spacing w:after="0" w:line="6" w:lineRule="exact"/>
        <w:rPr>
          <w:sz w:val="24"/>
          <w:szCs w:val="24"/>
          <w:color w:val="auto"/>
        </w:rPr>
      </w:pPr>
    </w:p>
    <w:p>
      <w:pPr>
        <w:jc w:val="center"/>
        <w:ind w:right="-1240"/>
        <w:spacing w:after="0"/>
        <w:rPr>
          <w:sz w:val="20"/>
          <w:szCs w:val="20"/>
          <w:color w:val="auto"/>
        </w:rPr>
      </w:pPr>
      <w:r>
        <w:rPr>
          <w:rFonts w:ascii="Arial" w:cs="Arial" w:eastAsia="Arial" w:hAnsi="Arial"/>
          <w:sz w:val="25"/>
          <w:szCs w:val="25"/>
          <w:b w:val="1"/>
          <w:bCs w:val="1"/>
          <w:color w:val="auto"/>
        </w:rPr>
        <w:t>FORTINET, INC.</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______________________________________</w:t>
      </w:r>
    </w:p>
    <w:p>
      <w:pPr>
        <w:sectPr>
          <w:pgSz w:w="11900" w:h="16838" w:orient="portrait"/>
          <w:cols w:equalWidth="0" w:num="1">
            <w:col w:w="10219"/>
          </w:cols>
          <w:pgMar w:left="240" w:top="229" w:right="1440" w:bottom="1440" w:gutter="0" w:footer="0" w:header="0"/>
        </w:sectPr>
      </w:pPr>
    </w:p>
    <w:p>
      <w:pPr>
        <w:spacing w:after="0" w:line="36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77-0560389</w:t>
      </w:r>
    </w:p>
    <w:p>
      <w:pPr>
        <w:spacing w:after="0" w:line="91" w:lineRule="exact"/>
        <w:rPr>
          <w:sz w:val="24"/>
          <w:szCs w:val="24"/>
          <w:color w:val="auto"/>
        </w:rPr>
      </w:pPr>
    </w:p>
    <w:p>
      <w:pPr>
        <w:sectPr>
          <w:pgSz w:w="11900" w:h="16838" w:orient="portrait"/>
          <w:cols w:equalWidth="0" w:num="2">
            <w:col w:w="7420" w:space="720"/>
            <w:col w:w="2079"/>
          </w:cols>
          <w:pgMar w:left="240" w:top="229" w:right="1440" w:bottom="1440" w:gutter="0" w:footer="0" w:header="0"/>
          <w:type w:val="continuous"/>
        </w:sectPr>
      </w:pPr>
    </w:p>
    <w:p>
      <w:pPr>
        <w:ind w:left="1860"/>
        <w:spacing w:after="0"/>
        <w:rPr>
          <w:sz w:val="20"/>
          <w:szCs w:val="20"/>
          <w:color w:val="auto"/>
        </w:rPr>
      </w:pPr>
      <w:r>
        <w:rPr>
          <w:rFonts w:ascii="Arial" w:cs="Arial" w:eastAsia="Arial" w:hAnsi="Arial"/>
          <w:sz w:val="15"/>
          <w:szCs w:val="15"/>
          <w:b w:val="1"/>
          <w:bCs w:val="1"/>
          <w:color w:val="auto"/>
        </w:rPr>
        <w:t>(State or other jurisdiction of</w:t>
      </w:r>
    </w:p>
    <w:p>
      <w:pPr>
        <w:spacing w:after="0" w:line="38" w:lineRule="exact"/>
        <w:rPr>
          <w:sz w:val="24"/>
          <w:szCs w:val="24"/>
          <w:color w:val="auto"/>
        </w:rPr>
      </w:pPr>
    </w:p>
    <w:p>
      <w:pPr>
        <w:ind w:left="18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b w:val="1"/>
          <w:bCs w:val="1"/>
          <w:color w:val="auto"/>
        </w:rPr>
        <w:t>(I.R.S. Employer</w:t>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20" w:space="720"/>
            <w:col w:w="2279"/>
          </w:cols>
          <w:pgMar w:left="240" w:top="229" w:right="1440" w:bottom="1440" w:gutter="0" w:footer="0" w:header="0"/>
          <w:type w:val="continuous"/>
        </w:sectPr>
      </w:pPr>
    </w:p>
    <w:p>
      <w:pPr>
        <w:spacing w:after="0" w:line="18"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1090 Kifer Road</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Sunnyvale, California</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94086</w:t>
      </w:r>
    </w:p>
    <w:p>
      <w:pPr>
        <w:spacing w:after="0" w:line="90" w:lineRule="exact"/>
        <w:rPr>
          <w:sz w:val="24"/>
          <w:szCs w:val="24"/>
          <w:color w:val="auto"/>
        </w:rPr>
      </w:pPr>
    </w:p>
    <w:p>
      <w:pPr>
        <w:sectPr>
          <w:pgSz w:w="11900" w:h="16838" w:orient="portrait"/>
          <w:cols w:equalWidth="0" w:num="2">
            <w:col w:w="7620" w:space="720"/>
            <w:col w:w="1879"/>
          </w:cols>
          <w:pgMar w:left="240" w:top="229" w:right="1440" w:bottom="1440" w:gutter="0" w:footer="0" w:header="0"/>
          <w:type w:val="continuous"/>
        </w:sectPr>
      </w:pPr>
    </w:p>
    <w:p>
      <w:pPr>
        <w:ind w:left="1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64" w:lineRule="exact"/>
        <w:rPr>
          <w:sz w:val="24"/>
          <w:szCs w:val="24"/>
          <w:color w:val="auto"/>
        </w:rPr>
      </w:pPr>
    </w:p>
    <w:p>
      <w:pPr>
        <w:sectPr>
          <w:pgSz w:w="11900" w:h="16838" w:orient="portrait"/>
          <w:cols w:equalWidth="0" w:num="2">
            <w:col w:w="7480" w:space="720"/>
            <w:col w:w="2019"/>
          </w:cols>
          <w:pgMar w:left="240" w:top="229" w:right="1440" w:bottom="1440" w:gutter="0" w:footer="0" w:header="0"/>
          <w:type w:val="continuous"/>
        </w:sectPr>
      </w:pPr>
    </w:p>
    <w:p>
      <w:pPr>
        <w:jc w:val="center"/>
        <w:ind w:right="-1220"/>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76"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0219"/>
          </w:cols>
          <w:pgMar w:left="240" w:top="229" w:right="1440" w:bottom="1440" w:gutter="0" w:footer="0" w:header="0"/>
          <w:type w:val="continuous"/>
        </w:sectPr>
      </w:pPr>
    </w:p>
    <w:p>
      <w:pPr>
        <w:spacing w:after="0" w:line="194"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The NASDAQ Stock Market LLC</w:t>
      </w:r>
    </w:p>
    <w:p>
      <w:pPr>
        <w:spacing w:after="0" w:line="7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NASDAQ Global Select Market</w:t>
      </w:r>
    </w:p>
    <w:p>
      <w:pPr>
        <w:spacing w:after="0" w:line="68" w:lineRule="exact"/>
        <w:rPr>
          <w:sz w:val="24"/>
          <w:szCs w:val="24"/>
          <w:color w:val="auto"/>
        </w:rPr>
      </w:pPr>
    </w:p>
    <w:p>
      <w:pPr>
        <w:sectPr>
          <w:pgSz w:w="11900" w:h="16838" w:orient="portrait"/>
          <w:cols w:equalWidth="0" w:num="2">
            <w:col w:w="6700" w:space="720"/>
            <w:col w:w="2799"/>
          </w:cols>
          <w:pgMar w:left="240" w:top="229" w:right="1440" w:bottom="1440" w:gutter="0" w:footer="0" w:header="0"/>
          <w:type w:val="continuous"/>
        </w:sectPr>
      </w:pPr>
    </w:p>
    <w:p>
      <w:pPr>
        <w:ind w:left="21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200" w:lineRule="exact"/>
        <w:rPr>
          <w:sz w:val="24"/>
          <w:szCs w:val="24"/>
          <w:color w:val="auto"/>
        </w:rPr>
      </w:pPr>
    </w:p>
    <w:p>
      <w:pPr>
        <w:sectPr>
          <w:pgSz w:w="11900" w:h="16838" w:orient="portrait"/>
          <w:cols w:equalWidth="0" w:num="2">
            <w:col w:w="6640" w:space="720"/>
            <w:col w:w="2859"/>
          </w:cols>
          <w:pgMar w:left="240" w:top="229" w:right="1440" w:bottom="1440" w:gutter="0" w:footer="0" w:header="0"/>
          <w:type w:val="continuous"/>
        </w:sectPr>
      </w:pPr>
    </w:p>
    <w:p>
      <w:pPr>
        <w:spacing w:after="0" w:line="26"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0219"/>
          </w:cols>
          <w:pgMar w:left="240" w:top="229" w:right="1440" w:bottom="1440" w:gutter="0" w:footer="0" w:header="0"/>
          <w:type w:val="continuous"/>
        </w:sectPr>
      </w:pPr>
    </w:p>
    <w:p>
      <w:pPr>
        <w:spacing w:after="0" w:line="198"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4"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right"/>
        <w:ind w:right="259"/>
        <w:spacing w:after="0" w:line="465" w:lineRule="auto"/>
        <w:rPr>
          <w:sz w:val="20"/>
          <w:szCs w:val="20"/>
          <w:color w:val="auto"/>
        </w:rPr>
      </w:pPr>
      <w:r>
        <w:rPr>
          <w:rFonts w:ascii="Arial" w:cs="Arial" w:eastAsia="Arial" w:hAnsi="Arial"/>
          <w:sz w:val="18"/>
          <w:szCs w:val="18"/>
          <w:color w:val="auto"/>
        </w:rPr>
        <w:t>Yes x  No o Yes o No x</w:t>
      </w:r>
    </w:p>
    <w:p>
      <w:pPr>
        <w:sectPr>
          <w:pgSz w:w="11900" w:h="16838" w:orient="portrait"/>
          <w:cols w:equalWidth="0" w:num="2">
            <w:col w:w="8900" w:space="0"/>
            <w:col w:w="1319"/>
          </w:cols>
          <w:pgMar w:left="240" w:top="229" w:right="1440"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x No o</w:t>
      </w:r>
    </w:p>
    <w:p>
      <w:pPr>
        <w:spacing w:after="0" w:line="127" w:lineRule="exact"/>
        <w:rPr>
          <w:sz w:val="20"/>
          <w:szCs w:val="20"/>
          <w:color w:val="auto"/>
        </w:rPr>
      </w:pPr>
    </w:p>
    <w:p>
      <w:pPr>
        <w:jc w:val="both"/>
        <w:ind w:right="40"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(section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27" w:lineRule="exact"/>
        <w:rPr>
          <w:sz w:val="20"/>
          <w:szCs w:val="20"/>
          <w:color w:val="auto"/>
        </w:rPr>
      </w:pPr>
    </w:p>
    <w:p>
      <w:pPr>
        <w:ind w:right="6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21" w:right="299" w:bottom="1440" w:gutter="0" w:footer="0" w:header="0"/>
        </w:sectPr>
      </w:pP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1980" w:space="720"/>
            <w:col w:w="4720" w:space="720"/>
            <w:col w:w="1940" w:space="720"/>
            <w:col w:w="560"/>
          </w:cols>
          <w:pgMar w:left="240" w:top="121" w:right="29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0"/>
          <w:szCs w:val="20"/>
          <w:color w:val="auto"/>
        </w:rPr>
      </w:pPr>
    </w:p>
    <w:p>
      <w:pPr>
        <w:sectPr>
          <w:pgSz w:w="11900" w:h="16838" w:orient="portrait"/>
          <w:cols w:equalWidth="0" w:num="4">
            <w:col w:w="1980" w:space="720"/>
            <w:col w:w="4720" w:space="720"/>
            <w:col w:w="1960" w:space="700"/>
            <w:col w:w="560"/>
          </w:cols>
          <w:pgMar w:left="240" w:top="121" w:right="29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 x</w:t>
      </w:r>
    </w:p>
    <w:p>
      <w:pPr>
        <w:spacing w:after="0" w:line="171" w:lineRule="exact"/>
        <w:rPr>
          <w:sz w:val="20"/>
          <w:szCs w:val="20"/>
          <w:color w:val="auto"/>
        </w:rPr>
      </w:pPr>
    </w:p>
    <w:p>
      <w:pPr>
        <w:sectPr>
          <w:pgSz w:w="11900" w:h="16838" w:orient="portrait"/>
          <w:cols w:equalWidth="0" w:num="3">
            <w:col w:w="7700" w:space="180"/>
            <w:col w:w="440" w:space="220"/>
            <w:col w:w="2820"/>
          </w:cols>
          <w:pgMar w:left="240" w:top="121" w:right="299" w:bottom="1440" w:gutter="0" w:footer="0" w:header="0"/>
          <w:type w:val="continuous"/>
        </w:sectPr>
      </w:pPr>
    </w:p>
    <w:p>
      <w:pPr>
        <w:ind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2011, the last business day of the registrant’s most recently completed second quarter, was $2,977,981,761 (based on the closing price for shares of the registrant's common stock as reported by The NASDAQ Global Select Market for the last business day prior to that date). Shares of common stock held by each executive officers, director, and holder of 5% or more of the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00"/>
        <w:spacing w:after="0" w:line="438" w:lineRule="auto"/>
        <w:rPr>
          <w:sz w:val="20"/>
          <w:szCs w:val="20"/>
          <w:color w:val="auto"/>
        </w:rPr>
      </w:pPr>
      <w:r>
        <w:rPr>
          <w:rFonts w:ascii="Arial" w:cs="Arial" w:eastAsia="Arial" w:hAnsi="Arial"/>
          <w:sz w:val="18"/>
          <w:szCs w:val="18"/>
          <w:color w:val="auto"/>
        </w:rPr>
        <w:t>As of February 17, 2012, there were 156,363,007 shares of the registrant’s common stock outstanding. DOCUMENTS INCORPORATED BY REFERENCE</w:t>
      </w:r>
    </w:p>
    <w:p>
      <w:pPr>
        <w:spacing w:after="0" w:line="1"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2012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ectPr>
          <w:pgSz w:w="11900" w:h="16838" w:orient="portrait"/>
          <w:cols w:equalWidth="0" w:num="1">
            <w:col w:w="11360"/>
          </w:cols>
          <w:pgMar w:left="240" w:top="121" w:right="2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20" w:type="dxa"/>
            <w:vAlign w:val="bottom"/>
            <w:gridSpan w:val="10"/>
          </w:tcPr>
          <w:p>
            <w:pPr>
              <w:jc w:val="center"/>
              <w:ind w:right="3140"/>
              <w:spacing w:after="0"/>
              <w:rPr>
                <w:sz w:val="20"/>
                <w:szCs w:val="20"/>
                <w:color w:val="auto"/>
              </w:rPr>
            </w:pPr>
            <w:r>
              <w:rPr>
                <w:rFonts w:ascii="Arial" w:cs="Arial" w:eastAsia="Arial" w:hAnsi="Arial"/>
                <w:sz w:val="18"/>
                <w:szCs w:val="18"/>
                <w:b w:val="1"/>
                <w:bCs w:val="1"/>
                <w:color w:val="auto"/>
                <w:w w:val="90"/>
              </w:rPr>
              <w:t>For the Fiscal Year Ended December 31, 2011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140" w:type="dxa"/>
            <w:vAlign w:val="bottom"/>
            <w:gridSpan w:val="18"/>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1">
              <w:r>
                <w:rPr>
                  <w:rFonts w:ascii="Arial" w:cs="Arial" w:eastAsia="Arial" w:hAnsi="Arial"/>
                  <w:sz w:val="18"/>
                  <w:szCs w:val="18"/>
                  <w:color w:val="0000FF"/>
                  <w:w w:val="87"/>
                </w:rPr>
                <w:t>Risk Factors</w:t>
              </w:r>
            </w:hyperlink>
          </w:p>
        </w:tc>
        <w:tc>
          <w:tcPr>
            <w:tcW w:w="8880" w:type="dxa"/>
            <w:vAlign w:val="bottom"/>
            <w:gridSpan w:val="1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8"/>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Properties</w:t>
              </w:r>
            </w:hyperlink>
          </w:p>
        </w:tc>
        <w:tc>
          <w:tcPr>
            <w:tcW w:w="77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Selected Financial Data</w:t>
              </w:r>
            </w:hyperlink>
          </w:p>
        </w:tc>
        <w:tc>
          <w:tcPr>
            <w:tcW w:w="172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4">
              <w:r>
                <w:rPr>
                  <w:rFonts w:ascii="Arial" w:cs="Arial" w:eastAsia="Arial" w:hAnsi="Arial"/>
                  <w:sz w:val="18"/>
                  <w:szCs w:val="18"/>
                  <w:color w:val="0000FF"/>
                </w:rPr>
                <w:t>61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3"/>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6"/>
          </w:tcPr>
          <w:p>
            <w:pPr>
              <w:spacing w:after="0"/>
              <w:rPr>
                <w:rFonts w:ascii="Arial" w:cs="Arial" w:eastAsia="Arial" w:hAnsi="Arial"/>
                <w:sz w:val="18"/>
                <w:szCs w:val="18"/>
                <w:color w:val="0000FF"/>
                <w:w w:val="90"/>
              </w:rPr>
            </w:pPr>
            <w:hyperlink w:anchor="page95">
              <w:r>
                <w:rPr>
                  <w:rFonts w:ascii="Arial" w:cs="Arial" w:eastAsia="Arial" w:hAnsi="Arial"/>
                  <w:sz w:val="18"/>
                  <w:szCs w:val="18"/>
                  <w:color w:val="0000FF"/>
                  <w:w w:val="90"/>
                </w:rPr>
                <w:t>Changes in and Disagreements with Accountants on Accounting and Financial Disclosure</w:t>
              </w:r>
            </w:hyperlink>
          </w:p>
        </w:tc>
        <w:tc>
          <w:tcPr>
            <w:tcW w:w="330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Controls and Procedures</w:t>
              </w:r>
            </w:hyperlink>
          </w:p>
        </w:tc>
        <w:tc>
          <w:tcPr>
            <w:tcW w:w="330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Other Information</w:t>
              </w:r>
            </w:hyperlink>
          </w:p>
        </w:tc>
        <w:tc>
          <w:tcPr>
            <w:tcW w:w="8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93</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19"/>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Executive Compensation</w:t>
              </w:r>
            </w:hyperlink>
          </w:p>
        </w:tc>
        <w:tc>
          <w:tcPr>
            <w:tcW w:w="2280" w:type="dxa"/>
            <w:vAlign w:val="bottom"/>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19"/>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Security Ownership of Certain Beneficial Owners and Management and Related Stockholder Matters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7"/>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4"/>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8">
              <w:r>
                <w:rPr>
                  <w:rFonts w:ascii="Arial" w:cs="Arial" w:eastAsia="Arial" w:hAnsi="Arial"/>
                  <w:sz w:val="18"/>
                  <w:szCs w:val="18"/>
                  <w:color w:val="0000FF"/>
                </w:rPr>
                <w:t>95</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Exhibits and Financial Statement Schedules</w:t>
              </w:r>
            </w:hyperlink>
          </w:p>
        </w:tc>
        <w:tc>
          <w:tcPr>
            <w:tcW w:w="662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96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121" w:right="2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provide network security solutions that are designed to address the fundamental problems of an increasingly bandwidth-intensive network environment and a more sophisticated information technology (“IT”) threat landscape. Through our products and subscription services, we provide broad, integrated and high performance protection against dynamic security threats while simplifying the IT security infrastructure for enterprises, service providers and governmental entities worldwide. Our flagship Unified Threat Management ("UTM") solution consists of our FortiGate physical and virtual appliance products that provide a broad array of security and networking functions, including firewall, VPN, application control, antivirus, intrusion prevention, Web filtering, vulnerability management, antispam, wireless controller, and WAN acceleration. Our FortiGate appliances, from the FortiGate-40 for small businesses and branch offices to the FortiGate-5000 series for large enterprises and service providers, are based on our proprietary technology platform. This platform includes our FortiASICs, which are specifically designed for accelerated processing of security and networking functions, and our FortiOS operating system, which provides the foundation for all of our security functions. Our FortiGuard security subscription services provide end-customers with access to dynamic updates to our application control, antivirus, intrusion prevention, Web filtering and antispam functionality based on intelligence gathered by our dedicated FortiGuard Labs team. By combining multiple proprietary security and networking functions with our purpose-built FortiASIC and FortiOS, our FortiGate UTM solution delivers broad protection against dynamic security threats while reducing the operational burden and costs associated with managing multiple point products.</w:t>
      </w:r>
    </w:p>
    <w:p>
      <w:pPr>
        <w:spacing w:after="0" w:line="18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complement our FortiGate product line with the FortiManager product family, which enables end-customers to manage the system configuration and security functions of multiple FortiGate devices from a centralized console, as well as the FortiAnalyzer product family, which enables collection, analysis and archiving of content and log data generated by our products. We also offer other product lines that provide additional protection, such as:</w:t>
      </w:r>
    </w:p>
    <w:p>
      <w:pPr>
        <w:ind w:right="200" w:firstLine="8"/>
        <w:spacing w:after="0" w:line="270" w:lineRule="auto"/>
        <w:tabs>
          <w:tab w:leader="none" w:pos="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FortiAP, secure wireless access points, (ii) FortiWeb, security for Web-based applications, (iii) FortiMail, multi-featured, high performance messaging security, (iv) FortiDB, centrally managed database-specific security, (v) FortiClient, endpoint security for desktops, laptops and mobile devices and that is primarily used in conjunction with our FortiGate appliances, (vi) FortiScan, endpoint vulnerability assessment and remediation, (vii) FortiSwitch, Ethernet switches, (viii) FortiBridge, bypass appliances to help ensure network availability, (ix) FortiAuthenticator, scalable secure authentication for enterprise networks, (x) FortiBalancer, optimizing the availability and performance of mobile, cloud, and enterprise applications, (xi) FortiCache, reducing the cost of and impact of cached internet content, and (xii) FortiDNS, providing secure DNS caching.</w:t>
      </w:r>
    </w:p>
    <w:p>
      <w:pPr>
        <w:spacing w:after="0" w:line="17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Additionally, we offer virtual appliances for the FortiGate, FortiManager, FortiAnalyzer, FortiWeb, FortiMail, and FortiScan product lines. These virtual appliances help secure network infrastructures with the same functionality as the traditional physical appliances in their respective product lines. They can be used in conjunction with traditional Fortinet appliances (such as FortiGate, FortiManager, and FortiAnalyzer) to help ensure the visibility, management, and protection of physical and virtual environments.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2011, we had shipped over 850,000 appliances via more than 10,000 channel partners to more than 125,000 end-customers worldwide, including a majority of the 2011 Fortune Global 100.</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1090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FortiASIC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FortiASIC family of Application-Specific Integrated Circuits, or ASICs, is comprised of three lines of processors: FortiASIC content processor, or CP, the FortiASIC network processor, or NP, and the FortiASIC system-on-a-chip, or SOC. These custom ASICs are designed to enhance the sophisticated security processing capabilities implemented in software by accelerating the computation-intensive tasks such as firewall policy enforcement or IPS anomaly detection. This architecture provides the flexibility of implementing accelerated processing of new threat detection without requiring a new ASIC release. The FortiASIC</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CP is currently included in most of our entry-level and all of our mid-range and high-end FortiGate appliances. The FortiASIC NP is currently included in some of our mid-range and high-end FortiGate appliances, delivering further accelerated firewall and VPN performance. The FortiASIC SOC is currently included in our entry-level FortiGate-20 and -40 product families.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FortiOS operating system provides the foundation for the operation of all FortiGate appliances, from the core kernel functions to the security processing feature sets. FortiOS provides multiple layers of security including a hardened kernel layer providing protection for the FortiGate system, a network security layer providing security for end-customers’ network infrastructures, and application content protection providing security for end-customers’ workstations and applications. FortiOS directs the operations of processors and ASICs as well as providing system management functions such as command-line and graphical user interfaces. We make available updates to the FortiOS through our FortiCare support services. FortiOS also enables advanced, integrated routing and switching, allowing end-customers to deploy FortiGate devices within a wide variety of networks, as well as providing a direct replacement solution option for legacy switching and routing equipment. The FortiOS implements a suite of commonly used routing protocols as well as address translation technologies, allowing the FortiGate appliance to integrate and operate in a wide variety of network environments. Additional features include Virtual Domain, or VDOM, capabilities and traffic queuing and shaping, enabling administrators to set the appropriate configurations and policies that meet their infrastructure needs. FortiOS also provides capabilities for logging of traffic for forensic analysis purposes which are particularly important for regulatory compliance initiatives like PCI DSS. FortiOS’s packet classification, queue disciplines, policy enforcement, congestion management, and other traffic optimization functionality are designed to help control network traffic in order to optimize performance.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FortiOS incorporates the following eight core security and networking technologies:</w:t>
      </w:r>
    </w:p>
    <w:p>
      <w:pPr>
        <w:spacing w:after="0" w:line="225" w:lineRule="exact"/>
        <w:rPr>
          <w:sz w:val="20"/>
          <w:szCs w:val="20"/>
          <w:color w:val="auto"/>
        </w:rPr>
      </w:pPr>
    </w:p>
    <w:p>
      <w:pPr>
        <w:ind w:left="1300" w:right="60" w:hanging="644"/>
        <w:spacing w:after="0" w:line="25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Firewall</w:t>
      </w:r>
      <w:r>
        <w:rPr>
          <w:rFonts w:ascii="Arial" w:cs="Arial" w:eastAsia="Arial" w:hAnsi="Arial"/>
          <w:sz w:val="18"/>
          <w:szCs w:val="18"/>
          <w:color w:val="auto"/>
        </w:rPr>
        <w:t>. Our firewall technology delivers high performance network and application firewalling, including the ability to enforce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application behavior and content. Our technology identifies traffic patterns independent of port or protocol used, and links them to the use of specific applications, enabling visibility and control over application behavior (explained in more detail below). By coupling application intelligence with firewall technology, the FortiGate platform is able to deliver real-time security with integrated application content level inspection, thereby simplifying security deployments.</w:t>
      </w:r>
    </w:p>
    <w:p>
      <w:pPr>
        <w:spacing w:after="0" w:line="188"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Virtual Private Network</w:t>
      </w:r>
      <w:r>
        <w:rPr>
          <w:rFonts w:ascii="Arial" w:cs="Arial" w:eastAsia="Arial" w:hAnsi="Arial"/>
          <w:sz w:val="18"/>
          <w:szCs w:val="18"/>
          <w:color w:val="auto"/>
        </w:rPr>
        <w:t>. Our advanced VPN technology provides secure communications between multiple networks and hosts,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both secure socket layer, or SSL, and IPsec VPN technologies, leveraging our custom FortiASIC to provide hardware acceleration for high-performance communications and data privacy.</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Application Control. </w:t>
      </w:r>
      <w:r>
        <w:rPr>
          <w:rFonts w:ascii="Arial" w:cs="Arial" w:eastAsia="Arial" w:hAnsi="Arial"/>
          <w:sz w:val="18"/>
          <w:szCs w:val="18"/>
          <w:color w:val="auto"/>
        </w:rPr>
        <w:t>Our application control technology allows our end customers to define granular network-based application policies in</w:t>
      </w:r>
      <w:r>
        <w:rPr>
          <w:rFonts w:ascii="Arial" w:cs="Arial" w:eastAsia="Arial" w:hAnsi="Arial"/>
          <w:sz w:val="18"/>
          <w:szCs w:val="18"/>
          <w:i w:val="1"/>
          <w:iCs w:val="1"/>
          <w:color w:val="auto"/>
        </w:rPr>
        <w:t xml:space="preserve"> </w:t>
      </w:r>
      <w:r>
        <w:rPr>
          <w:rFonts w:ascii="Arial" w:cs="Arial" w:eastAsia="Arial" w:hAnsi="Arial"/>
          <w:sz w:val="18"/>
          <w:szCs w:val="18"/>
          <w:color w:val="auto"/>
        </w:rPr>
        <w:t>over 1,800 applications, providing additional visibility and control over application access, user behavior within applications, and application content.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Antivirus</w:t>
      </w:r>
      <w:r>
        <w:rPr>
          <w:rFonts w:ascii="Arial" w:cs="Arial" w:eastAsia="Arial" w:hAnsi="Arial"/>
          <w:sz w:val="18"/>
          <w:szCs w:val="18"/>
          <w:color w:val="auto"/>
        </w:rPr>
        <w:t>. Our antivirus technology provides protection against malware, including viruses, spyware and trojans.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Intrusion Prevention System</w:t>
      </w:r>
      <w:r>
        <w:rPr>
          <w:rFonts w:ascii="Arial" w:cs="Arial" w:eastAsia="Arial" w:hAnsi="Arial"/>
          <w:sz w:val="18"/>
          <w:szCs w:val="18"/>
          <w:color w:val="auto"/>
        </w:rPr>
        <w:t>. Our IPS technology provides protection against current and emerging network level threats.</w:t>
      </w:r>
    </w:p>
    <w:p>
      <w:pPr>
        <w:spacing w:after="0" w:line="225"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Web Filtering</w:t>
      </w:r>
      <w:r>
        <w:rPr>
          <w:rFonts w:ascii="Arial" w:cs="Arial" w:eastAsia="Arial" w:hAnsi="Arial"/>
          <w:sz w:val="18"/>
          <w:szCs w:val="18"/>
          <w:color w:val="auto"/>
        </w:rPr>
        <w:t>. Our Web filtering automation technology works in concert with our research team to collect, analyze and categorize websites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real-time protection through website ratings and categorization. Our Web filtering technology is a pro-active defense feature that identifies known locations of malware and blocks access to these malicious sources.</w:t>
      </w:r>
    </w:p>
    <w:p>
      <w:pPr>
        <w:spacing w:after="0" w:line="181" w:lineRule="exact"/>
        <w:rPr>
          <w:rFonts w:ascii="Arial" w:cs="Arial" w:eastAsia="Arial" w:hAnsi="Arial"/>
          <w:sz w:val="18"/>
          <w:szCs w:val="18"/>
          <w:color w:val="auto"/>
        </w:rPr>
      </w:pPr>
    </w:p>
    <w:p>
      <w:pPr>
        <w:ind w:left="1300" w:right="1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Antispam</w:t>
      </w:r>
      <w:r>
        <w:rPr>
          <w:rFonts w:ascii="Arial" w:cs="Arial" w:eastAsia="Arial" w:hAnsi="Arial"/>
          <w:sz w:val="18"/>
          <w:szCs w:val="18"/>
          <w:color w:val="auto"/>
        </w:rPr>
        <w:t>. We employ a variety of antispam techniques to detect and block spam. These techniques include a hosted service 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algorithmic validations of messages against known spam messages, sophisticated reputation service designed to evaluate and track valid email sources and destinations, intelligent image scanning to evaluate the validity of images and dynamic heuristic rules to allow messages to be evaluated based on content within each message.</w:t>
      </w:r>
    </w:p>
    <w:p>
      <w:pPr>
        <w:spacing w:after="0" w:line="186" w:lineRule="exact"/>
        <w:rPr>
          <w:rFonts w:ascii="Arial" w:cs="Arial" w:eastAsia="Arial" w:hAnsi="Arial"/>
          <w:sz w:val="18"/>
          <w:szCs w:val="18"/>
          <w:color w:val="auto"/>
        </w:rPr>
      </w:pPr>
    </w:p>
    <w:p>
      <w:pPr>
        <w:ind w:left="1300" w:right="180" w:hanging="644"/>
        <w:spacing w:after="0" w:line="30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WAN Acceleration</w:t>
      </w:r>
      <w:r>
        <w:rPr>
          <w:rFonts w:ascii="Arial" w:cs="Arial" w:eastAsia="Arial" w:hAnsi="Arial"/>
          <w:sz w:val="17"/>
          <w:szCs w:val="17"/>
          <w:color w:val="auto"/>
        </w:rPr>
        <w:t>. Our storage-enabled and storage-ready FortiGate appliances provide the ability to accelerate network traffic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wide area network by implementing a combination of application content caching and protocol optimization techniques.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the eight core security and networking functions mentioned above, we also incorporate additional technologies within FortiGate appliances that differentiate our UTM solution, including:</w:t>
      </w:r>
    </w:p>
    <w:p>
      <w:pPr>
        <w:spacing w:after="0" w:line="170" w:lineRule="exact"/>
        <w:rPr>
          <w:sz w:val="20"/>
          <w:szCs w:val="20"/>
          <w:color w:val="auto"/>
        </w:rPr>
      </w:pPr>
    </w:p>
    <w:p>
      <w:pPr>
        <w:ind w:left="1300" w:right="3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Data Leakage Prevention (DLP). </w:t>
      </w:r>
      <w:r>
        <w:rPr>
          <w:rFonts w:ascii="Arial" w:cs="Arial" w:eastAsia="Arial" w:hAnsi="Arial"/>
          <w:sz w:val="18"/>
          <w:szCs w:val="18"/>
          <w:color w:val="auto"/>
        </w:rPr>
        <w:t>Our DLP technology provides the ability to define rules based on corporate policies, and consequently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detect and help prevent confidential data from being distributed outside of the corporate network.</w:t>
      </w:r>
    </w:p>
    <w:p>
      <w:pPr>
        <w:spacing w:after="0" w:line="170"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Traffic optimization. </w:t>
      </w:r>
      <w:r>
        <w:rPr>
          <w:rFonts w:ascii="Arial" w:cs="Arial" w:eastAsia="Arial" w:hAnsi="Arial"/>
          <w:sz w:val="18"/>
          <w:szCs w:val="18"/>
          <w:color w:val="auto"/>
        </w:rPr>
        <w:t>Our traffic optimization technology combines quality of service techniques with traffic shaping to provide better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to selected network traffic based on customer policies without causing interruptions to other traffic.</w:t>
      </w:r>
    </w:p>
    <w:p>
      <w:pPr>
        <w:spacing w:after="0" w:line="170" w:lineRule="exact"/>
        <w:rPr>
          <w:rFonts w:ascii="Arial" w:cs="Arial" w:eastAsia="Arial" w:hAnsi="Arial"/>
          <w:sz w:val="18"/>
          <w:szCs w:val="18"/>
          <w:color w:val="auto"/>
        </w:rPr>
      </w:pPr>
    </w:p>
    <w:p>
      <w:pPr>
        <w:ind w:left="1300" w:right="160" w:hanging="644"/>
        <w:spacing w:after="0" w:line="31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SSL inspection. </w:t>
      </w:r>
      <w:r>
        <w:rPr>
          <w:rFonts w:ascii="Arial" w:cs="Arial" w:eastAsia="Arial" w:hAnsi="Arial"/>
          <w:sz w:val="16"/>
          <w:szCs w:val="16"/>
          <w:color w:val="auto"/>
        </w:rPr>
        <w:t>Our SSL inspection technology provides the ability to decrypt SSL application content for processing by the FortiOS. The</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inspect encrypted SSL content enables our customers to ensure protection from malware that would be otherwise hidden from traditional security products, and enforce the full complement of security and networking features available within FortiOS.</w:t>
      </w:r>
    </w:p>
    <w:p>
      <w:pPr>
        <w:spacing w:after="0" w:line="146" w:lineRule="exact"/>
        <w:rPr>
          <w:rFonts w:ascii="Arial" w:cs="Arial" w:eastAsia="Arial" w:hAnsi="Arial"/>
          <w:sz w:val="16"/>
          <w:szCs w:val="16"/>
          <w:color w:val="auto"/>
        </w:rPr>
      </w:pPr>
    </w:p>
    <w:p>
      <w:pPr>
        <w:jc w:val="both"/>
        <w:ind w:left="1300" w:right="20" w:hanging="644"/>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Vulnerability Management</w:t>
      </w:r>
      <w:r>
        <w:rPr>
          <w:rFonts w:ascii="Arial" w:cs="Arial" w:eastAsia="Arial" w:hAnsi="Arial"/>
          <w:sz w:val="17"/>
          <w:szCs w:val="17"/>
          <w:color w:val="auto"/>
        </w:rPr>
        <w:t>. Our vulnerability management technology enables the FortiGate platform to perform network scans to discover</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on a network, identity vulnerabilities and recommend steps for remediation. The FortiGate devices can store the results of the scans locally, or send the results from multiple FortiGate devices to a central FortiAnalyzer for aggregation and analysis.</w:t>
      </w:r>
    </w:p>
    <w:p>
      <w:pPr>
        <w:spacing w:after="0" w:line="165" w:lineRule="exact"/>
        <w:rPr>
          <w:rFonts w:ascii="Arial" w:cs="Arial" w:eastAsia="Arial" w:hAnsi="Arial"/>
          <w:sz w:val="17"/>
          <w:szCs w:val="17"/>
          <w:color w:val="auto"/>
        </w:rPr>
      </w:pPr>
    </w:p>
    <w:p>
      <w:pPr>
        <w:jc w:val="both"/>
        <w:ind w:left="1300" w:right="38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Wireless Controller</w:t>
      </w:r>
      <w:r>
        <w:rPr>
          <w:rFonts w:ascii="Arial" w:cs="Arial" w:eastAsia="Arial" w:hAnsi="Arial"/>
          <w:sz w:val="18"/>
          <w:szCs w:val="18"/>
          <w:color w:val="auto"/>
        </w:rPr>
        <w:t>. Our wireless controller technology provides the ability to deploy FortiAP wireless access points to create a secure</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network. FortiAP access points tunnel all wireless traffic to FortiGate or FortiWiFi platforms, enabling end-customers to use a single security platform to manage all wired and wireless network traffic.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Our core product offerings consist of our FortiGate UTM product family, along with our FortiManager central management and FortiAnalyzer central logging and reporting product families, both of which are typically purchased to complement a large FortiGate deployment.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Our flagship FortiGate physical and virtual appliances offer a broad set of security and networking functions, including firewall, VPN, application control, antivirus, intrusion prevention, Web filtering, antispam and WAN acceleration. All FortiGate models are based on our proprietary operating system, FortiOS, and substantially all FortiGate physical appliances include our proprietary FortiASICs to accelerate content and network security features implemented within FortiOS. FortiGate platforms can be centrally managed through both embedded Web-based and command line interfaces, as well as through FortiManager which provides a central management architecture for thousands of FortiGate physical and virtual appliances.</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By combining multiple network security functions in our purpose-built security platform, the FortiGate provides high quality protection capabilities and deployment flexibility while reducing the operational burden and costs associated with managing multiple point products. Through FortiGuard security subscription services, our products enable end-customers to add security functionality as required by their evolving business needs and the changing threat landscape. By purchasing FortiGuard security subscription services, end-customers obtain coverage and access to regular updates for application control, antivirus, IPS, Web filtering and antispam functions for their FortiGate appliances. With over 30 models in the FortiGate product line, FortiGate is designed to address security requirements for small-to-mid sized businesses, remote offices, large enterprises, and service providers.</w:t>
      </w:r>
    </w:p>
    <w:p>
      <w:pPr>
        <w:spacing w:after="0" w:line="165"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Each FortiGate model runs our FortiOS operating system, and substantially all FortiGate physical appliances include our FortiASIC CP. The significant differences between each model are the performance and scalability targets each model is designed to meet, while the security features and associated services offered are common throughout all models.</w:t>
      </w:r>
    </w:p>
    <w:p>
      <w:pPr>
        <w:spacing w:after="0" w:line="181" w:lineRule="exact"/>
        <w:rPr>
          <w:sz w:val="20"/>
          <w:szCs w:val="20"/>
          <w:color w:val="auto"/>
        </w:rPr>
      </w:pPr>
    </w:p>
    <w:p>
      <w:pPr>
        <w:jc w:val="both"/>
        <w:ind w:right="560" w:firstLine="648"/>
        <w:spacing w:after="0" w:line="312" w:lineRule="auto"/>
        <w:rPr>
          <w:sz w:val="20"/>
          <w:szCs w:val="20"/>
          <w:color w:val="auto"/>
        </w:rPr>
      </w:pPr>
      <w:r>
        <w:rPr>
          <w:rFonts w:ascii="Arial" w:cs="Arial" w:eastAsia="Arial" w:hAnsi="Arial"/>
          <w:sz w:val="16"/>
          <w:szCs w:val="16"/>
          <w:color w:val="auto"/>
        </w:rPr>
        <w:t>The FortiGate-20 through -100 series models are designed for perimeter protection for small- to mid-sized businesses, remote offices of large distributed organizations and as customer premises equipment for service providers. Optional wireless LAN, or WLAN, integration is available for the FortiGate-20, -40, -60 and -80 models, marketed as FortiWiFi, delivering additional network access and security for wireless environments.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FortiGate-200 through -800 series models are designed for perimeter deployment in mid-sized to large enterprise networks. These products offer increased capacity and scalability designed to provide high network performance while delivering the same broad security suite as all FortiGate models. Additionally, the FortiGate-310 and -620 models provide hardware modularity, allowing end-customers the flexibility to customize solutions to their requirements.</w:t>
      </w:r>
    </w:p>
    <w:p>
      <w:pPr>
        <w:spacing w:after="0" w:line="18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FortiGate-1000 through -5000 series models deliver high performance and scalable network security functionality for perimeter, data center and core deployment in large enterprise and service provider networks. Additionally, most of these products provide hardware modularity, allowing end-customers the flexibility to customize solutions to their requirements. Some products within the FortiGate-3000 and -5000 series leverage Advanced Mezzanine Card, or AMC, industry standards for hardware modularization to support the advanced networking requirements of large enterprises and service providers, including high-speed networking, WAN connectivity, and network attached storage connectivity. The FortiGate-3950B platform also leverages our proprietary Fortinet Mezzanine Card, or FMC, that provides hardware modularity to give end-customers the ability to add additional firewall and/or intrusion prevention performance, or increase the number of interfaces, as their network security needs evolve. The FortiGate-5000 series is also compatible with the Advanced Telecommunications Computing Architecture, or ATCA, standard, resulting in a flexible hardware platform for system modularity. This modularization gives end-customers the ability to deploy an initial FortiGate configuration with room to grow as their network security needs evolve. The inclusion of network load balancing and advanced switching functionality provides additional flexibility in how end-customers utilize the FortiGate modules within the FortiGate chassis. In addition, our FortiGate-5000 series ATCA blades can be utilized in other third-party vendors’ industry standard ATCA chassis, allowing FortiGate platforms to be deployed into a much wider range of network solutions. Our FortiGate-5000 series appliances offer modular, chassis-based architecture based on the ATCA and AMC industry standards. We brand a subset of our FortiGate-3000 and -5000 series products as FortiCarrier to reflect products specifically targeting a subset of service providers. These products add incremental security, networking and management functionality often utilized in service provider deployments.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 System Virtualization (VDOM)</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addition to providing network and content level security, our FortiOS operating system also offers system virtualization capabilities—the ability to “divide” a security appliance into multiple, separately provisioned and managed instances. This capability is currently deployed in substantially all of our FortiGate products as our virtual domain, or VDOM, feature, where administrators have the ability to segment a single FortiGate appliance platform into multiple FortiGate instances. Network security system virtualization, using our VDOM feature, provides isolation between each virtual system, giving administrators flexibility in configuration and traffic management capabilities for each virtual instance.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Management and Analysis Products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FortiManager and FortiAnalyzer physical and virtual products are typically sold in conjunction with a large FortiGate deployment.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FortiManager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FortiManager family of products provides a central management solution for our FortiGate products, including the wide variety of network and security features offered within FortiOS. One FortiManager product is capable of effectively managing thousands of FortiGate units, and also provides central management for FortiClient software. FortiManager facilitates the coordination of policy-based provisioning, device configuration and operating system revision management, as well as network security monitoring and device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FortiAnalyzer</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FortiAnalyzer family provides network logging, analyzing, and reporting products that securely aggregate content and log data from our FortiGate devices and other Fortinet products as well as third-party devices to enable network logging, analysis and reporting. Additional functions such as vulnerability assessments and traffic analysis provide additional value for customers seeking to control and monitor their network infrastructure and security policies. A full range of content and log data, including traffic, event, virus, attack, Web content, and email data may be archived, filtered and mined for compliance or historical analysis purposes. Our FortiAnalyzer product family comes with a suite of standard reports as well as the ability to customize reports.</w:t>
      </w:r>
    </w:p>
    <w:p>
      <w:pPr>
        <w:spacing w:after="0" w:line="19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also offer other physical and virtual appliances and software that protect our end-customers from security threats to other critical areas in the enterprise, such as messaging, Web-based applications and databases, and employees’ computers or mobile devices as discussed above in the business overview.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Security requirements are dynamic due to the constantly changing nature of threats. Our FortiGuard Labs global threat research team, comprised of over 125 professionals, uses automated processes to identify emerging threats, collects threat samples, and replicates, reviews and characterizes attacks. Based on this research, we develop updates for virus signatures, attack definitions, scanning engines, and other security solution components to distribute to end-customers through our FortiGuard global distribution network. Our FortiGuard security subscription services are designed to allow us to quickly deliver new threat detection capabilities to end-customers worldwide as new threats evolve. End-customers purchase FortiGuard security subscription services in advance, typically for a one-year term, to obtain coverage and access to regular updates for application control, antivirus, intrusion prevention, Web filtering, and antispam functions for our FortiGate products; antivirus, Web filtering and antispam functions for our FortiClient software; antivirus and antispam functions for our FortiMail products; vulnerability management for our FortiGate, FortiAnalyzer and FortiScan products, database functions for our FortiDB appliance, and web functions for our FortiWeb appliances. We provide FortiGuard services 24 hours a day, seven days a week.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Our FortiCare services are our technical support services for the software, firmware and hardware in our products. In addition to our standard support service offering, we offer a premium service that offers faster response times and dedicated support oriented towards major accounts.</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our standard technical support offering for our products, channel partners often provide first level support to the end-customer, especially for small and mid-sized end-customers, and we typically provide second and third level support to our end-customers. We also provide knowledge management tools and customer self-help portals to help augment our support capabilities in an efficient and scalable manner. We provide technical support to partners and end-customers 24 hours a day, seven days a week through regional technical support managers located worldwide.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offer training services to our end-customers and channel partners through our training department and authorized training partners. We have also implemented a training certification program to ensure an understanding of our products and services. As of December 31, 2011, more than 20,000 individuals have participated in our training programs.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sell our security solutions through channel partners to end-customers of various sizes—from small businesses to large enterprises and service providers—and across a variety of industries including telecommunications, government, financial services, retail, education, technology, healthcare and manufacturing. An end-customer deployment may involve one of our appliances or thousands, depending on our end-customers’ size and security requirements. As of December 31, 2011, we had shipped over 850,000 appliances via more than 10,000 channel partners to more than 125,000 end-customers worldwide, including a majority of the 2011 Fortune Global 100. For additional information regarding our sales by customer location, see Note 15 to our Consolidated Financial Statements in Part II, Item 8 of this Annual Report on Form 10-K.</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fiscal 2009, one channel partner, Alternative Technology, Inc., a subsidiary of Arrow Electronics, Inc., accounted for approximately 12% of total revenue. During fiscal 2010 and 2011, no single customer accounted for more than 10% of total revenue.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primarily sell our products and services directly to distributors that sell to resellers and service providers, that, in turn, sell to our end-customers. In certain cases, we sell directly to government focused resellers, very large service providers and major systems integrator partners who have large purchasing power and unique customer deployment demands. As of December 31, 2011, our distribution channel program had more than 10,000 channel partners worldwide. We work with many of the world’s leading technology distributors, including Arrow Electronics, Inc., Ingram Micro Inc. and Tech Data Corporation.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support our channel partners with a team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 professionals and engineers typically work alongside our channel partners and directly engage with end-customers to address their unique security and deployment requirements. Our sales cycle for an initial end-customer purchase typically ranges from three to six months but can be longer especially for large enterprises, service providers and government customers. To support our broadly dispersed global channel and end-customer base, we have sales offices in over 30 countries around the world.</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marketing strategy is focused on building our brand and driving end-customer demand for our security solutions. We execute this strategy by leveraging a combination of internal marketing professionals and a network of regional and global channel partners. Our internal marketing organization is responsible for branding, product marketing, channel marketing and sales support programs. We focus our resources on programs, tools and activities that can be leveraged by partners worldwide to extend our marketing reach, such as sales tools and collateral, product awards and technical certifications, training, regional seminars and conferences, webinars and various other demand-generation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outsource the manufacturing of our security appliance products to a variety of contract manufacturers and original design manufacturers. Our current manufacturing partners include Flextronics International Ltd., Micro Star International, Ltd., Creation Technologies, Inc. and a number of Taiwan-based manufacturers. We submit purchase orders to our contract manufacturers that describe the type and quantities of our products to be manufactured, the delivery date and other delivery terms. Once our products are manufactured, they are sent to either our headquarters in Sunnyvale, California, or to our logistics partner in Taoyuan City, Taiwan, where accessory packaging and quality-control testing are performed. We believe that outsourcing our manufacturing and a substantial portion of our logistics enables us to conserve capital, better adjust manufacturing volumes to meet changes in demand and more quickly deliver products, while allowing us to focus resources on our core competencies. Our proprietary FortiASICs, which are the key to the performance of our appliances, is fabricated by contract manufacturers in foundries operated by UMC and TSMC. Faraday (using UMC’s foundry), K-Micro (using TSMC’s foundry) and Renesas (using UMC's foundry) manufacture our ASICs on a purchase order basis. Accordingly, they are not obligated to continue to fulfill our supply requirements, and the prices we are charged for the fabrication of our ASICs could be increased on short notice.</w:t>
      </w:r>
    </w:p>
    <w:p>
      <w:pPr>
        <w:spacing w:after="0" w:line="16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components included in our products are sourced from various suppliers by us or more frequently by our contract manufacturers. Some of the components important to our business, including specific types of central processing units from Intel, AMD, RMI/NetLogic and VIA and network chips from Broadcom, Marvell and Intel, and hard drives from Western Digital Technologies, are available from a limited or sole source of supply.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information regarding the geographical disbursement of our long-lived assets, see Note 15 to our Consolidated Financial Statements in Part II, Item 8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needed by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2011, our research and development organization had headcount of 497 people predominantly 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Canada, the United States and China. Our research and development expense was $63.6 million in fiscal 2011, $49.8 million in fiscal 2010 and $42.2 million in fiscal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As of December 31, 2011, we had 76 issued U.S. patents, 12 issued Chinese patents, 1 issued Japanese patent, 96 patent applications pending for examination in the United States and 20 patent applications pending for examination in China. We also license software from third parties for inclusion in our products, including open source software and other software available on commercially reasonable terms.</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assure you that the steps taken by us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industry is characterized by the existence of a large number of patents and frequent claims and related litigation regarding patent and other intellectual property rights. In particular, leading companies in the networking industry have extensive patent portfolios. From time-to-time, third parties, including certain of these leading companies, have asserted and may assert patent, copyright, trademark and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97" w:lineRule="exact"/>
        <w:rPr>
          <w:sz w:val="20"/>
          <w:szCs w:val="20"/>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performance, features, effectiveness, interoperability and reliability;</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size and financial stability of operations; and</w:t>
      </w:r>
    </w:p>
    <w:p>
      <w:pPr>
        <w:spacing w:after="0" w:line="265" w:lineRule="exact"/>
        <w:rPr>
          <w:rFonts w:ascii="Arial" w:cs="Arial" w:eastAsia="Arial" w:hAnsi="Arial"/>
          <w:sz w:val="18"/>
          <w:szCs w:val="18"/>
          <w:color w:val="auto"/>
        </w:rPr>
      </w:pPr>
    </w:p>
    <w:p>
      <w:pPr>
        <w:ind w:left="1360" w:hanging="704"/>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3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competitors include networking companies such as Cisco Systems, Inc., Juniper Networks, Inc., and security vendors such as Check Point Software Technologies Ltd., McAfee Inc. (acquired by Intel Corporation), and SonicWALL, Inc. (acquired by Thoma Bravo), Palo Alto Networks, and other point solution security vendors.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or achieve greater market acceptance than our products. In addition, our larger competitors often have broader product lines and market focus,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of December 31, 2011, our total headcount was 1,583 people including payrolled contractors. We had 497 in research and development, 593 in sales and marketing, 352 in services and support, 29 in manufacturing operations, and 112 in a general and administrative capacity. As of December 31, 2011, our headcount was 387 people in the United States, 555 in Canada, 89 in France, 192 in China and 360 in other countries.</w:t>
      </w:r>
    </w:p>
    <w:p>
      <w:pPr>
        <w:spacing w:after="0" w:line="166"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None of our U.S. employees are represented by a labor union with respect to his or her employment with us; however, our employees in France, Spain and Italy are represented by collective bargaining agreements. We have not experienced any work stoppages, and we consider our relations with our employees to be good.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web site is located at www.fortinet.com, and our investor relations web site is located at http://investor.fortinet.com.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risks and all other information contained in this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2" w:right="2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channel partner and end-customer orders;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shipments, which may depend on many factors such as inventory levels and logistics, our ability to ship new products on schedule and accurately forecast inventory requirements, and potential delays in the manufacturing process;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our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left="5660" w:right="2120" w:hanging="5012"/>
        <w:spacing w:after="0" w:line="559"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9</w:t>
      </w:r>
    </w:p>
    <w:p>
      <w:pPr>
        <w:sectPr>
          <w:pgSz w:w="11900" w:h="16838" w:orient="portrait"/>
          <w:cols w:equalWidth="0" w:num="1">
            <w:col w:w="11300"/>
          </w:cols>
          <w:pgMar w:left="240" w:top="121" w:right="35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may not be able to sustain profitability in future periods if we fail to increase billings, revenue or deferred revenue, do not appropriately manage our cost structure, or encounter unanticipated liabilities. Billings and revenue growth may slow or decline for a number of reasons, including a slow down in demand for our products or services, an increase in competition, a decrease in the growth of our overall market, softness in demand in certain geographies, or if we fail for any reason to continue to capitalize on growth opportunities. Any failure by us to maintain profitability and continue our billings and revenue growth could cause the price of our common stock to materially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a concentration of shipments at the end of the quarter could cause our revenue to fall below expected levels.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revenue during the last two weeks of the quarter. If expected revenue at the end of any quarter is delayed for any reason, including the failure of anticipated purchase orders to materialize, or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revenue for that quarter could fall below our expectations or those of securities analysts and investors, resulting in a decline in our stock price.</w:t>
      </w:r>
    </w:p>
    <w:p>
      <w:pPr>
        <w:spacing w:after="0" w:line="189"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rely significantly on revenue from subscription and support services which may decline, and because we recognize revenue from subscriptions and support services over the term of the relevant service period, downturns or upturns in sales are not immediately reflected in full in our operating results.</w:t>
      </w:r>
    </w:p>
    <w:p>
      <w:pPr>
        <w:spacing w:after="0" w:line="10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services revenue has historically accounted for a significant percentage of our total revenue. Sales of new or renewal subscription and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services contracts decline, our revenue and revenue growth may decline and our business will suffer. In addition, we recognize subscription and service revenue monthly over the term of the relevant service period, which is typically one year but has been as long as five years. As a result, much of the revenue we report each quarter is the recognition of deferred revenue from subscription and services contracts entered into during previous quarters. Consequently, a decline in new or renewed subscription or service contracts in any one quarter will not be fully reflected in revenue in that quarter but will negatively affect our revenue in future quarters. Accordingly, the effect of significant downturns in new or renewed sales of our subscriptions or services is not reflected in full in our results of operations until future periods. Our subscription and service revenue also makes it difficult for us to rapidly increase our revenue through additional service sales in any period, as revenue from new and renewal service contracts must be recognized over the applicable service period. Furthermore increases in the average term of services contracts would result in revenue for services contracts being recognized over longer periods of time.</w:t>
      </w:r>
    </w:p>
    <w:p>
      <w:pPr>
        <w:spacing w:after="0" w:line="1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channel partners may increase orders during periods of product shortages, cancel orders if their inventory is too high, return product or take advantage of price protection (if any),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73"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third quarter of 2011, based largely on more demand for certain products than we had forecast. If we are unable to effectively manage our inventory and that of our distribution partners, our results of operations could be adversely affected.</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have incentives to promote our competitors' products to the detriment of our own. They may cease selling our products altogether. We cannot assure you that we will retain these channel partners or that we will be able to secure additional or replacement partners.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4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larger competitors, such as Cisco Systems, Inc., Check Point Software Technologies Ltd., McAfee, Inc. (acquired by Intel Corporation), Juniper Networks, Inc., that traditionally target enterprises, service providers and governmental entities and that may already have purchase commitments from those end-customers;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more stringent requirements in our support service contracts, including stricter support response times,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 actual or perceived security breach or infection of the network of one of our end-customers, regardless of whether the breach is attributable to the failure of our products or services to prevent the security breach, could adversely affect the market's perception of our security products.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defects, errors or vulnerabilities in our products, or misuse of our products, could result in:</w:t>
      </w:r>
    </w:p>
    <w:p>
      <w:pPr>
        <w:spacing w:after="0" w:line="189" w:lineRule="exact"/>
        <w:rPr>
          <w:sz w:val="20"/>
          <w:szCs w:val="20"/>
          <w:color w:val="auto"/>
        </w:rPr>
      </w:pPr>
    </w:p>
    <w:p>
      <w:pPr>
        <w:ind w:left="1300" w:right="3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rapid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have a high volume business that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valuation of inventory, warranty liabilities, and accounting for income taxes.</w:t>
      </w:r>
    </w:p>
    <w:p>
      <w:pPr>
        <w:spacing w:after="0" w:line="16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personnel is frequently intense, especially in the locations where we have a substantial presence and need for highly-skilled personnel: the San Francisco Bay Area, Vancouver, Canada and Beijing, China. A large portion of our employee base is substantially vested in significant stock option grants, and the ability to exercise those options and sell their stock may result in a larger than normal turnover rate.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senior management, particularly Ken Xie, our Co-founder, President and Chief Executive Officer, Michael Xie, our Co-founder, Vice President of Engineering and Chief Technical Officer, and Ken Goldman, our Vice President and Chief Financial Officer, could significantly delay or prevent the achievement of our development and strategic objectives.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distributors, reduced unit sales and lower or no growth.</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w:t>
      </w:r>
    </w:p>
    <w:p>
      <w:pPr>
        <w:spacing w:after="0" w:line="17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UMC and Taiwan Semiconductor Manufacturing Corporation, or TSMC. Faraday (using UMC's foundry), K-Micro (using TSMC's foundry) and Renesas (using UMC's foundry) manufacture our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1"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In addition, our reliance on third-party manufacturers and foundries limits our control over environmental regulatory requirements such as the hazardous substance content of our products and therefore our ability to ensure compliance with the EU RoHS and other similar laws.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Corporation, Advanced Micro Devices, Inc., RMI/Netlogic Corporation and VIA Technologies, Inc.,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For example, lead times for some components are currently being extended by the impact of flooding in Thailand on certain suppliers. Our reliance on a limited number of suppliers involves several additional risks, including:</w:t>
      </w:r>
    </w:p>
    <w:p>
      <w:pPr>
        <w:spacing w:after="0" w:line="18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For example, during the second and third quarters of 2011, we were impacted by the weakening of the dollar against the Canadian dollar and the Euro, which caused our operating expenses to increase. Although we have been hedging currency exposures relating to certain balance sheet accounts and have periodically entered into cash flow hedges relating to certain operating expenses incurred outside of the United States, if we stop hedging against any of these risks or if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adversely affect our financial condition and results of operations.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impact financial results and result in restatements of financial statements and irregularities in financial statements;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were to fail to comply with U.S. export licensing, U.S. Customs regulations, U.S. economic sanctions and other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European Union, or EU, RoHS and the EU Waste Electrical and Electronic Equipment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7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 Government demand and payment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for our products and services may be negatively impacted by numerous factors and requirements unique to selling to government agencies, such as public sector budgetary cycles and funding authorizations and requirements unique to government agencies, with funding or purchasing reductions or delays adversely affecting public sector demand for our products.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antispyware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enterprise, service provider and governmental entity end-customers require higher levels of support than smaller end-customers. If we fail to meet the requirements of the larger end-customers, it may be more difficult to execute on our strategy to increase our penetration with larger end-customers.</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jc w:val="both"/>
        <w:ind w:left="1300" w:right="18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United States income tax rate, which would necessitate a revaluation of our deferred tax assets and liabilities.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Accounting Standards Codification ("ASC") 740-10. In addition, ASC 740-10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countries is subject to reduced tax rates and in some cases is wholly exempt from tax. Our failure to meet these commitments could adversely impact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7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Although we released our entire valuation allowance in fiscal 2009, we may in the future be required to establish a new valuation allowance. We will continue to assess the need for a valuation allowance on the deferred tax asset by evaluating both positive and negative evidence that may exist.</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could be materially different than forecasted, which could have a material impact on our results of business, financial condition and results of operations.</w:t>
      </w:r>
    </w:p>
    <w:p>
      <w:pPr>
        <w:spacing w:after="0" w:line="2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Internal Revenue Service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In addition, any acquisitions we are able to complete may not be accretive to earnings and may not result in any synergies or other benefits we had expected to achieve, which could result in write-offs that could be substantial. Further, completing a potential acquisition and integrating acquired businesses, products, technologies or intellectual property will significantly divert management time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For example, one of our high-end product models experienced a defect in limited deployments.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will impair the market acceptance of our products, which in turn will harm our business, financial condition and results of operations.</w:t>
      </w:r>
    </w:p>
    <w:p>
      <w:pPr>
        <w:spacing w:after="0" w:line="18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possible that our filtering processes may place material that is objectionable or that presents a security risk in categories that are generally unrestricted by our users'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will impair the growth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a relatively new entrant in the network security market, and we believe that we have not yet established sufficient market awareness of our participation in that market. Market awareness of our capabilities and products is essential to our continued growth and our success in all of our markets, particularly for the large enterprise, service provider and governmental entities markets.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Unified Threat Management products may be limited by market perception that UTM products are inferior to</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 security solutions from multiple vendors.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better-known companies, and we may lack sufficient financial or other resources to maintain or improve our competitive position.</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Systems, Inc., Juniper Networks, Inc., and security vendors such as Check Point Software Technologies Ltd., McAfee, Inc. (acquired by Intel Corporation), and SonicWALL, Inc. (acquired by Thoma Bravo),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and Check Point's acquisition of Nokia's security appliance business.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well-established providers of networking equipment such as Cisco Systems, Inc. and Juniper Networks, Inc.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As a result, we may not be able to obtain adequate patent protection or effectively enforce our issued patents.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time-to-time,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(GPL), the GNU Lesser Public License (LGPL), the BSD License, the Apache License and others. From time-to-time, there have been claims against companies that distribute or use open source software in their products and services, asserting that open source software infringes the claimants' intellectual property rights.</w:t>
      </w:r>
    </w:p>
    <w:p>
      <w:pPr>
        <w:spacing w:after="0" w:line="252" w:lineRule="auto"/>
        <w:rPr>
          <w:sz w:val="20"/>
          <w:szCs w:val="20"/>
          <w:color w:val="auto"/>
        </w:rPr>
      </w:pPr>
      <w:r>
        <w:rPr>
          <w:rFonts w:ascii="Arial" w:cs="Arial" w:eastAsia="Arial" w:hAnsi="Arial"/>
          <w:sz w:val="18"/>
          <w:szCs w:val="18"/>
          <w:color w:val="auto"/>
        </w:rPr>
        <w:t>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future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been involved in patent disputes in the past, are currently involved in several patent disputes, and likely will be involved in additional disputes in the future. In May 2004, Trend Micro Incorporated filed a complaint against us alleging that we infringed a Trend Micro patent related to antivirus software. The International Trade Commission, or ITC, subsequently instituted an investigation which resulted in an exclusion order and a cease and desist order prohibiting us from selling a broad array of our products in the United States. In January 2006, we settled the lawsuit with Trend Micro, and subsequently the ITC terminated its action and rescinded the orders. Pursuant to the settlement and license agreement, we initially paid Trend Micro $15.0 million. The settlement and license agreement provides for additional quarterly royalty payments. We had a subsequent dispute with Trend Micro regarding the royalty payments and in December 2011, we entered into a settlement agreement with Trend Micro resolving the dispute for a one-time payment of $9.0 million. The settlement agreement includes a fully-paid license to the patents subject to the prior patent license agreement, with no continuing obligation to pay royalties for those patents.</w:t>
      </w:r>
    </w:p>
    <w:p>
      <w:pPr>
        <w:spacing w:after="0" w:line="19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discussed in "Item 3-Legal Proceedings," from time to time we are subject to lawsuits claiming patent infringement, and there are lawsuits claiming patent infringement currently pending. We are also subject to other litigation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addition to patent infringement claims. If we are unsuccessful in defending any such claims, our operating results and financial condition and results may be materially and adversely affected. For example, we may be required to pay substantial damages and could be prevented from selling certain of our products.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We completed our evaluation of our internal controls over financial reporting for fiscal 2011 as required by Section 404 of the Sarbanes-Oxley Act of 2002. Although our assessment, testing and evaluation resulted in our conclusion that as of December 31, 2011, our internal controls over financial reporting were effective, we cannot predict the outcome of our testing in 2012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 change in accounting standards or practices and varying interpretations of existing accounting pronouncements, such as changes to standards related to revenue recognition adopted by the Financial Accounting Standards Board ("FASB") that went effective January 1, 2011, the increased use of fair value measure, the recent proposed change to revenue recognition, lease accounting, financial instrument accounting standards, and the potential requirement that U.S. registrants prepare financial statements in accordance with International Financial Reporting Standards (“IFRS”), could have a significant effect on our reported financial results or the way we conduct our business. Effective January 1, 2011, we started reporting revenue recognition based on the new revenue standards issued by the FASB. If we do not ensure that our systems and processes for revenue recognition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3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likely decline. If one or more of these analysts ceases coverage of our company or fails to publish reports on us regularly, demand for our stock could decrease, which could cause our stock price and trading volume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could reduce our ability to compete and could harm our business.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expect that our existing cash and cash equivalents will be sufficient to meet our anticipated cash needs for at least the next 12 months. After that, we may need to raise additional funds, and we may not be able to obtain additional debt or equity financing on favorable terms, if at all. If we raise additional equity financing, our stockholders may experience significant dilution of their ownership interests and the per-share value of our common stock could decline. Furthermore, if we engage in debt financing, the holders of debt would have priority over the holders of common stock and we may be required to accept terms that restrict our ability to incur additional indebtedness. We may also be required to take other actions that would otherwise be in the interests of the stockholders and force us to maintain specified liquidity or other ratios, any of which could harm our business, operating results and financial condition. If we need additional capital and cannot raise it on acceptable terms, we may not be able to, among other things:</w:t>
      </w:r>
    </w:p>
    <w:p>
      <w:pPr>
        <w:spacing w:after="0" w:line="167"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or enhance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expand our sales and marketing and research and development organizations;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complementary technologies, products or businesses;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operations, in the United States or internationally;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failure to do any of these things could seriously harm our business, financial condition and results of operations.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February 17, 2012, our executive officers, directors and their affiliates beneficially owned, in the aggregate, approximately 17.2%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15.0%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121" w:right="4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corporate headquarters are located at 1090 Kifer Road, Sunnyvale, California in an office consisting of approximately 107,000 square feet. The lease for this office expires in September 2013.</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to our headquarters, we lease approximately 14,000 square feet of data center space and a total of approximately 72,000 square feet of office space in several buildings in Burnaby, Canada under various leases that expire between March 2012 and July 2015; approximately 16,000 square feet of office space in Ottawa, Canada under a lease that expires in February 2015; approximately 19,000 square feet of office space in Sophia, France under a lease that expires in December 2013; and approximately 26,000 square feet of office space in Beijing, China under a lease that expires in August 2012. We also lease sales and support offices in Australia, Austria, Belgium, Egypt, Germany, Hong Kong, India, Indonesia, Israel, Italy, Japan, Korea, Malaysia, Mexico, the Netherlands, New Zealand, Philippines, Poland, Russia, Saudi Arabia, Singapore, Spain, Sweden, Switzerland, Taiwan, Thailand, Turkey, United Arab Emirates, and the United Kingdom. We believe that our existing properties are in good condition and are sufficient and suitable for the conduct of our business.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August 2009, Trend Micro filed a complaint against us in the Superior Court of the State of California for Santa Clara County alleging breach of contract and seeking a declaratory judgment that we are obligated to make certain royalty payments to Trend Micro pursuant to a settlement and license agreement entered into in January 2006. In December 2011, we entered into a settlement agreement with Trend Micro resolving the dispute for a one-time payment to Trend Micro of $9.0 million. The settlement agreement includes a fully paid license to the patents subject to the prior patent license agreement with no continuing obligation to pay royalties for those patents.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U.S. Patent and Trademark Office ("PTO") rejected all of the claims of the patents in the suit and ESR has appealed this result to the Board of Patent Appeals and Interferences (“BPAI”). We have determined that, as of this time, there is not a reasonable possibility that a loss may be incurred.</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The plaintiff is claiming unspecified damages. In September 2010, the Court granted our motion to transfer the case to the California Superior Court for Santa Clara County and the plaintiff has filed an amended complaint in the Superior Court to add individual defendants, among other amendments. Currently the case is in the early stages, and we have determined that, as of this time, there is not a reasonable possibility that a loss may be incurred.</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“FTNT.” The following table sets forth, for the time periods indicated, the high and low closing sales price of our common stock, adjusted to reflect the two-for-one split effective June 1, 2011, as reported on The NASDAQ Global Select Market.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w w:val="89"/>
              </w:rPr>
              <w:t>2010</w:t>
            </w:r>
          </w:p>
        </w:tc>
      </w:tr>
      <w:tr>
        <w:trPr>
          <w:trHeight w:val="33"/>
        </w:trPr>
        <w:tc>
          <w:tcPr>
            <w:tcW w:w="586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860" w:type="dxa"/>
            <w:vAlign w:val="bottom"/>
          </w:tcPr>
          <w:p>
            <w:pPr>
              <w:spacing w:after="0"/>
              <w:rPr>
                <w:sz w:val="20"/>
                <w:szCs w:val="20"/>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High ($)</w:t>
            </w: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Low ($)</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High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Low ($)</w:t>
            </w:r>
          </w:p>
        </w:tc>
      </w:tr>
      <w:tr>
        <w:trPr>
          <w:trHeight w:val="33"/>
        </w:trPr>
        <w:tc>
          <w:tcPr>
            <w:tcW w:w="5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16.73</w:t>
            </w:r>
          </w:p>
        </w:tc>
        <w:tc>
          <w:tcPr>
            <w:tcW w:w="1060" w:type="dxa"/>
            <w:vAlign w:val="bottom"/>
            <w:gridSpan w:val="3"/>
          </w:tcPr>
          <w:p>
            <w:pPr>
              <w:jc w:val="right"/>
              <w:ind w:right="19"/>
              <w:spacing w:after="0"/>
              <w:rPr>
                <w:sz w:val="20"/>
                <w:szCs w:val="20"/>
                <w:color w:val="auto"/>
              </w:rPr>
            </w:pPr>
            <w:r>
              <w:rPr>
                <w:rFonts w:ascii="Arial" w:cs="Arial" w:eastAsia="Arial" w:hAnsi="Arial"/>
                <w:sz w:val="18"/>
                <w:szCs w:val="18"/>
                <w:color w:val="auto"/>
              </w:rPr>
              <w:t>12.04</w:t>
            </w:r>
          </w:p>
        </w:tc>
      </w:tr>
      <w:tr>
        <w:trPr>
          <w:trHeight w:val="27"/>
        </w:trPr>
        <w:tc>
          <w:tcPr>
            <w:tcW w:w="5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6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8.00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w:t>
            </w:r>
          </w:p>
        </w:tc>
        <w:tc>
          <w:tcPr>
            <w:tcW w:w="1060" w:type="dxa"/>
            <w:vAlign w:val="bottom"/>
            <w:gridSpan w:val="3"/>
          </w:tcPr>
          <w:p>
            <w:pPr>
              <w:jc w:val="right"/>
              <w:ind w:right="19"/>
              <w:spacing w:after="0"/>
              <w:rPr>
                <w:sz w:val="20"/>
                <w:szCs w:val="20"/>
                <w:color w:val="auto"/>
              </w:rPr>
            </w:pPr>
            <w:r>
              <w:rPr>
                <w:rFonts w:ascii="Arial" w:cs="Arial" w:eastAsia="Arial" w:hAnsi="Arial"/>
                <w:sz w:val="18"/>
                <w:szCs w:val="18"/>
                <w:color w:val="auto"/>
              </w:rPr>
              <w:t>7.50</w:t>
            </w:r>
          </w:p>
        </w:tc>
      </w:tr>
      <w:tr>
        <w:trPr>
          <w:trHeight w:val="27"/>
        </w:trPr>
        <w:tc>
          <w:tcPr>
            <w:tcW w:w="5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7.85</w:t>
            </w:r>
          </w:p>
        </w:tc>
      </w:tr>
      <w:tr>
        <w:trPr>
          <w:trHeight w:val="27"/>
        </w:trPr>
        <w:tc>
          <w:tcPr>
            <w:tcW w:w="5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February 17, 2012, there were 105 holders of record of our common stock. A substantially greater number of holders of our common stock are “street name” or beneficial holders, whose shares are held by banks, brokers and other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financial institutions.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to support the operation of and to finance the growth and development of our business.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Securities Exchange Act of 1934, as amended (the "Exchange Act"), or incorporated by reference into any filing of Fortinet under the Securities Act of 1933, as amended, or the Exchange Act, except as shall be expressly set forth by specific reference in such filing.</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following graph shows a comparison from November 18, 2009 through December 31, 2011, of the cumulative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Among Fortinet, Inc., The NASDAQ Composite Index and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142875</wp:posOffset>
            </wp:positionV>
            <wp:extent cx="5196840" cy="2752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684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360" w:type="dxa"/>
        <w:tblCellMar>
          <w:top w:w="0" w:type="dxa"/>
          <w:left w:w="0" w:type="dxa"/>
          <w:bottom w:w="0" w:type="dxa"/>
          <w:right w:w="0" w:type="dxa"/>
        </w:tblCellMar>
      </w:tblPr>
      <w:tr>
        <w:trPr>
          <w:trHeight w:val="206"/>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32"/>
              <w:spacing w:after="0"/>
              <w:rPr>
                <w:sz w:val="20"/>
                <w:szCs w:val="20"/>
                <w:color w:val="auto"/>
              </w:rPr>
            </w:pPr>
            <w:r>
              <w:rPr>
                <w:rFonts w:ascii="Arial" w:cs="Arial" w:eastAsia="Arial" w:hAnsi="Arial"/>
                <w:sz w:val="16"/>
                <w:szCs w:val="16"/>
                <w:color w:val="auto"/>
                <w:w w:val="84"/>
              </w:rPr>
              <w:t>11/09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color w:val="auto"/>
                <w:w w:val="89"/>
              </w:rPr>
              <w:t>12/09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52"/>
              <w:spacing w:after="0"/>
              <w:rPr>
                <w:sz w:val="20"/>
                <w:szCs w:val="20"/>
                <w:color w:val="auto"/>
              </w:rPr>
            </w:pPr>
            <w:r>
              <w:rPr>
                <w:rFonts w:ascii="Arial" w:cs="Arial" w:eastAsia="Arial" w:hAnsi="Arial"/>
                <w:sz w:val="16"/>
                <w:szCs w:val="16"/>
                <w:color w:val="auto"/>
                <w:w w:val="89"/>
              </w:rPr>
              <w:t>03/10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6"/>
                <w:szCs w:val="16"/>
                <w:color w:val="auto"/>
                <w:w w:val="84"/>
              </w:rPr>
              <w:t>06/10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52"/>
              <w:spacing w:after="0"/>
              <w:rPr>
                <w:sz w:val="20"/>
                <w:szCs w:val="20"/>
                <w:color w:val="auto"/>
              </w:rPr>
            </w:pPr>
            <w:r>
              <w:rPr>
                <w:rFonts w:ascii="Arial" w:cs="Arial" w:eastAsia="Arial" w:hAnsi="Arial"/>
                <w:sz w:val="16"/>
                <w:szCs w:val="16"/>
                <w:color w:val="auto"/>
                <w:w w:val="89"/>
              </w:rPr>
              <w:t>09/10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6"/>
                <w:szCs w:val="16"/>
                <w:color w:val="auto"/>
                <w:w w:val="84"/>
              </w:rPr>
              <w:t>12/10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color w:val="auto"/>
                <w:w w:val="89"/>
              </w:rPr>
              <w:t>03/11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6"/>
                <w:szCs w:val="16"/>
                <w:color w:val="auto"/>
                <w:w w:val="84"/>
              </w:rPr>
              <w:t>06/11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2"/>
              <w:spacing w:after="0"/>
              <w:rPr>
                <w:sz w:val="20"/>
                <w:szCs w:val="20"/>
                <w:color w:val="auto"/>
              </w:rPr>
            </w:pPr>
            <w:r>
              <w:rPr>
                <w:rFonts w:ascii="Arial" w:cs="Arial" w:eastAsia="Arial" w:hAnsi="Arial"/>
                <w:sz w:val="16"/>
                <w:szCs w:val="16"/>
                <w:color w:val="auto"/>
                <w:w w:val="89"/>
              </w:rPr>
              <w:t>09/11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52"/>
              <w:spacing w:after="0"/>
              <w:rPr>
                <w:sz w:val="20"/>
                <w:szCs w:val="20"/>
                <w:color w:val="auto"/>
              </w:rPr>
            </w:pPr>
            <w:r>
              <w:rPr>
                <w:rFonts w:ascii="Arial" w:cs="Arial" w:eastAsia="Arial" w:hAnsi="Arial"/>
                <w:sz w:val="16"/>
                <w:szCs w:val="16"/>
                <w:color w:val="auto"/>
                <w:w w:val="84"/>
              </w:rPr>
              <w:t>12/11</w:t>
            </w:r>
          </w:p>
        </w:tc>
      </w:tr>
      <w:tr>
        <w:trPr>
          <w:trHeight w:val="33"/>
        </w:trPr>
        <w:tc>
          <w:tcPr>
            <w:tcW w:w="1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2"/>
        </w:trPr>
        <w:tc>
          <w:tcPr>
            <w:tcW w:w="1580" w:type="dxa"/>
            <w:vAlign w:val="bottom"/>
          </w:tcPr>
          <w:p>
            <w:pPr>
              <w:spacing w:after="0"/>
              <w:rPr>
                <w:sz w:val="20"/>
                <w:szCs w:val="20"/>
                <w:color w:val="auto"/>
              </w:rPr>
            </w:pPr>
            <w:r>
              <w:rPr>
                <w:rFonts w:ascii="Arial" w:cs="Arial" w:eastAsia="Arial" w:hAnsi="Arial"/>
                <w:sz w:val="14"/>
                <w:szCs w:val="14"/>
                <w:color w:val="auto"/>
              </w:rPr>
              <w:t>Fortinet,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NASDAQ Composite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121</w:t>
            </w:r>
          </w:p>
        </w:tc>
      </w:tr>
      <w:tr>
        <w:trPr>
          <w:trHeight w:val="270"/>
        </w:trPr>
        <w:tc>
          <w:tcPr>
            <w:tcW w:w="1580" w:type="dxa"/>
            <w:vAlign w:val="bottom"/>
          </w:tcPr>
          <w:p>
            <w:pPr>
              <w:spacing w:after="0"/>
              <w:rPr>
                <w:sz w:val="20"/>
                <w:szCs w:val="20"/>
                <w:color w:val="auto"/>
              </w:rPr>
            </w:pPr>
            <w:r>
              <w:rPr>
                <w:rFonts w:ascii="Arial" w:cs="Arial" w:eastAsia="Arial" w:hAnsi="Arial"/>
                <w:sz w:val="14"/>
                <w:szCs w:val="14"/>
                <w:color w:val="auto"/>
              </w:rPr>
              <w:t>NASDAQ Computer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127</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w:t>
      </w:r>
    </w:p>
    <w:p>
      <w:pPr>
        <w:spacing w:after="0" w:line="27"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invested on 11/18/09 in stock or index, including reinvestment of dividends.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31</w:t>
      </w:r>
    </w:p>
    <w:p>
      <w:pPr>
        <w:sectPr>
          <w:pgSz w:w="11900" w:h="16838" w:orient="portrait"/>
          <w:cols w:equalWidth="0" w:num="1">
            <w:col w:w="11360"/>
          </w:cols>
          <w:pgMar w:left="240" w:top="121" w:right="29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122" w:right="1440"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You should read the following selected consolidated historical financial data below in conjunction with the section titled “Management’s Discussion and Analysis of Financial Condition and Results of Operations” and the consolidated financial statements, related notes and other financial information included elsewhere in this Annual Report on Form 10-K. The selected financial data in this section is not intended to replace the financial statements and is qualified in its entirety by the consolidated financial statements and related notes thereto included elsewhere in this Annual Report on Form 10-K.</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made the decision in the first quarter of 2009 to change our financial reporting periods from a fiscal to calendar basis. This change was implemented in the third quarter of 2009 upon completion of required system changes. Accordingly, commencing in the third quarter of fiscal 2009, we began operating and reporting financial results on a calendar quarter and year basis. Our third quarter of fiscal 2009 ended on September 30, 2009, and our fiscal year 2009 ended on December 31, 2009. This transition had the effect of increasing the number of days in our twelve months ended December 31, 2009 by four days. Prior to the third quarter of fiscal 2009, our interim fiscal quarters ended on the Sunday closest to March 31, June 30 and September 30 of each year.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12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 xml:space="preserve">Fiscal Year </w:t>
            </w:r>
            <w:r>
              <w:rPr>
                <w:rFonts w:ascii="Arial" w:cs="Arial" w:eastAsia="Arial" w:hAnsi="Arial"/>
                <w:sz w:val="17"/>
                <w:szCs w:val="17"/>
                <w:b w:val="1"/>
                <w:bCs w:val="1"/>
                <w:color w:val="auto"/>
                <w:w w:val="89"/>
                <w:vertAlign w:val="superscript"/>
              </w:rPr>
              <w:t>(1)</w:t>
            </w: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1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3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1380" w:type="dxa"/>
            <w:vAlign w:val="bottom"/>
          </w:tcPr>
          <w:p>
            <w:pPr>
              <w:jc w:val="right"/>
              <w:ind w:right="431"/>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20"/>
                <w:szCs w:val="20"/>
                <w:color w:val="auto"/>
              </w:rPr>
            </w:pPr>
          </w:p>
        </w:tc>
        <w:tc>
          <w:tcPr>
            <w:tcW w:w="1360" w:type="dxa"/>
            <w:vAlign w:val="bottom"/>
          </w:tcPr>
          <w:p>
            <w:pPr>
              <w:jc w:val="right"/>
              <w:ind w:right="430"/>
              <w:spacing w:after="0"/>
              <w:rPr>
                <w:sz w:val="20"/>
                <w:szCs w:val="20"/>
                <w:color w:val="auto"/>
              </w:rPr>
            </w:pPr>
            <w:r>
              <w:rPr>
                <w:rFonts w:ascii="Arial" w:cs="Arial" w:eastAsia="Arial" w:hAnsi="Arial"/>
                <w:sz w:val="16"/>
                <w:szCs w:val="16"/>
                <w:b w:val="1"/>
                <w:bCs w:val="1"/>
                <w:color w:val="auto"/>
              </w:rPr>
              <w:t>2007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6"/>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89"/>
              </w:rPr>
              <w:t>($ amounts in 000's, except per share amounts)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197,408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135,140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70,131</w:t>
            </w:r>
          </w:p>
        </w:tc>
        <w:tc>
          <w:tcPr>
            <w:tcW w:w="0" w:type="dxa"/>
            <w:vAlign w:val="bottom"/>
          </w:tcPr>
          <w:p>
            <w:pPr>
              <w:spacing w:after="0"/>
              <w:rPr>
                <w:sz w:val="1"/>
                <w:szCs w:val="1"/>
                <w:color w:val="auto"/>
              </w:rPr>
            </w:pPr>
          </w:p>
        </w:tc>
      </w:tr>
      <w:tr>
        <w:trPr>
          <w:trHeight w:val="243"/>
        </w:trPr>
        <w:tc>
          <w:tcPr>
            <w:tcW w:w="41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220,268</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172,046</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139,172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105,292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74,152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15,900</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17,510</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14,257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433,576</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324,696</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252,115</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211,791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155,366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20" w:type="dxa"/>
            <w:vAlign w:val="bottom"/>
          </w:tcPr>
          <w:p>
            <w:pPr>
              <w:ind w:left="52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73,201</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51,944</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42,166</w:t>
            </w:r>
          </w:p>
        </w:tc>
        <w:tc>
          <w:tcPr>
            <w:tcW w:w="1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41,397</w:t>
            </w: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35,948</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xml:space="preserve">Services </w:t>
            </w:r>
            <w:r>
              <w:rPr>
                <w:rFonts w:ascii="Arial" w:cs="Arial" w:eastAsia="Arial" w:hAnsi="Arial"/>
                <w:sz w:val="18"/>
                <w:szCs w:val="18"/>
                <w:color w:val="auto"/>
                <w:vertAlign w:val="superscript"/>
              </w:rPr>
              <w:t>(2)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35,486</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26,967</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22,265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15,941</w:t>
            </w:r>
          </w:p>
        </w:tc>
        <w:tc>
          <w:tcPr>
            <w:tcW w:w="0" w:type="dxa"/>
            <w:vAlign w:val="bottom"/>
          </w:tcPr>
          <w:p>
            <w:pPr>
              <w:spacing w:after="0"/>
              <w:rPr>
                <w:sz w:val="1"/>
                <w:szCs w:val="1"/>
                <w:color w:val="auto"/>
              </w:rPr>
            </w:pPr>
          </w:p>
        </w:tc>
      </w:tr>
      <w:tr>
        <w:trPr>
          <w:trHeight w:val="243"/>
        </w:trPr>
        <w:tc>
          <w:tcPr>
            <w:tcW w:w="41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5,544</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113,598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85,206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69,975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65,472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124,207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83,196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56,520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34,183</w:t>
            </w:r>
          </w:p>
        </w:tc>
        <w:tc>
          <w:tcPr>
            <w:tcW w:w="0" w:type="dxa"/>
            <w:vAlign w:val="bottom"/>
          </w:tcPr>
          <w:p>
            <w:pPr>
              <w:spacing w:after="0"/>
              <w:rPr>
                <w:sz w:val="1"/>
                <w:szCs w:val="1"/>
                <w:color w:val="auto"/>
              </w:rPr>
            </w:pPr>
          </w:p>
        </w:tc>
      </w:tr>
      <w:tr>
        <w:trPr>
          <w:trHeight w:val="243"/>
        </w:trPr>
        <w:tc>
          <w:tcPr>
            <w:tcW w:w="41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184,782</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145,079</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116,907</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85,851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58,211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8,713</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319,978</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239,490</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182,140</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146,319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98,714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20" w:type="dxa"/>
            <w:vAlign w:val="bottom"/>
          </w:tcPr>
          <w:p>
            <w:pPr>
              <w:ind w:left="52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8"/>
                <w:szCs w:val="18"/>
                <w:color w:val="auto"/>
                <w:vertAlign w:val="superscript"/>
              </w:rPr>
              <w:t>(2)</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63,577</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49,801</w:t>
            </w:r>
          </w:p>
        </w:tc>
        <w:tc>
          <w:tcPr>
            <w:tcW w:w="120" w:type="dxa"/>
            <w:vAlign w:val="bottom"/>
          </w:tcPr>
          <w:p>
            <w:pPr>
              <w:spacing w:after="0"/>
              <w:rPr>
                <w:sz w:val="22"/>
                <w:szCs w:val="22"/>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42,195</w:t>
            </w:r>
          </w:p>
        </w:tc>
        <w:tc>
          <w:tcPr>
            <w:tcW w:w="12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27,588</w:t>
            </w:r>
          </w:p>
        </w:tc>
        <w:tc>
          <w:tcPr>
            <w:tcW w:w="0" w:type="dxa"/>
            <w:vAlign w:val="bottom"/>
          </w:tcPr>
          <w:p>
            <w:pPr>
              <w:spacing w:after="0"/>
              <w:rPr>
                <w:sz w:val="1"/>
                <w:szCs w:val="1"/>
                <w:color w:val="auto"/>
              </w:rPr>
            </w:pPr>
          </w:p>
        </w:tc>
      </w:tr>
      <w:tr>
        <w:trPr>
          <w:trHeight w:val="278"/>
        </w:trPr>
        <w:tc>
          <w:tcPr>
            <w:tcW w:w="4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(2)</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145,532</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111,968</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96,291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87,717</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72,159</w:t>
            </w:r>
          </w:p>
        </w:tc>
        <w:tc>
          <w:tcPr>
            <w:tcW w:w="0" w:type="dxa"/>
            <w:vAlign w:val="bottom"/>
          </w:tcPr>
          <w:p>
            <w:pPr>
              <w:spacing w:after="0"/>
              <w:rPr>
                <w:sz w:val="1"/>
                <w:szCs w:val="1"/>
                <w:color w:val="auto"/>
              </w:rPr>
            </w:pPr>
          </w:p>
        </w:tc>
      </w:tr>
      <w:tr>
        <w:trPr>
          <w:trHeight w:val="264"/>
        </w:trPr>
        <w:tc>
          <w:tcPr>
            <w:tcW w:w="4120" w:type="dxa"/>
            <w:vAlign w:val="bottom"/>
          </w:tcPr>
          <w:p>
            <w:pPr>
              <w:ind w:left="5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8"/>
                <w:szCs w:val="18"/>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21,965</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22,380</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18,320</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16,640</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20,544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231,074</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184,149</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156,806</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141,392</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120,291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88,904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55,341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92,073</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56,341</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27,513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29,581</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15,096</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62,492</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41,245</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60,179</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(21,842)</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per share </w:t>
            </w:r>
            <w:r>
              <w:rPr>
                <w:rFonts w:ascii="Arial" w:cs="Arial" w:eastAsia="Arial" w:hAnsi="Arial"/>
                <w:sz w:val="18"/>
                <w:szCs w:val="18"/>
                <w:color w:val="auto"/>
                <w:vertAlign w:val="subscript"/>
              </w:rPr>
              <w: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152,581</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140,726</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52,668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40,034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38,552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163,781</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156,406</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130,438</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53,284</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38,552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fiscal years ended on December 31, 2011, December 31, 2010, December 31, 2009, December 28, 2008 and December 30, 2007.</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Cost of product revenue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Cost of services revenue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Sales and marketing</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General and administrative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 Data:</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Working capital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Convertible preferred stock</w:t>
      </w:r>
    </w:p>
    <w:p>
      <w:pPr>
        <w:spacing w:after="0" w:line="6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Common stock including treasury stock and additional paid-in capital</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stockholders’ equity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jc w:val="right"/>
              <w:ind w:right="435"/>
              <w:spacing w:after="0"/>
              <w:rPr>
                <w:sz w:val="20"/>
                <w:szCs w:val="20"/>
                <w:color w:val="auto"/>
              </w:rPr>
            </w:pPr>
            <w:r>
              <w:rPr>
                <w:rFonts w:ascii="Arial" w:cs="Arial" w:eastAsia="Arial" w:hAnsi="Arial"/>
                <w:sz w:val="16"/>
                <w:szCs w:val="16"/>
                <w:b w:val="1"/>
                <w:bCs w:val="1"/>
                <w:color w:val="auto"/>
              </w:rPr>
              <w:t>2011</w:t>
            </w:r>
          </w:p>
        </w:tc>
        <w:tc>
          <w:tcPr>
            <w:tcW w:w="150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2010</w:t>
            </w:r>
          </w:p>
        </w:tc>
        <w:tc>
          <w:tcPr>
            <w:tcW w:w="150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8"/>
                <w:szCs w:val="18"/>
                <w:color w:val="auto"/>
              </w:rPr>
            </w:pPr>
          </w:p>
        </w:tc>
        <w:tc>
          <w:tcPr>
            <w:tcW w:w="1340" w:type="dxa"/>
            <w:vAlign w:val="bottom"/>
          </w:tcPr>
          <w:p>
            <w:pPr>
              <w:jc w:val="right"/>
              <w:ind w:right="435"/>
              <w:spacing w:after="0"/>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18"/>
                <w:szCs w:val="18"/>
                <w:color w:val="auto"/>
              </w:rPr>
            </w:pPr>
          </w:p>
        </w:tc>
        <w:tc>
          <w:tcPr>
            <w:tcW w:w="1360" w:type="dxa"/>
            <w:vAlign w:val="bottom"/>
          </w:tcPr>
          <w:p>
            <w:pPr>
              <w:jc w:val="right"/>
              <w:ind w:right="435"/>
              <w:spacing w:after="0"/>
              <w:rPr>
                <w:sz w:val="20"/>
                <w:szCs w:val="20"/>
                <w:color w:val="auto"/>
              </w:rPr>
            </w:pPr>
            <w:r>
              <w:rPr>
                <w:rFonts w:ascii="Arial" w:cs="Arial" w:eastAsia="Arial" w:hAnsi="Arial"/>
                <w:sz w:val="16"/>
                <w:szCs w:val="16"/>
                <w:b w:val="1"/>
                <w:bCs w:val="1"/>
                <w:color w:val="auto"/>
              </w:rPr>
              <w:t>2007</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 amounts in 000's)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6"/>
                <w:szCs w:val="16"/>
                <w:color w:val="auto"/>
              </w:rPr>
              <w:t>183</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101</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color w:val="auto"/>
              </w:rPr>
              <w:t>553</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6"/>
                <w:szCs w:val="16"/>
                <w:color w:val="auto"/>
              </w:rPr>
              <w:t>1,790</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929</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color w:val="auto"/>
              </w:rPr>
              <w:t>416</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6"/>
                <w:szCs w:val="16"/>
                <w:color w:val="auto"/>
              </w:rPr>
              <w:t>4,691</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2,339</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1,049</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color w:val="auto"/>
              </w:rPr>
              <w:t>1,452</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6"/>
                <w:szCs w:val="16"/>
                <w:color w:val="auto"/>
              </w:rPr>
              <w:t>9,325</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3,810</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3,020</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2,512</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color w:val="auto"/>
              </w:rPr>
              <w:t>3,928</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6"/>
                <w:szCs w:val="16"/>
                <w:color w:val="auto"/>
              </w:rPr>
              <w:t>3,026</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2,136</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1,718</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color w:val="auto"/>
              </w:rPr>
              <w:t>2,983</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jc w:val="right"/>
              <w:ind w:right="35"/>
              <w:spacing w:after="0"/>
              <w:rPr>
                <w:sz w:val="20"/>
                <w:szCs w:val="20"/>
                <w:color w:val="auto"/>
              </w:rPr>
            </w:pPr>
            <w:r>
              <w:rPr>
                <w:rFonts w:ascii="Arial" w:cs="Arial" w:eastAsia="Arial" w:hAnsi="Arial"/>
                <w:sz w:val="16"/>
                <w:szCs w:val="16"/>
                <w:color w:val="auto"/>
              </w:rPr>
              <w:t>19,015</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9,315</w:t>
            </w:r>
          </w:p>
        </w:tc>
        <w:tc>
          <w:tcPr>
            <w:tcW w:w="1500" w:type="dxa"/>
            <w:vAlign w:val="bottom"/>
            <w:gridSpan w:val="2"/>
          </w:tcPr>
          <w:p>
            <w:pPr>
              <w:jc w:val="right"/>
              <w:ind w:right="30"/>
              <w:spacing w:after="0"/>
              <w:rPr>
                <w:sz w:val="20"/>
                <w:szCs w:val="20"/>
                <w:color w:val="auto"/>
              </w:rPr>
            </w:pPr>
            <w:r>
              <w:rPr>
                <w:rFonts w:ascii="Arial" w:cs="Arial" w:eastAsia="Arial" w:hAnsi="Arial"/>
                <w:sz w:val="16"/>
                <w:szCs w:val="16"/>
                <w:color w:val="auto"/>
              </w:rPr>
              <w:t>7,461</w:t>
            </w:r>
          </w:p>
        </w:tc>
        <w:tc>
          <w:tcPr>
            <w:tcW w:w="12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5,299</w:t>
            </w:r>
          </w:p>
        </w:tc>
        <w:tc>
          <w:tcPr>
            <w:tcW w:w="100" w:type="dxa"/>
            <w:vAlign w:val="bottom"/>
          </w:tcPr>
          <w:p>
            <w:pPr>
              <w:spacing w:after="0"/>
              <w:rPr>
                <w:sz w:val="18"/>
                <w:szCs w:val="18"/>
                <w:color w:val="auto"/>
              </w:rPr>
            </w:pPr>
          </w:p>
        </w:tc>
        <w:tc>
          <w:tcPr>
            <w:tcW w:w="1360" w:type="dxa"/>
            <w:vAlign w:val="bottom"/>
          </w:tcPr>
          <w:p>
            <w:pPr>
              <w:jc w:val="right"/>
              <w:ind w:right="15"/>
              <w:spacing w:after="0"/>
              <w:rPr>
                <w:sz w:val="20"/>
                <w:szCs w:val="20"/>
                <w:color w:val="auto"/>
              </w:rPr>
            </w:pPr>
            <w:r>
              <w:rPr>
                <w:rFonts w:ascii="Arial" w:cs="Arial" w:eastAsia="Arial" w:hAnsi="Arial"/>
                <w:sz w:val="16"/>
                <w:szCs w:val="16"/>
                <w:color w:val="auto"/>
              </w:rPr>
              <w:t>9,332</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2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As of Fiscal Year End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1380" w:type="dxa"/>
            <w:vAlign w:val="bottom"/>
          </w:tcPr>
          <w:p>
            <w:pPr>
              <w:jc w:val="right"/>
              <w:ind w:right="435"/>
              <w:spacing w:after="0"/>
              <w:rPr>
                <w:sz w:val="20"/>
                <w:szCs w:val="20"/>
                <w:color w:val="auto"/>
              </w:rPr>
            </w:pPr>
            <w:r>
              <w:rPr>
                <w:rFonts w:ascii="Arial" w:cs="Arial" w:eastAsia="Arial" w:hAnsi="Arial"/>
                <w:sz w:val="16"/>
                <w:szCs w:val="16"/>
                <w:b w:val="1"/>
                <w:bCs w:val="1"/>
                <w:color w:val="auto"/>
              </w:rPr>
              <w:t>2011</w:t>
            </w:r>
          </w:p>
        </w:tc>
        <w:tc>
          <w:tcPr>
            <w:tcW w:w="150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2010</w:t>
            </w:r>
          </w:p>
        </w:tc>
        <w:tc>
          <w:tcPr>
            <w:tcW w:w="1500" w:type="dxa"/>
            <w:vAlign w:val="bottom"/>
            <w:gridSpan w:val="2"/>
          </w:tcPr>
          <w:p>
            <w:pPr>
              <w:jc w:val="right"/>
              <w:ind w:right="430"/>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20"/>
                <w:szCs w:val="20"/>
                <w:color w:val="auto"/>
              </w:rPr>
            </w:pPr>
          </w:p>
        </w:tc>
        <w:tc>
          <w:tcPr>
            <w:tcW w:w="1340" w:type="dxa"/>
            <w:vAlign w:val="bottom"/>
          </w:tcPr>
          <w:p>
            <w:pPr>
              <w:jc w:val="right"/>
              <w:ind w:right="435"/>
              <w:spacing w:after="0"/>
              <w:rPr>
                <w:sz w:val="20"/>
                <w:szCs w:val="20"/>
                <w:color w:val="auto"/>
              </w:rPr>
            </w:pPr>
            <w:r>
              <w:rPr>
                <w:rFonts w:ascii="Arial" w:cs="Arial" w:eastAsia="Arial" w:hAnsi="Arial"/>
                <w:sz w:val="16"/>
                <w:szCs w:val="16"/>
                <w:b w:val="1"/>
                <w:bCs w:val="1"/>
                <w:color w:val="auto"/>
              </w:rPr>
              <w:t>2008</w:t>
            </w:r>
          </w:p>
        </w:tc>
        <w:tc>
          <w:tcPr>
            <w:tcW w:w="100" w:type="dxa"/>
            <w:vAlign w:val="bottom"/>
          </w:tcPr>
          <w:p>
            <w:pPr>
              <w:spacing w:after="0"/>
              <w:rPr>
                <w:sz w:val="20"/>
                <w:szCs w:val="20"/>
                <w:color w:val="auto"/>
              </w:rPr>
            </w:pPr>
          </w:p>
        </w:tc>
        <w:tc>
          <w:tcPr>
            <w:tcW w:w="1360" w:type="dxa"/>
            <w:vAlign w:val="bottom"/>
          </w:tcPr>
          <w:p>
            <w:pPr>
              <w:jc w:val="right"/>
              <w:ind w:right="435"/>
              <w:spacing w:after="0"/>
              <w:rPr>
                <w:sz w:val="20"/>
                <w:szCs w:val="20"/>
                <w:color w:val="auto"/>
              </w:rPr>
            </w:pPr>
            <w:r>
              <w:rPr>
                <w:rFonts w:ascii="Arial" w:cs="Arial" w:eastAsia="Arial" w:hAnsi="Arial"/>
                <w:sz w:val="16"/>
                <w:szCs w:val="16"/>
                <w:b w:val="1"/>
                <w:bCs w:val="1"/>
                <w:color w:val="auto"/>
              </w:rPr>
              <w:t>2007</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 amounts in 000's)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546"/>
        </w:trPr>
        <w:tc>
          <w:tcPr>
            <w:tcW w:w="1380" w:type="dxa"/>
            <w:vAlign w:val="bottom"/>
          </w:tcPr>
          <w:p>
            <w:pPr>
              <w:jc w:val="right"/>
              <w:ind w:right="35"/>
              <w:spacing w:after="0"/>
              <w:rPr>
                <w:sz w:val="20"/>
                <w:szCs w:val="20"/>
                <w:color w:val="auto"/>
              </w:rPr>
            </w:pPr>
            <w:r>
              <w:rPr>
                <w:rFonts w:ascii="Arial" w:cs="Arial" w:eastAsia="Arial" w:hAnsi="Arial"/>
                <w:sz w:val="18"/>
                <w:szCs w:val="18"/>
                <w:color w:val="auto"/>
              </w:rPr>
              <w:t>538,688</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387,460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260,314</w:t>
            </w:r>
          </w:p>
        </w:tc>
        <w:tc>
          <w:tcPr>
            <w:tcW w:w="12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124,190</w:t>
            </w:r>
          </w:p>
        </w:tc>
        <w:tc>
          <w:tcPr>
            <w:tcW w:w="10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90,161</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8"/>
                <w:szCs w:val="18"/>
                <w:color w:val="auto"/>
              </w:rPr>
              <w:t>256,706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201,776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161,652</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38,193</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12,862</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8"/>
                <w:szCs w:val="18"/>
                <w:color w:val="auto"/>
              </w:rPr>
              <w:t>734,747</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545,422</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387,213</w:t>
            </w:r>
          </w:p>
        </w:tc>
        <w:tc>
          <w:tcPr>
            <w:tcW w:w="120" w:type="dxa"/>
            <w:vAlign w:val="bottom"/>
          </w:tcPr>
          <w:p>
            <w:pPr>
              <w:spacing w:after="0"/>
              <w:rPr>
                <w:sz w:val="23"/>
                <w:szCs w:val="23"/>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199,105</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145,192</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94,368</w:t>
            </w:r>
          </w:p>
        </w:tc>
        <w:tc>
          <w:tcPr>
            <w:tcW w:w="1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94,368</w:t>
            </w:r>
          </w:p>
        </w:tc>
      </w:tr>
      <w:tr>
        <w:trPr>
          <w:trHeight w:val="486"/>
        </w:trPr>
        <w:tc>
          <w:tcPr>
            <w:tcW w:w="1380" w:type="dxa"/>
            <w:vAlign w:val="bottom"/>
          </w:tcPr>
          <w:p>
            <w:pPr>
              <w:jc w:val="right"/>
              <w:ind w:right="35"/>
              <w:spacing w:after="0"/>
              <w:rPr>
                <w:sz w:val="20"/>
                <w:szCs w:val="20"/>
                <w:color w:val="auto"/>
              </w:rPr>
            </w:pPr>
            <w:r>
              <w:rPr>
                <w:rFonts w:ascii="Arial" w:cs="Arial" w:eastAsia="Arial" w:hAnsi="Arial"/>
                <w:sz w:val="18"/>
                <w:szCs w:val="18"/>
                <w:color w:val="auto"/>
              </w:rPr>
              <w:t>314,187</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249,000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201,340</w:t>
            </w:r>
          </w:p>
        </w:tc>
        <w:tc>
          <w:tcPr>
            <w:tcW w:w="120" w:type="dxa"/>
            <w:vAlign w:val="bottom"/>
          </w:tcPr>
          <w:p>
            <w:pPr>
              <w:spacing w:after="0"/>
              <w:rPr>
                <w:sz w:val="24"/>
                <w:szCs w:val="24"/>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20,854</w:t>
            </w:r>
          </w:p>
        </w:tc>
        <w:tc>
          <w:tcPr>
            <w:tcW w:w="100" w:type="dxa"/>
            <w:vAlign w:val="bottom"/>
          </w:tcPr>
          <w:p>
            <w:pPr>
              <w:spacing w:after="0"/>
              <w:rPr>
                <w:sz w:val="24"/>
                <w:szCs w:val="24"/>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13,438</w:t>
            </w:r>
          </w:p>
        </w:tc>
      </w:tr>
      <w:tr>
        <w:trPr>
          <w:trHeight w:val="270"/>
        </w:trPr>
        <w:tc>
          <w:tcPr>
            <w:tcW w:w="1380" w:type="dxa"/>
            <w:vAlign w:val="bottom"/>
          </w:tcPr>
          <w:p>
            <w:pPr>
              <w:jc w:val="right"/>
              <w:ind w:right="35"/>
              <w:spacing w:after="0"/>
              <w:rPr>
                <w:sz w:val="20"/>
                <w:szCs w:val="20"/>
                <w:color w:val="auto"/>
              </w:rPr>
            </w:pPr>
            <w:r>
              <w:rPr>
                <w:rFonts w:ascii="Arial" w:cs="Arial" w:eastAsia="Arial" w:hAnsi="Arial"/>
                <w:sz w:val="18"/>
                <w:szCs w:val="18"/>
                <w:color w:val="auto"/>
              </w:rPr>
              <w:t>358,354</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232,454</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142,452</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(18,925)</w:t>
            </w:r>
          </w:p>
        </w:tc>
      </w:tr>
      <w:tr>
        <w:trPr>
          <w:trHeight w:val="702"/>
        </w:trPr>
        <w:tc>
          <w:tcPr>
            <w:tcW w:w="1380" w:type="dxa"/>
            <w:vAlign w:val="bottom"/>
          </w:tcPr>
          <w:p>
            <w:pPr>
              <w:spacing w:after="0"/>
              <w:rPr>
                <w:sz w:val="24"/>
                <w:szCs w:val="24"/>
                <w:color w:val="auto"/>
              </w:rPr>
            </w:pPr>
          </w:p>
        </w:tc>
        <w:tc>
          <w:tcPr>
            <w:tcW w:w="1500" w:type="dxa"/>
            <w:vAlign w:val="bottom"/>
            <w:gridSpan w:val="2"/>
          </w:tcPr>
          <w:p>
            <w:pPr>
              <w:jc w:val="right"/>
              <w:ind w:right="11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-3541395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-3197860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-2854960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-1765935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-1423035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-1080135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-599440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2">
            <w:col w:w="3980" w:space="140"/>
            <w:col w:w="730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statements concerning our expectations regarding:</w:t>
      </w:r>
    </w:p>
    <w:p>
      <w:pPr>
        <w:spacing w:after="0" w:line="73"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mix of billings between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significance of stock compensation as an expense;</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revenues and future trends with respect to service revenue as we renew existing services contracts and expand our customer base;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generate taxable income and realize the tax benefits associated with our deferred tax assets;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impact of seasonality on our business;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the sufficiency of our existing cash and investments to meet our cash needs for at least the next 12 months;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as well as other statements regarding our future operations, financial condition and prospects and business strategies.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Item 1A of this Annual Report on Form 10-K and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As of December 31, 2011, we had shipped over 850,000 appliances via more than 10,000 channel partners to more than 125,000 end-customers worldwide, including a majority of the 2011 Fortune Global 100.</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core UTM product line of FortiGate physical and virtual appliances ships with a set of security and networking capabilities, including firewall, VPN, application control, antivirus,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UTM solution also includes our FortiGuard security subscription services, which end-customers can subscribe to in order to obtain access to dynamic updates to the application control, antivirus, intrusion prevention,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employee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22" w:right="31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computers and mobile devices. Sales of these complementary products have grown in recent quarters, although these products still represent less than 10.0% of our total revenue. During fiscal 2011, we expanded and enhanced our FortiGate UTM and FortiAP secure wireless access product lines, as well as introduced software-based virtual appliances for many of our FortiGate and FortiManager product lines, which help secure the end-customer's cloud-based network infrastructures with the same functionality as the traditional physical appliance in their respective product lines.</w:t>
      </w:r>
    </w:p>
    <w:p>
      <w:pPr>
        <w:spacing w:after="0" w:line="17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Fiscal 2011 was our second full year as a public company, following our initial public offering in November 2009. We believe the greater visibility and brand recognition derived from being a public company, combined with success in selling to the enterprise and service provider customers and new product introductions, served as contributors to the growth in our business during fiscal 2011. Sales of FortiGate products have generally been balanced across entry-level (FortiGate-20 to -100 series), mid-range (FortiGate-200 to -800 series) and high-end (FortiGate-1000 to -5000 series) models with each product category representing approximately one-third of FortiGate sales, with some degree of variability from year to year and between quarters. During fiscal 2011 we executed well against our strategy to grow the high-end segment of our business, consisting of sales to large enterprises, service providers and telecommunications companies. The percentage of our FortiGate related billings from the high-end category increased to 36.9% in fiscal 2011 from 34.3% in fiscal 2010, while the entry-level category decreased from 35.0% to 32.1%, and the mid-range category remained relatively flat over the same period. This shift towards the high-end category positively impacted results in fiscal 2011.</w:t>
      </w:r>
    </w:p>
    <w:p>
      <w:pPr>
        <w:spacing w:after="0" w:line="18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also believe continued product innovation has strengthened our technology advantage as evidenced by the earlier introduction of several noteworthy new FortiGate appliance models such as the FG-60C, FG-3040B, FG-3950B and FG-5001B. During fiscal 2011 we also made a significant investment in our sales force to expand our global presence both geographically as well as by industry segment. We believe these factors have allowed us to penetrate into larger enterprise and service provider accounts as evidenced by the increase in the number of deals involving sales greater than $100,000.</w:t>
      </w:r>
    </w:p>
    <w:p>
      <w:pPr>
        <w:spacing w:after="0" w:line="15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Billings (a non-GAAP financial measure that we define as total revenue plus the change in deferred revenue) were $475.8 million in fiscal 2011, an increase of 26.7% compared to fiscal 2010. Total revenue was $433.6 million for fiscal 2011, an increase of 33.5% compared to fiscal 2010. Revenue for fiscal 2011 includes approximately $20.0 million, or 4.6%, positive impact related to the adoption of the new revenue recognition rules, as described in our "Summary of Significant Accounting Policies included in - Footnote 1 of our Consolidated Financial Statements." The increase in revenue resulting from our adoption of the new revenue recognition rules was attributable to both using "best estimated sale price" in our allocation of arrangement consideration when we did not have vendor-specific objective evidence ("VSOE"), and being able to recognize upon shipment certain product revenue, which would have been deferred under the previous revenue recognition rules. Product revenue was $197.4 million, an increase of 46.1% compared to fiscal 2010, and a greater percentage of total revenue (45.5% in fiscal 2011, compared to 41.6% in fiscal 2010). Introduction of new products, including some non-FortiGate products, was one factor in the growth of our product revenue. Services revenue in fiscal 2011 was $220.3 million, an increase of 28.0% compared to fiscal 2010. Services revenue is important to our future revenue and profitability as it provides a source of recurring revenue for us, representing 50.8% and 53.0% of total revenue for fiscal 2011 and 2010, respectively. Ratable and other revenue in fiscal 2011 was $15.9 million, a decrease of 9.2% compared to fiscal 2010, primarily due to the decline in ratable revenue amortization due to the new revenue recognition rules.</w:t>
      </w:r>
    </w:p>
    <w:p>
      <w:pPr>
        <w:spacing w:after="0" w:line="169"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We are a global, geographically diversified business, with 60.2% of our total revenue generated outside the United States, Canada and Other Americas ("Americas") regions in fiscal 2011. Our operating results were driven by strong performance across all geographies. For fiscal 2011, Americas generated $172.5 million, or 39.8%, of our total revenue, representing an increase of 39.2% from fiscal 2010. Europe, Middle East and Africa ("EMEA") generated $152.4 million, or 35.1%, of our total revenue during fiscal 2011, representing an increase of 25.3% from fiscal 2010. Asia Pacific and Japan ("APAC") generated $108.7 million, or 25.1%, of our total revenue during fiscal 2011, representing an increase of 37.4% from fiscal 2010.</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fiscal 2011, our total operating expenses were $231.1 million, an increase of 25.5% compared to fiscal 2010. The 33.5% increase in revenues compared to the 25.5% increase in operating expenses in fiscal 2011 (as discussed under "Results of Operations" below) demonstrates the leverage that we achieved from the efficiencies in our business operations during the past year. Despite the negative impact of foreign currency fluctuations experienced during fiscal 2011, operating expenses as a percentage of revenue decreased to 53.4% from 56.7% during fiscal 2010. We are also experiencing improvements in productivity and efficiencies in our overall headcount as our annualized fiscal 2011 revenue per employee, defined as annual revenue divided by average headcount, reached $297,000, up from $254,000 for fiscal 2010. Headcount increased from 1,336 at the end of fiscal 2010 to 1,583 at the end of fiscal 2011, as our pace of hiring increased during fiscal 2011, particularly in sales and marketing and research and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physical and virtual appliances. We invoice at the time of our sale for the total price of the products and subscription and support services, and the invoice generally becomes payable within 30 to 90 days. We generally recognize product revenue up-front based on the allocated revenue value and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can be as long as five years. Sales of new and renewal services increase our deferred revenue balance, which contributes significantly to our positive cash flow from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monitor the key financial metrics set forth below to help us evaluate growth trends, establish budgets, measure the effectiveness of our sales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marketing efforts, and assess operational efficiencies. Our total deferred revenue increased by $42.2 million from $252.6 million at December 31, 2010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$294.8 million at December 31, 2011. Revenue recognized plus the change in deferred revenue from the beginning to the end of the period is a useful metric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management identifies as billings. Billings for services drive deferred revenue, which is an important indicator of the health and visibility of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has historically represented a majority of the revenue that we recognize in a typical quarter. We also ended fiscal 2011 with $538.7 million in cash,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equivalents and investments and have had positive cash flow from operations every fiscal year since 2005. We discuss revenue, gross margin,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components of operating income and margin below under “Components of Operating Results,” and we discuss our cash, cash equivalents, and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“Liquidity and Capital Resources.” Deferred revenue and cash provided by operating activities are discussed immediately below the following table.</w:t>
      </w:r>
    </w:p>
    <w:p>
      <w:pPr>
        <w:spacing w:after="0" w:line="369"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3780" w:type="dxa"/>
            <w:vAlign w:val="bottom"/>
            <w:gridSpan w:val="2"/>
          </w:tcPr>
          <w:p>
            <w:pPr>
              <w:jc w:val="center"/>
              <w:ind w:left="995"/>
              <w:spacing w:after="0"/>
              <w:rPr>
                <w:sz w:val="20"/>
                <w:szCs w:val="20"/>
                <w:color w:val="auto"/>
              </w:rPr>
            </w:pPr>
            <w:r>
              <w:rPr>
                <w:rFonts w:ascii="Arial" w:cs="Arial" w:eastAsia="Arial" w:hAnsi="Arial"/>
                <w:sz w:val="16"/>
                <w:szCs w:val="16"/>
                <w:b w:val="1"/>
                <w:bCs w:val="1"/>
                <w:color w:val="auto"/>
                <w:w w:val="90"/>
              </w:rPr>
              <w:t>Fiscal Year or as of Fiscal Year End</w:t>
            </w:r>
          </w:p>
        </w:tc>
        <w:tc>
          <w:tcPr>
            <w:tcW w:w="106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spacing w:after="0"/>
              <w:rPr>
                <w:sz w:val="20"/>
                <w:szCs w:val="20"/>
                <w:color w:val="auto"/>
              </w:rPr>
            </w:pPr>
          </w:p>
        </w:tc>
        <w:tc>
          <w:tcPr>
            <w:tcW w:w="16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2011</w:t>
            </w:r>
          </w:p>
        </w:tc>
        <w:tc>
          <w:tcPr>
            <w:tcW w:w="2160" w:type="dxa"/>
            <w:vAlign w:val="bottom"/>
          </w:tcPr>
          <w:p>
            <w:pPr>
              <w:jc w:val="center"/>
              <w:ind w:right="475"/>
              <w:spacing w:after="0"/>
              <w:rPr>
                <w:sz w:val="20"/>
                <w:szCs w:val="20"/>
                <w:color w:val="auto"/>
              </w:rPr>
            </w:pPr>
            <w:r>
              <w:rPr>
                <w:rFonts w:ascii="Arial" w:cs="Arial" w:eastAsia="Arial" w:hAnsi="Arial"/>
                <w:sz w:val="16"/>
                <w:szCs w:val="16"/>
                <w:b w:val="1"/>
                <w:bCs w:val="1"/>
                <w:color w:val="auto"/>
                <w:w w:val="89"/>
              </w:rPr>
              <w:t>2010</w:t>
            </w:r>
          </w:p>
        </w:tc>
        <w:tc>
          <w:tcPr>
            <w:tcW w:w="1060" w:type="dxa"/>
            <w:vAlign w:val="bottom"/>
          </w:tcPr>
          <w:p>
            <w:pPr>
              <w:jc w:val="right"/>
              <w:ind w:right="535"/>
              <w:spacing w:after="0"/>
              <w:rPr>
                <w:sz w:val="20"/>
                <w:szCs w:val="20"/>
                <w:color w:val="auto"/>
              </w:rPr>
            </w:pPr>
            <w:r>
              <w:rPr>
                <w:rFonts w:ascii="Arial" w:cs="Arial" w:eastAsia="Arial" w:hAnsi="Arial"/>
                <w:sz w:val="16"/>
                <w:szCs w:val="16"/>
                <w:b w:val="1"/>
                <w:bCs w:val="1"/>
                <w:color w:val="auto"/>
              </w:rPr>
              <w:t>2009</w:t>
            </w:r>
          </w:p>
        </w:tc>
      </w:tr>
      <w:tr>
        <w:trPr>
          <w:trHeight w:val="33"/>
        </w:trPr>
        <w:tc>
          <w:tcPr>
            <w:tcW w:w="5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jc w:val="center"/>
              <w:ind w:right="455"/>
              <w:spacing w:after="0"/>
              <w:rPr>
                <w:sz w:val="20"/>
                <w:szCs w:val="20"/>
                <w:color w:val="auto"/>
              </w:rPr>
            </w:pPr>
            <w:r>
              <w:rPr>
                <w:rFonts w:ascii="Arial" w:cs="Arial" w:eastAsia="Arial" w:hAnsi="Arial"/>
                <w:sz w:val="16"/>
                <w:szCs w:val="16"/>
                <w:b w:val="1"/>
                <w:bCs w:val="1"/>
                <w:color w:val="auto"/>
                <w:w w:val="90"/>
              </w:rPr>
              <w:t>($ amounts in 000's)</w:t>
            </w:r>
          </w:p>
        </w:tc>
        <w:tc>
          <w:tcPr>
            <w:tcW w:w="106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433,576</w:t>
            </w:r>
          </w:p>
        </w:tc>
        <w:tc>
          <w:tcPr>
            <w:tcW w:w="216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rPr>
              <w:t>324,696</w:t>
            </w: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252,115</w:t>
            </w:r>
          </w:p>
        </w:tc>
      </w:tr>
      <w:tr>
        <w:trPr>
          <w:trHeight w:val="243"/>
        </w:trPr>
        <w:tc>
          <w:tcPr>
            <w:tcW w:w="576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73.8%</w:t>
            </w:r>
          </w:p>
        </w:tc>
        <w:tc>
          <w:tcPr>
            <w:tcW w:w="2160" w:type="dxa"/>
            <w:vAlign w:val="bottom"/>
          </w:tcPr>
          <w:p>
            <w:pPr>
              <w:jc w:val="right"/>
              <w:ind w:right="555"/>
              <w:spacing w:after="0"/>
              <w:rPr>
                <w:sz w:val="20"/>
                <w:szCs w:val="20"/>
                <w:color w:val="auto"/>
              </w:rPr>
            </w:pPr>
            <w:r>
              <w:rPr>
                <w:rFonts w:ascii="Arial" w:cs="Arial" w:eastAsia="Arial" w:hAnsi="Arial"/>
                <w:sz w:val="18"/>
                <w:szCs w:val="18"/>
                <w:color w:val="auto"/>
              </w:rPr>
              <w:t>73.8%</w:t>
            </w:r>
          </w:p>
        </w:tc>
        <w:tc>
          <w:tcPr>
            <w:tcW w:w="106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(1)</w:t>
            </w:r>
          </w:p>
        </w:tc>
        <w:tc>
          <w:tcPr>
            <w:tcW w:w="16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88,904</w:t>
            </w:r>
          </w:p>
        </w:tc>
        <w:tc>
          <w:tcPr>
            <w:tcW w:w="216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55,341</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25,334</w:t>
            </w:r>
          </w:p>
        </w:tc>
      </w:tr>
      <w:tr>
        <w:trPr>
          <w:trHeight w:val="243"/>
        </w:trPr>
        <w:tc>
          <w:tcPr>
            <w:tcW w:w="5760" w:type="dxa"/>
            <w:vAlign w:val="bottom"/>
          </w:tcPr>
          <w:p>
            <w:pPr>
              <w:ind w:left="260"/>
              <w:spacing w:after="0"/>
              <w:rPr>
                <w:sz w:val="20"/>
                <w:szCs w:val="20"/>
                <w:color w:val="auto"/>
              </w:rPr>
            </w:pPr>
            <w:r>
              <w:rPr>
                <w:rFonts w:ascii="Arial" w:cs="Arial" w:eastAsia="Arial" w:hAnsi="Arial"/>
                <w:sz w:val="18"/>
                <w:szCs w:val="18"/>
                <w:color w:val="auto"/>
              </w:rPr>
              <w:t>Operating margin</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20.5%</w:t>
            </w:r>
          </w:p>
        </w:tc>
        <w:tc>
          <w:tcPr>
            <w:tcW w:w="2160" w:type="dxa"/>
            <w:vAlign w:val="bottom"/>
          </w:tcPr>
          <w:p>
            <w:pPr>
              <w:jc w:val="right"/>
              <w:ind w:right="555"/>
              <w:spacing w:after="0"/>
              <w:rPr>
                <w:sz w:val="20"/>
                <w:szCs w:val="20"/>
                <w:color w:val="auto"/>
              </w:rPr>
            </w:pPr>
            <w:r>
              <w:rPr>
                <w:rFonts w:ascii="Arial" w:cs="Arial" w:eastAsia="Arial" w:hAnsi="Arial"/>
                <w:sz w:val="18"/>
                <w:szCs w:val="18"/>
                <w:color w:val="auto"/>
              </w:rPr>
              <w:t>17.0%</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revenue</w:t>
            </w:r>
          </w:p>
        </w:tc>
        <w:tc>
          <w:tcPr>
            <w:tcW w:w="16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294,833</w:t>
            </w:r>
          </w:p>
        </w:tc>
        <w:tc>
          <w:tcPr>
            <w:tcW w:w="216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rPr>
              <w:t>252,631</w:t>
            </w: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201,930</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Increase in total deferred revenue</w:t>
            </w:r>
          </w:p>
        </w:tc>
        <w:tc>
          <w:tcPr>
            <w:tcW w:w="1620" w:type="dxa"/>
            <w:vAlign w:val="bottom"/>
          </w:tcPr>
          <w:p>
            <w:pPr>
              <w:jc w:val="right"/>
              <w:ind w:right="175"/>
              <w:spacing w:after="0"/>
              <w:rPr>
                <w:sz w:val="20"/>
                <w:szCs w:val="20"/>
                <w:color w:val="auto"/>
              </w:rPr>
            </w:pPr>
            <w:r>
              <w:rPr>
                <w:rFonts w:ascii="Arial" w:cs="Arial" w:eastAsia="Arial" w:hAnsi="Arial"/>
                <w:sz w:val="18"/>
                <w:szCs w:val="18"/>
                <w:color w:val="auto"/>
              </w:rPr>
              <w:t>42,202</w:t>
            </w:r>
          </w:p>
        </w:tc>
        <w:tc>
          <w:tcPr>
            <w:tcW w:w="2160" w:type="dxa"/>
            <w:vAlign w:val="bottom"/>
          </w:tcPr>
          <w:p>
            <w:pPr>
              <w:jc w:val="right"/>
              <w:ind w:right="695"/>
              <w:spacing w:after="0"/>
              <w:rPr>
                <w:sz w:val="20"/>
                <w:szCs w:val="20"/>
                <w:color w:val="auto"/>
              </w:rPr>
            </w:pPr>
            <w:r>
              <w:rPr>
                <w:rFonts w:ascii="Arial" w:cs="Arial" w:eastAsia="Arial" w:hAnsi="Arial"/>
                <w:sz w:val="18"/>
                <w:szCs w:val="18"/>
                <w:color w:val="auto"/>
              </w:rPr>
              <w:t>50,701</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30,313</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6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538,687</w:t>
            </w:r>
          </w:p>
        </w:tc>
        <w:tc>
          <w:tcPr>
            <w:tcW w:w="2160" w:type="dxa"/>
            <w:vAlign w:val="bottom"/>
            <w:tcBorders>
              <w:bottom w:val="single" w:sz="8" w:color="CCEEFF"/>
            </w:tcBorders>
            <w:shd w:val="clear" w:color="auto" w:fill="CCEEFF"/>
          </w:tcPr>
          <w:p>
            <w:pPr>
              <w:jc w:val="right"/>
              <w:ind w:right="695"/>
              <w:spacing w:after="0"/>
              <w:rPr>
                <w:sz w:val="20"/>
                <w:szCs w:val="20"/>
                <w:color w:val="auto"/>
              </w:rPr>
            </w:pPr>
            <w:r>
              <w:rPr>
                <w:rFonts w:ascii="Arial" w:cs="Arial" w:eastAsia="Arial" w:hAnsi="Arial"/>
                <w:sz w:val="18"/>
                <w:szCs w:val="18"/>
                <w:color w:val="auto"/>
              </w:rPr>
              <w:t>387,460</w:t>
            </w:r>
          </w:p>
        </w:tc>
        <w:tc>
          <w:tcPr>
            <w:tcW w:w="10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260,314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Cash provided by operating activities</w:t>
            </w:r>
          </w:p>
        </w:tc>
        <w:tc>
          <w:tcPr>
            <w:tcW w:w="1620" w:type="dxa"/>
            <w:vAlign w:val="bottom"/>
          </w:tcPr>
          <w:p>
            <w:pPr>
              <w:jc w:val="right"/>
              <w:ind w:right="175"/>
              <w:spacing w:after="0"/>
              <w:rPr>
                <w:sz w:val="20"/>
                <w:szCs w:val="20"/>
                <w:color w:val="auto"/>
              </w:rPr>
            </w:pPr>
            <w:r>
              <w:rPr>
                <w:rFonts w:ascii="Arial" w:cs="Arial" w:eastAsia="Arial" w:hAnsi="Arial"/>
                <w:sz w:val="18"/>
                <w:szCs w:val="18"/>
                <w:color w:val="auto"/>
              </w:rPr>
              <w:t>132,842</w:t>
            </w:r>
          </w:p>
        </w:tc>
        <w:tc>
          <w:tcPr>
            <w:tcW w:w="2160" w:type="dxa"/>
            <w:vAlign w:val="bottom"/>
          </w:tcPr>
          <w:p>
            <w:pPr>
              <w:jc w:val="right"/>
              <w:ind w:right="695"/>
              <w:spacing w:after="0"/>
              <w:rPr>
                <w:sz w:val="20"/>
                <w:szCs w:val="20"/>
                <w:color w:val="auto"/>
              </w:rPr>
            </w:pPr>
            <w:r>
              <w:rPr>
                <w:rFonts w:ascii="Arial" w:cs="Arial" w:eastAsia="Arial" w:hAnsi="Arial"/>
                <w:sz w:val="18"/>
                <w:szCs w:val="18"/>
                <w:color w:val="auto"/>
              </w:rPr>
              <w:t>103,383</w:t>
            </w:r>
          </w:p>
        </w:tc>
        <w:tc>
          <w:tcPr>
            <w:tcW w:w="1060" w:type="dxa"/>
            <w:vAlign w:val="bottom"/>
          </w:tcPr>
          <w:p>
            <w:pPr>
              <w:jc w:val="right"/>
              <w:ind w:right="115"/>
              <w:spacing w:after="0"/>
              <w:rPr>
                <w:sz w:val="20"/>
                <w:szCs w:val="20"/>
                <w:color w:val="auto"/>
              </w:rPr>
            </w:pPr>
            <w:r>
              <w:rPr>
                <w:rFonts w:ascii="Arial" w:cs="Arial" w:eastAsia="Arial" w:hAnsi="Arial"/>
                <w:sz w:val="18"/>
                <w:szCs w:val="18"/>
                <w:color w:val="auto"/>
              </w:rPr>
              <w:t>61,971</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18"/>
                <w:szCs w:val="18"/>
                <w:color w:val="auto"/>
                <w:vertAlign w:val="superscript"/>
              </w:rPr>
              <w:t>(2)</w:t>
            </w:r>
          </w:p>
        </w:tc>
        <w:tc>
          <w:tcPr>
            <w:tcW w:w="16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135,218</w:t>
            </w:r>
          </w:p>
        </w:tc>
        <w:tc>
          <w:tcPr>
            <w:tcW w:w="216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99,607</w:t>
            </w:r>
          </w:p>
        </w:tc>
        <w:tc>
          <w:tcPr>
            <w:tcW w:w="10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57,382</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___________________</w:t>
            </w:r>
          </w:p>
        </w:tc>
        <w:tc>
          <w:tcPr>
            <w:tcW w:w="1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5"/>
        </w:trPr>
        <w:tc>
          <w:tcPr>
            <w:tcW w:w="5760" w:type="dxa"/>
            <w:vAlign w:val="bottom"/>
          </w:tcPr>
          <w:p>
            <w:pPr>
              <w:ind w:left="20"/>
              <w:spacing w:after="0"/>
              <w:rPr>
                <w:sz w:val="20"/>
                <w:szCs w:val="20"/>
                <w:color w:val="auto"/>
              </w:rPr>
            </w:pPr>
            <w:r>
              <w:rPr>
                <w:rFonts w:ascii="Arial" w:cs="Arial" w:eastAsia="Arial" w:hAnsi="Arial"/>
                <w:sz w:val="14"/>
                <w:szCs w:val="14"/>
                <w:color w:val="auto"/>
              </w:rPr>
              <w:t>(1) Includes:</w:t>
            </w: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76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620" w:type="dxa"/>
            <w:vAlign w:val="bottom"/>
          </w:tcPr>
          <w:p>
            <w:pPr>
              <w:jc w:val="right"/>
              <w:ind w:right="175"/>
              <w:spacing w:after="0"/>
              <w:rPr>
                <w:sz w:val="20"/>
                <w:szCs w:val="20"/>
                <w:color w:val="auto"/>
              </w:rPr>
            </w:pPr>
            <w:r>
              <w:rPr>
                <w:rFonts w:ascii="Arial" w:cs="Arial" w:eastAsia="Arial" w:hAnsi="Arial"/>
                <w:sz w:val="14"/>
                <w:szCs w:val="14"/>
                <w:color w:val="auto"/>
              </w:rPr>
              <w:t>19,015</w:t>
            </w:r>
          </w:p>
        </w:tc>
        <w:tc>
          <w:tcPr>
            <w:tcW w:w="2160" w:type="dxa"/>
            <w:vAlign w:val="bottom"/>
          </w:tcPr>
          <w:p>
            <w:pPr>
              <w:jc w:val="right"/>
              <w:ind w:right="695"/>
              <w:spacing w:after="0"/>
              <w:rPr>
                <w:sz w:val="20"/>
                <w:szCs w:val="20"/>
                <w:color w:val="auto"/>
              </w:rPr>
            </w:pPr>
            <w:r>
              <w:rPr>
                <w:rFonts w:ascii="Arial" w:cs="Arial" w:eastAsia="Arial" w:hAnsi="Arial"/>
                <w:sz w:val="14"/>
                <w:szCs w:val="14"/>
                <w:color w:val="auto"/>
              </w:rPr>
              <w:t>9,315</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7,461</w:t>
            </w:r>
          </w:p>
        </w:tc>
      </w:tr>
      <w:tr>
        <w:trPr>
          <w:trHeight w:val="270"/>
        </w:trPr>
        <w:tc>
          <w:tcPr>
            <w:tcW w:w="5760" w:type="dxa"/>
            <w:vAlign w:val="bottom"/>
          </w:tcPr>
          <w:p>
            <w:pPr>
              <w:ind w:left="380"/>
              <w:spacing w:after="0"/>
              <w:rPr>
                <w:sz w:val="20"/>
                <w:szCs w:val="20"/>
                <w:color w:val="auto"/>
              </w:rPr>
            </w:pPr>
            <w:r>
              <w:rPr>
                <w:rFonts w:ascii="Arial" w:cs="Arial" w:eastAsia="Arial" w:hAnsi="Arial"/>
                <w:sz w:val="14"/>
                <w:szCs w:val="14"/>
                <w:color w:val="auto"/>
              </w:rPr>
              <w:t>Non-cash asset acquisition related write-offs:</w:t>
            </w:r>
          </w:p>
        </w:tc>
        <w:tc>
          <w:tcPr>
            <w:tcW w:w="1620" w:type="dxa"/>
            <w:vAlign w:val="bottom"/>
          </w:tcPr>
          <w:p>
            <w:pPr>
              <w:jc w:val="right"/>
              <w:ind w:right="175"/>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2,387</w:t>
            </w:r>
          </w:p>
        </w:tc>
      </w:tr>
      <w:tr>
        <w:trPr>
          <w:trHeight w:val="270"/>
        </w:trPr>
        <w:tc>
          <w:tcPr>
            <w:tcW w:w="5760" w:type="dxa"/>
            <w:vAlign w:val="bottom"/>
          </w:tcPr>
          <w:p>
            <w:pPr>
              <w:ind w:left="380"/>
              <w:spacing w:after="0"/>
              <w:rPr>
                <w:sz w:val="20"/>
                <w:szCs w:val="20"/>
                <w:color w:val="auto"/>
              </w:rPr>
            </w:pPr>
            <w:r>
              <w:rPr>
                <w:rFonts w:ascii="Arial" w:cs="Arial" w:eastAsia="Arial" w:hAnsi="Arial"/>
                <w:sz w:val="14"/>
                <w:szCs w:val="14"/>
                <w:color w:val="auto"/>
              </w:rPr>
              <w:t>Patent settlement income</w:t>
            </w:r>
          </w:p>
        </w:tc>
        <w:tc>
          <w:tcPr>
            <w:tcW w:w="1620" w:type="dxa"/>
            <w:vAlign w:val="bottom"/>
          </w:tcPr>
          <w:p>
            <w:pPr>
              <w:jc w:val="right"/>
              <w:ind w:right="175"/>
              <w:spacing w:after="0"/>
              <w:rPr>
                <w:sz w:val="20"/>
                <w:szCs w:val="20"/>
                <w:color w:val="auto"/>
              </w:rPr>
            </w:pPr>
            <w:r>
              <w:rPr>
                <w:rFonts w:ascii="Arial" w:cs="Arial" w:eastAsia="Arial" w:hAnsi="Arial"/>
                <w:sz w:val="14"/>
                <w:szCs w:val="14"/>
                <w:color w:val="auto"/>
              </w:rPr>
              <w:t>1,911</w:t>
            </w:r>
          </w:p>
        </w:tc>
        <w:tc>
          <w:tcPr>
            <w:tcW w:w="2160" w:type="dxa"/>
            <w:vAlign w:val="bottom"/>
          </w:tcPr>
          <w:p>
            <w:pPr>
              <w:jc w:val="right"/>
              <w:ind w:right="695"/>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5"/>
              <w:spacing w:after="0"/>
              <w:rPr>
                <w:sz w:val="20"/>
                <w:szCs w:val="20"/>
                <w:color w:val="auto"/>
              </w:rPr>
            </w:pPr>
            <w:r>
              <w:rPr>
                <w:rFonts w:ascii="Arial" w:cs="Arial" w:eastAsia="Arial" w:hAnsi="Arial"/>
                <w:sz w:val="14"/>
                <w:szCs w:val="14"/>
                <w:color w:val="auto"/>
              </w:rPr>
              <w:t>—</w:t>
            </w:r>
          </w:p>
        </w:tc>
      </w:tr>
      <w:tr>
        <w:trPr>
          <w:trHeight w:val="324"/>
        </w:trPr>
        <w:tc>
          <w:tcPr>
            <w:tcW w:w="5760" w:type="dxa"/>
            <w:vAlign w:val="bottom"/>
          </w:tcPr>
          <w:p>
            <w:pPr>
              <w:ind w:left="20"/>
              <w:spacing w:after="0"/>
              <w:rPr>
                <w:sz w:val="20"/>
                <w:szCs w:val="20"/>
                <w:color w:val="auto"/>
              </w:rPr>
            </w:pPr>
            <w:r>
              <w:rPr>
                <w:rFonts w:ascii="Arial" w:cs="Arial" w:eastAsia="Arial" w:hAnsi="Arial"/>
                <w:sz w:val="14"/>
                <w:szCs w:val="14"/>
                <w:color w:val="auto"/>
              </w:rPr>
              <w:t>(2) See below for definition of free cash flow.</w:t>
            </w: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The following table reflects the calculation of billings as discussed above.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720" w:type="dxa"/>
            <w:vAlign w:val="bottom"/>
          </w:tcPr>
          <w:p>
            <w:pPr>
              <w:jc w:val="right"/>
              <w:ind w:right="554"/>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700" w:type="dxa"/>
            <w:vAlign w:val="bottom"/>
          </w:tcPr>
          <w:p>
            <w:pPr>
              <w:jc w:val="right"/>
              <w:ind w:right="592"/>
              <w:spacing w:after="0"/>
              <w:rPr>
                <w:sz w:val="20"/>
                <w:szCs w:val="20"/>
                <w:color w:val="auto"/>
              </w:rPr>
            </w:pPr>
            <w:r>
              <w:rPr>
                <w:rFonts w:ascii="Arial" w:cs="Arial" w:eastAsia="Arial" w:hAnsi="Arial"/>
                <w:sz w:val="16"/>
                <w:szCs w:val="16"/>
                <w:b w:val="1"/>
                <w:bCs w:val="1"/>
                <w:color w:val="auto"/>
              </w:rPr>
              <w:t>2009</w:t>
            </w: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 amounts in 000's)</w:t>
            </w:r>
          </w:p>
        </w:tc>
        <w:tc>
          <w:tcPr>
            <w:tcW w:w="1700" w:type="dxa"/>
            <w:vAlign w:val="bottom"/>
          </w:tcPr>
          <w:p>
            <w:pPr>
              <w:spacing w:after="0"/>
              <w:rPr>
                <w:sz w:val="18"/>
                <w:szCs w:val="18"/>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433,576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324,696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252,115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Increase in deferred revenue</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42,202</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50,701</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30,313</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475,778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375,397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282,428</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We monitor cash provided by operating activities as a measure of our overall business performance.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is driven in large part by advance payments for both new and renewal contracts for subscription and support services. Monitoring cash provided by operating activities enables us to analyze our financial performance without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7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2009</w:t>
            </w: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 amounts in 000's)</w:t>
            </w:r>
          </w:p>
        </w:tc>
        <w:tc>
          <w:tcPr>
            <w:tcW w:w="1700" w:type="dxa"/>
            <w:vAlign w:val="bottom"/>
          </w:tcPr>
          <w:p>
            <w:pPr>
              <w:spacing w:after="0"/>
              <w:rPr>
                <w:sz w:val="18"/>
                <w:szCs w:val="18"/>
                <w:color w:val="auto"/>
              </w:rPr>
            </w:pPr>
          </w:p>
        </w:tc>
      </w:tr>
      <w:tr>
        <w:trPr>
          <w:trHeight w:val="276"/>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Cash Flow:</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132,842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103,383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61,971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129,218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99,607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57,382</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91"/>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(166,826)</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(283,710)</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13,757</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39,797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78,049</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To supplement our consolidated financial statements presented in accordance with U.S. GAAP, we consider certain financial measures that are not prepared in accordance with GAAP, including non-GAAP gross margin, non-GAAP operating income and non-GAAP operating margin, non-GAAP operating expenses, non-GAAP net income and non-GAAP free cash flow. These non-GAAP financial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charges including, but not limited to, stock-based compensation expense, asset acquisition related write-offs, and patent settlements. Stock-based compensation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our Results of Operations below.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Non-GAAP gross margin is gross profit as reported on our consolidated statements of operations, excluding the impact of stock-based compensation expense, which is a non-cash charge. Non-GAAP income from operations is operating income, as reported on our consolidated statements of operations, excluding the impact of stock-based compensation expense, asset acquisition related write-offs, and the income we received from a patent settlement. Non-GAAP operating margin is non-GAAP operating income divided by revenue. The following table reconciles GAAP gross profit, operating income, and operating margin to non-GAAP gross profit, non-GAAP operating income, and non-GAAP operating margin for fiscal 2011, 2010 and 2009.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Fiscal Year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w w:val="84"/>
              </w:rPr>
              <w:t>2010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4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w w:val="84"/>
              </w:rPr>
              <w:t>2009</w:t>
            </w: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 of</w:t>
            </w:r>
          </w:p>
        </w:tc>
      </w:tr>
      <w:tr>
        <w:trPr>
          <w:trHeight w:val="210"/>
        </w:trPr>
        <w:tc>
          <w:tcPr>
            <w:tcW w:w="40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Amount ($)</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Revenue</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Revenue</w:t>
            </w: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 amounts in 000's)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433,576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324,696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252,115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319,978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239,490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182,140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72.2</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Non-cash asset acquisition related write-offs</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profit and margin</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321,951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240,520</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185,287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GAAP operating income and margin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88,904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55,341</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25,334</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Total stock-based compensation</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asset acquisition related write-offs</w:t>
            </w:r>
          </w:p>
        </w:tc>
        <w:tc>
          <w:tcPr>
            <w:tcW w:w="14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Patent settlements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income and margin</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106,008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Non-GAAP operating expenses exclude the impact of stock-based compensation expense and the impact of the patent settlements. The following table reconciles GAAP operating expenses to non-GAAP operating expenses for fiscal 2011, 2010 and 2009.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2"/>
              </w:rPr>
              <w:t>Fiscal Year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2009</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Amount ($)</w:t>
            </w: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4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Amount ($)</w:t>
            </w: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Revenue</w:t>
            </w:r>
          </w:p>
        </w:tc>
        <w:tc>
          <w:tcPr>
            <w:tcW w:w="1440" w:type="dxa"/>
            <w:vAlign w:val="bottom"/>
            <w:gridSpan w:val="3"/>
          </w:tcPr>
          <w:p>
            <w:pPr>
              <w:jc w:val="right"/>
              <w:ind w:right="480"/>
              <w:spacing w:after="0"/>
              <w:rPr>
                <w:sz w:val="20"/>
                <w:szCs w:val="20"/>
                <w:color w:val="auto"/>
              </w:rPr>
            </w:pPr>
            <w:r>
              <w:rPr>
                <w:rFonts w:ascii="Arial" w:cs="Arial" w:eastAsia="Arial" w:hAnsi="Arial"/>
                <w:sz w:val="16"/>
                <w:szCs w:val="16"/>
                <w:b w:val="1"/>
                <w:bCs w:val="1"/>
                <w:color w:val="auto"/>
              </w:rPr>
              <w:t>Amount ($)</w:t>
            </w:r>
          </w:p>
        </w:tc>
        <w:tc>
          <w:tcPr>
            <w:tcW w:w="94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Revenue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 amounts in 000's)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Non-GAAP research and development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58,886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47,462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40,232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(9,325)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136,207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108,158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93,271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(3,026)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2"/>
              </w:rPr>
              <w:t>Non-GAAP general and administrative expenses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20,850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20,244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231,074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184,149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156,806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Patent settlements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215,943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175,864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Non-GAAP net income is net income, as reported in our consolidated statements of operations, excluding the impact of stock-based compensation expense, asset acquisition related write-offs, and patent settlements. The following table reconciles GAAP net income as reported on our consolidated statements of operations to non-GAAP net income for fiscal 2011, 2010 and 2009.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460"/>
              <w:spacing w:after="0"/>
              <w:rPr>
                <w:sz w:val="20"/>
                <w:szCs w:val="20"/>
                <w:color w:val="auto"/>
              </w:rPr>
            </w:pPr>
            <w:r>
              <w:rPr>
                <w:rFonts w:ascii="Arial" w:cs="Arial" w:eastAsia="Arial" w:hAnsi="Arial"/>
                <w:sz w:val="16"/>
                <w:szCs w:val="16"/>
                <w:b w:val="1"/>
                <w:bCs w:val="1"/>
                <w:color w:val="auto"/>
              </w:rPr>
              <w:t>Fiscal Year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18"/>
                <w:szCs w:val="18"/>
                <w:color w:val="auto"/>
              </w:rPr>
            </w:pPr>
          </w:p>
        </w:tc>
        <w:tc>
          <w:tcPr>
            <w:tcW w:w="282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7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3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360" w:type="dxa"/>
            <w:vAlign w:val="bottom"/>
            <w:gridSpan w:val="5"/>
          </w:tcPr>
          <w:p>
            <w:pPr>
              <w:jc w:val="right"/>
              <w:ind w:right="591"/>
              <w:spacing w:after="0"/>
              <w:rPr>
                <w:sz w:val="20"/>
                <w:szCs w:val="20"/>
                <w:color w:val="auto"/>
              </w:rPr>
            </w:pPr>
            <w:r>
              <w:rPr>
                <w:rFonts w:ascii="Arial" w:cs="Arial" w:eastAsia="Arial" w:hAnsi="Arial"/>
                <w:sz w:val="16"/>
                <w:szCs w:val="16"/>
                <w:b w:val="1"/>
                <w:bCs w:val="1"/>
                <w:color w:val="auto"/>
              </w:rPr>
              <w:t>($ and share amounts in 000's, except per share amounts)</w:t>
            </w:r>
          </w:p>
        </w:tc>
        <w:tc>
          <w:tcPr>
            <w:tcW w:w="0" w:type="dxa"/>
            <w:vAlign w:val="bottom"/>
          </w:tcPr>
          <w:p>
            <w:pPr>
              <w:spacing w:after="0"/>
              <w:rPr>
                <w:sz w:val="1"/>
                <w:szCs w:val="1"/>
                <w:color w:val="auto"/>
              </w:rPr>
            </w:pPr>
          </w:p>
        </w:tc>
      </w:tr>
      <w:tr>
        <w:trPr>
          <w:trHeight w:val="276"/>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income</w:t>
            </w:r>
          </w:p>
        </w:tc>
        <w:tc>
          <w:tcPr>
            <w:tcW w:w="282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62,492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41,245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60,179</w:t>
            </w:r>
          </w:p>
        </w:tc>
        <w:tc>
          <w:tcPr>
            <w:tcW w:w="0" w:type="dxa"/>
            <w:vAlign w:val="bottom"/>
          </w:tcPr>
          <w:p>
            <w:pPr>
              <w:spacing w:after="0"/>
              <w:rPr>
                <w:sz w:val="1"/>
                <w:szCs w:val="1"/>
                <w:color w:val="auto"/>
              </w:rPr>
            </w:pPr>
          </w:p>
        </w:tc>
      </w:tr>
      <w:tr>
        <w:trPr>
          <w:trHeight w:val="262"/>
        </w:trPr>
        <w:tc>
          <w:tcPr>
            <w:tcW w:w="4960" w:type="dxa"/>
            <w:vAlign w:val="bottom"/>
          </w:tcPr>
          <w:p>
            <w:pPr>
              <w:ind w:left="38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8"/>
                <w:szCs w:val="18"/>
                <w:color w:val="auto"/>
                <w:vertAlign w:val="superscript"/>
              </w:rPr>
              <w:t>(1)</w:t>
            </w:r>
          </w:p>
        </w:tc>
        <w:tc>
          <w:tcPr>
            <w:tcW w:w="2820" w:type="dxa"/>
            <w:vAlign w:val="bottom"/>
            <w:gridSpan w:val="2"/>
          </w:tcPr>
          <w:p>
            <w:pPr>
              <w:jc w:val="right"/>
              <w:ind w:right="31"/>
              <w:spacing w:after="0"/>
              <w:rPr>
                <w:sz w:val="20"/>
                <w:szCs w:val="20"/>
                <w:color w:val="auto"/>
              </w:rPr>
            </w:pPr>
            <w:r>
              <w:rPr>
                <w:rFonts w:ascii="Arial" w:cs="Arial" w:eastAsia="Arial" w:hAnsi="Arial"/>
                <w:sz w:val="18"/>
                <w:szCs w:val="18"/>
                <w:color w:val="auto"/>
              </w:rPr>
              <w:t>19,015</w:t>
            </w:r>
          </w:p>
        </w:tc>
        <w:tc>
          <w:tcPr>
            <w:tcW w:w="120" w:type="dxa"/>
            <w:vAlign w:val="bottom"/>
          </w:tcPr>
          <w:p>
            <w:pPr>
              <w:spacing w:after="0"/>
              <w:rPr>
                <w:sz w:val="22"/>
                <w:szCs w:val="22"/>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9,315</w:t>
            </w:r>
          </w:p>
        </w:tc>
        <w:tc>
          <w:tcPr>
            <w:tcW w:w="10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78"/>
        </w:trPr>
        <w:tc>
          <w:tcPr>
            <w:tcW w:w="4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Non-cash asset acquisition related write-offs </w:t>
            </w:r>
            <w:r>
              <w:rPr>
                <w:rFonts w:ascii="Arial" w:cs="Arial" w:eastAsia="Arial" w:hAnsi="Arial"/>
                <w:sz w:val="18"/>
                <w:szCs w:val="18"/>
                <w:color w:val="auto"/>
                <w:vertAlign w:val="superscript"/>
              </w:rPr>
              <w:t>(1)</w:t>
            </w:r>
          </w:p>
        </w:tc>
        <w:tc>
          <w:tcPr>
            <w:tcW w:w="1100" w:type="dxa"/>
            <w:vAlign w:val="bottom"/>
            <w:shd w:val="clear" w:color="auto" w:fill="CCEEFF"/>
          </w:tcPr>
          <w:p>
            <w:pPr>
              <w:spacing w:after="0"/>
              <w:rPr>
                <w:sz w:val="24"/>
                <w:szCs w:val="24"/>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62"/>
        </w:trPr>
        <w:tc>
          <w:tcPr>
            <w:tcW w:w="4960" w:type="dxa"/>
            <w:vAlign w:val="bottom"/>
          </w:tcPr>
          <w:p>
            <w:pPr>
              <w:ind w:left="380"/>
              <w:spacing w:after="0"/>
              <w:rPr>
                <w:sz w:val="20"/>
                <w:szCs w:val="20"/>
                <w:color w:val="auto"/>
              </w:rPr>
            </w:pPr>
            <w:r>
              <w:rPr>
                <w:rFonts w:ascii="Arial" w:cs="Arial" w:eastAsia="Arial" w:hAnsi="Arial"/>
                <w:sz w:val="18"/>
                <w:szCs w:val="18"/>
                <w:color w:val="auto"/>
              </w:rPr>
              <w:t xml:space="preserve">Patent settlements </w:t>
            </w:r>
            <w:r>
              <w:rPr>
                <w:rFonts w:ascii="Arial" w:cs="Arial" w:eastAsia="Arial" w:hAnsi="Arial"/>
                <w:sz w:val="18"/>
                <w:szCs w:val="18"/>
                <w:color w:val="auto"/>
                <w:vertAlign w:val="superscript"/>
              </w:rPr>
              <w:t>(2)</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2"/>
                <w:szCs w:val="22"/>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2"/>
        </w:trPr>
        <w:tc>
          <w:tcPr>
            <w:tcW w:w="4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color w:val="auto"/>
                <w:vertAlign w:val="superscript"/>
              </w:rPr>
              <w:t>(3)</w:t>
            </w:r>
          </w:p>
        </w:tc>
        <w:tc>
          <w:tcPr>
            <w:tcW w:w="1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29,581</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15,096</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43"/>
        </w:trPr>
        <w:tc>
          <w:tcPr>
            <w:tcW w:w="496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2820" w:type="dxa"/>
            <w:vAlign w:val="bottom"/>
            <w:gridSpan w:val="2"/>
          </w:tcPr>
          <w:p>
            <w:pPr>
              <w:jc w:val="right"/>
              <w:ind w:right="31"/>
              <w:spacing w:after="0"/>
              <w:rPr>
                <w:sz w:val="20"/>
                <w:szCs w:val="20"/>
                <w:color w:val="auto"/>
              </w:rPr>
            </w:pPr>
            <w:r>
              <w:rPr>
                <w:rFonts w:ascii="Arial" w:cs="Arial" w:eastAsia="Arial" w:hAnsi="Arial"/>
                <w:sz w:val="18"/>
                <w:szCs w:val="18"/>
                <w:color w:val="auto"/>
              </w:rPr>
              <w:t>109,177</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65,656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37,361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Tax effects related to non-GAAP adjustments </w:t>
            </w:r>
            <w:r>
              <w:rPr>
                <w:rFonts w:ascii="Arial" w:cs="Arial" w:eastAsia="Arial" w:hAnsi="Arial"/>
                <w:sz w:val="18"/>
                <w:szCs w:val="18"/>
                <w:color w:val="auto"/>
                <w:vertAlign w:val="superscript"/>
              </w:rPr>
              <w:t>(4)</w:t>
            </w:r>
          </w:p>
        </w:tc>
        <w:tc>
          <w:tcPr>
            <w:tcW w:w="1100" w:type="dxa"/>
            <w:vAlign w:val="bottom"/>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(36,028)</w:t>
            </w:r>
          </w:p>
        </w:tc>
        <w:tc>
          <w:tcPr>
            <w:tcW w:w="120" w:type="dxa"/>
            <w:vAlign w:val="bottom"/>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(21,010)</w:t>
            </w:r>
          </w:p>
        </w:tc>
        <w:tc>
          <w:tcPr>
            <w:tcW w:w="100" w:type="dxa"/>
            <w:vAlign w:val="bottom"/>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income</w:t>
            </w:r>
          </w:p>
        </w:tc>
        <w:tc>
          <w:tcPr>
            <w:tcW w:w="11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73,149</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44,646</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51"/>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 per share - diluted</w:t>
            </w:r>
          </w:p>
        </w:tc>
        <w:tc>
          <w:tcPr>
            <w:tcW w:w="1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tcPr>
          <w:p>
            <w:pPr>
              <w:ind w:left="180"/>
              <w:spacing w:after="0"/>
              <w:rPr>
                <w:sz w:val="20"/>
                <w:szCs w:val="20"/>
                <w:color w:val="auto"/>
              </w:rPr>
            </w:pPr>
            <w:r>
              <w:rPr>
                <w:rFonts w:ascii="Arial" w:cs="Arial" w:eastAsia="Arial" w:hAnsi="Arial"/>
                <w:sz w:val="18"/>
                <w:szCs w:val="18"/>
                <w:color w:val="auto"/>
              </w:rPr>
              <w:t>Shares used in per share calculation - diluted</w:t>
            </w:r>
          </w:p>
        </w:tc>
        <w:tc>
          <w:tcPr>
            <w:tcW w:w="2820" w:type="dxa"/>
            <w:vAlign w:val="bottom"/>
            <w:gridSpan w:val="2"/>
          </w:tcPr>
          <w:p>
            <w:pPr>
              <w:jc w:val="right"/>
              <w:ind w:right="31"/>
              <w:spacing w:after="0"/>
              <w:rPr>
                <w:sz w:val="20"/>
                <w:szCs w:val="20"/>
                <w:color w:val="auto"/>
              </w:rPr>
            </w:pPr>
            <w:r>
              <w:rPr>
                <w:rFonts w:ascii="Arial" w:cs="Arial" w:eastAsia="Arial" w:hAnsi="Arial"/>
                <w:sz w:val="18"/>
                <w:szCs w:val="18"/>
                <w:color w:val="auto"/>
              </w:rPr>
              <w:t>163,781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156,406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130,438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00" w:type="dxa"/>
            <w:vAlign w:val="bottom"/>
            <w:vMerge w:val="restart"/>
          </w:tcPr>
          <w:p>
            <w:pPr>
              <w:jc w:val="right"/>
              <w:ind w:right="171"/>
              <w:spacing w:after="0"/>
              <w:rPr>
                <w:sz w:val="20"/>
                <w:szCs w:val="20"/>
                <w:color w:val="auto"/>
              </w:rPr>
            </w:pPr>
            <w:r>
              <w:rPr>
                <w:rFonts w:ascii="Arial" w:cs="Arial" w:eastAsia="Arial" w:hAnsi="Arial"/>
                <w:sz w:val="18"/>
                <w:szCs w:val="18"/>
                <w:color w:val="auto"/>
              </w:rPr>
              <w:t>41</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Stock-based compensation expense and non-cash asset acquisition related write-offs are added back to GAAP net income to reconcile to non-GAAP income before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patent settlement income is removed from GAAP net income to reconcile to non-GAAP income before taxes.</w:t>
      </w:r>
    </w:p>
    <w:p>
      <w:pPr>
        <w:spacing w:after="0" w:line="1" w:lineRule="exact"/>
        <w:rPr>
          <w:rFonts w:ascii="Arial" w:cs="Arial" w:eastAsia="Arial" w:hAnsi="Arial"/>
          <w:sz w:val="14"/>
          <w:szCs w:val="14"/>
          <w:color w:val="auto"/>
        </w:rPr>
      </w:pPr>
    </w:p>
    <w:p>
      <w:pPr>
        <w:ind w:left="580" w:right="80" w:hanging="572"/>
        <w:spacing w:after="0" w:line="241"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Provision for income taxes is our GAAP provision that must be added to GAAP net income to reconcile to non-GAAP income before taxes. The provision for fiscal 2009 included a $37.8 million tax benefit from the reversal of our valuation allowance.</w:t>
      </w:r>
    </w:p>
    <w:p>
      <w:pPr>
        <w:ind w:left="580" w:right="160" w:hanging="572"/>
        <w:spacing w:after="0" w:line="255"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used a 33% effective tax rate in fiscal 2011 to calculate non-GAAP net income for fiscal 2011. The 33% and 32% effective tax rates for fiscal 2011 and fiscal 2010, respectively, both reflect the exclusion of GAAP based stock option benefits, as well as the reinstated Federal R&amp;D Credit.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derive our revenue from sales of our products and subscription and support services. In fiscal 2011, we recognized our revenue in accordance with the guidance in ASC 985-605-25 which is discussed in further detail in “—Critical Accounting Policies and Estimates—Revenue Recognition” below. According to ASC 985-605-25, revenue is recognized when persuasive evidence of an arrangement exists, delivery has occurred, the price is fixed or determinable and collection is probable.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117" w:lineRule="exact"/>
        <w:rPr>
          <w:sz w:val="20"/>
          <w:szCs w:val="20"/>
          <w:color w:val="auto"/>
        </w:rPr>
      </w:pPr>
    </w:p>
    <w:p>
      <w:pPr>
        <w:ind w:left="1300" w:right="80" w:hanging="644"/>
        <w:spacing w:after="0" w:line="287"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Product revenue</w:t>
      </w:r>
      <w:r>
        <w:rPr>
          <w:rFonts w:ascii="Arial" w:cs="Arial" w:eastAsia="Arial" w:hAnsi="Arial"/>
          <w:sz w:val="16"/>
          <w:szCs w:val="16"/>
          <w:color w:val="auto"/>
        </w:rPr>
        <w:t>. Product revenue is generated from sales of our appliances and software. The substantial majority of our product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generated by our FortiGate line of appliances, and we do not expect this to change in the foreseeable future. Product revenue also includes revenue derived from sales of FortiManager, FortiAnalyzer, FortiSwitch, FortiMail, FortiDB, FortiWeb, FortiAP, FortiScan, FortiCarrier, FortiBalancer, FortiCache, FortiBridge, and FortiAuthenticator appliances, and our FortiClient and virtual domain, or VDOM, software. Additionally, we generate revenue from the TalkSwitch line of telephony products. We recognize product revenue on sales to distributors that have no general right of return and direct sales to end-customers upon shipment, once all other revenue recognition criteria have been met. We also recognize revenue upon sell-through for distributor agreements that allow for rights of return. Such returns are estimated and recorded as a reduction to revenue. As a percentage of total revenue, we expect our product revenue may vary from quarter-to-quarter based on seasonal and cyclical factors discussed below under “—Quarterly Results of Operations” but generally may remain at relatively comparable levels or decline modestly over time, as services revenue becomes a larger portion of our business as our customers renew existing services contracts and we expand our customer base.</w:t>
      </w:r>
    </w:p>
    <w:p>
      <w:pPr>
        <w:spacing w:after="0" w:line="64" w:lineRule="exact"/>
        <w:rPr>
          <w:rFonts w:ascii="Arial" w:cs="Arial" w:eastAsia="Arial" w:hAnsi="Arial"/>
          <w:sz w:val="16"/>
          <w:szCs w:val="16"/>
          <w:color w:val="auto"/>
        </w:rPr>
      </w:pPr>
    </w:p>
    <w:p>
      <w:pPr>
        <w:ind w:left="1300" w:hanging="644"/>
        <w:spacing w:after="0" w:line="289"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Services revenue</w:t>
      </w:r>
      <w:r>
        <w:rPr>
          <w:rFonts w:ascii="Arial" w:cs="Arial" w:eastAsia="Arial" w:hAnsi="Arial"/>
          <w:sz w:val="16"/>
          <w:szCs w:val="16"/>
          <w:color w:val="auto"/>
        </w:rPr>
        <w:t>. Services revenue is generated primarily from FortiCare technical support services for software updates,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releases and patches, Internet access to technical content, telephone and Internet access to technical support personnel and hardware support, and FortiGuard security subscription services related to application control, antivirus, intrusion prevention, Web filtering, antispam and vulnerability management updates. We recognize revenue from subscription and support services over the service performance period. Our typical contractual support and subscription term is one year from the date of registration, although we do offer multi-year support and subscription contracts. We also generate a small portion of our revenue from professional services and training services, and we recognize this revenue as the services are provided. As a percentage of total revenue, we expect our services revenue to remain at comparable levels or increase as our customers renew existing service contracts and we expand our customer base. Our services revenue growth rate depends significantly on the growth of our customer base and the renewal of service contracts by our current customers.</w:t>
      </w:r>
    </w:p>
    <w:p>
      <w:pPr>
        <w:spacing w:after="0" w:line="58" w:lineRule="exact"/>
        <w:rPr>
          <w:rFonts w:ascii="Arial" w:cs="Arial" w:eastAsia="Arial" w:hAnsi="Arial"/>
          <w:sz w:val="16"/>
          <w:szCs w:val="16"/>
          <w:color w:val="auto"/>
        </w:rPr>
      </w:pPr>
    </w:p>
    <w:p>
      <w:pPr>
        <w:ind w:left="1300" w:right="120" w:hanging="644"/>
        <w:spacing w:after="0" w:line="25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Ratable and other revenue</w:t>
      </w:r>
      <w:r>
        <w:rPr>
          <w:rFonts w:ascii="Arial" w:cs="Arial" w:eastAsia="Arial" w:hAnsi="Arial"/>
          <w:sz w:val="18"/>
          <w:szCs w:val="18"/>
          <w:color w:val="auto"/>
        </w:rPr>
        <w:t>. Ratable and other revenue is generated from sales of our products and services in cases where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services being provided cannot be separated from the value of the entire sale. In these cases, the value of the entire sale is deferred and recognized ratably over the service performance period. See “—Critical Accounting Policies and Estimates—Revenue Recognition.” Ratable and other revenue was formerly referred to as Ratable product and services revenue. In 2011, this category includes a $2.6 million sale of previously-acquired patents during the third quarter of fiscal 2011. In fiscal 2011 and 2010, ratable and other revenue represented approximately 4% and 5% of total revenue, respectively. Over time we expect this category to continue to decline due to the new revenue recognition rules, which allow us to use best estimate of selling price ("BESP") in our allocation of arrangement consideration when we do not have VSOE.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right="60" w:hanging="644"/>
        <w:spacing w:after="0" w:line="25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Cost of product revenue</w:t>
      </w:r>
      <w:r>
        <w:rPr>
          <w:rFonts w:ascii="Arial" w:cs="Arial" w:eastAsia="Arial" w:hAnsi="Arial"/>
          <w:sz w:val="18"/>
          <w:szCs w:val="18"/>
          <w:color w:val="auto"/>
        </w:rPr>
        <w:t>. A substantial majority of the cost of product revenue consists of third-party manufacturing costs. Our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also includes product testing costs, write-offs for excess and obsolete inventory, royalty payments, amortization and any impairment of applicable acquired intangible assets, warranty costs, shipping and allocated facilities costs, stock-based compensation costs, and personnel costs associated with logistics and quality control. Personnel costs include cash-based personnel costs such as salaries, benefits and bonuses. Royalties reflect amounts related to the Trend Micro litigation, which was settled in December 2011, as discussed in “Item 3 - Legal Proceedings.”</w:t>
      </w:r>
    </w:p>
    <w:p>
      <w:pPr>
        <w:spacing w:after="0" w:line="193" w:lineRule="exact"/>
        <w:rPr>
          <w:rFonts w:ascii="Arial" w:cs="Arial" w:eastAsia="Arial" w:hAnsi="Arial"/>
          <w:sz w:val="18"/>
          <w:szCs w:val="18"/>
          <w:color w:val="auto"/>
        </w:rPr>
      </w:pPr>
    </w:p>
    <w:p>
      <w:pPr>
        <w:ind w:left="1300" w:right="380" w:hanging="644"/>
        <w:spacing w:after="0" w:line="27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Cost of services revenue</w:t>
      </w:r>
      <w:r>
        <w:rPr>
          <w:rFonts w:ascii="Arial" w:cs="Arial" w:eastAsia="Arial" w:hAnsi="Arial"/>
          <w:sz w:val="17"/>
          <w:szCs w:val="17"/>
          <w:color w:val="auto"/>
        </w:rPr>
        <w:t>. Cost of services revenue is primarily comprised of cash-based personnel costs associated with our FortiGuard</w:t>
      </w:r>
      <w:r>
        <w:rPr>
          <w:rFonts w:ascii="Arial" w:cs="Arial" w:eastAsia="Arial" w:hAnsi="Arial"/>
          <w:sz w:val="17"/>
          <w:szCs w:val="17"/>
          <w:i w:val="1"/>
          <w:iCs w:val="1"/>
          <w:color w:val="auto"/>
        </w:rPr>
        <w:t xml:space="preserve"> </w:t>
      </w:r>
      <w:r>
        <w:rPr>
          <w:rFonts w:ascii="Arial" w:cs="Arial" w:eastAsia="Arial" w:hAnsi="Arial"/>
          <w:sz w:val="17"/>
          <w:szCs w:val="17"/>
          <w:color w:val="auto"/>
        </w:rPr>
        <w:t>Labs team and our technical support, professional services and training teams, as well as depreciation, supplies, data center, data communications, facility-related costs and stock-based compensation costs. We expect our cost of services revenue will increase as we continue to invest in subscription and support services to meet the needs of our growing customer base.</w:t>
      </w:r>
    </w:p>
    <w:p>
      <w:pPr>
        <w:spacing w:after="0" w:line="171" w:lineRule="exact"/>
        <w:rPr>
          <w:rFonts w:ascii="Arial" w:cs="Arial" w:eastAsia="Arial" w:hAnsi="Arial"/>
          <w:sz w:val="17"/>
          <w:szCs w:val="17"/>
          <w:color w:val="auto"/>
        </w:rPr>
      </w:pPr>
    </w:p>
    <w:p>
      <w:pPr>
        <w:ind w:left="1300" w:right="2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Cost of ratable and other revenue</w:t>
      </w:r>
      <w:r>
        <w:rPr>
          <w:rFonts w:ascii="Arial" w:cs="Arial" w:eastAsia="Arial" w:hAnsi="Arial"/>
          <w:sz w:val="18"/>
          <w:szCs w:val="18"/>
          <w:color w:val="auto"/>
        </w:rPr>
        <w:t>. Cost of ratable and other revenue is comprised primarily of deferred product costs and services-related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70"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as a percentage of revenue, or gross margin,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any excess inventory write-offs, manufacturing costs, the mix of products sold and the mix of revenue between products and services. We believe our overall gross margin for the near term will remain at comparable levels compared to that achieved in fiscal 2011.</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Services revenue has historically increased as a percentage of total revenue since inception, and this trend has had a positive effect on our total gross margin given the higher services gross margins compared to product gross margins. We generally maintained consistent services gross margins in fiscal 2011 and fiscal 2010.</w:t>
      </w:r>
    </w:p>
    <w:p>
      <w:pPr>
        <w:spacing w:after="0" w:line="18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Our operating expenses consist of research and development, sales and marketing and general and administrative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are the most significant component of operating expenses and consist of cash-based personnel costs such as salaries, benefits, bonuses and, with regard to the sales and marketing expense, and sales commissions. They also include non-cash charges, specifically, stock-based compensation. We expect personnel costs to continue to increase in absolute dollars as we hire new employees.</w:t>
      </w:r>
    </w:p>
    <w:p>
      <w:pPr>
        <w:spacing w:after="0" w:line="171" w:lineRule="exact"/>
        <w:rPr>
          <w:sz w:val="20"/>
          <w:szCs w:val="20"/>
          <w:color w:val="auto"/>
        </w:rPr>
      </w:pPr>
    </w:p>
    <w:p>
      <w:pPr>
        <w:ind w:left="1300" w:hanging="644"/>
        <w:spacing w:after="0" w:line="272"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consists primarily of cash-based personnel costs. Additional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the United States. We expect our spending for research and development to increase in absolute dollars but remain comparable as a percentage of total revenue compared to fiscal 2011 results.</w:t>
      </w:r>
    </w:p>
    <w:p>
      <w:pPr>
        <w:spacing w:after="0" w:line="177" w:lineRule="exact"/>
        <w:rPr>
          <w:rFonts w:ascii="Arial" w:cs="Arial" w:eastAsia="Arial" w:hAnsi="Arial"/>
          <w:sz w:val="17"/>
          <w:szCs w:val="17"/>
          <w:color w:val="auto"/>
        </w:rPr>
      </w:pPr>
    </w:p>
    <w:p>
      <w:pPr>
        <w:ind w:left="1300" w:hanging="644"/>
        <w:spacing w:after="0" w:line="272"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is the largest component of our operating expenses and primarily consists of cash-based</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costs including salary, benefits and commissions. Additional sales and marketing expenses include stock-based compensation, promotional and other marketing expenses, travel, depreciation of capital equipment and facility-related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 Accordingly, we expect sales and marketing expenses to increase in absolute dollars and to continue to be our largest operating expense but remain comparable as a percentage of total revenue compared to fiscal 2011 results.</w:t>
      </w:r>
    </w:p>
    <w:p>
      <w:pPr>
        <w:spacing w:after="0" w:line="177" w:lineRule="exact"/>
        <w:rPr>
          <w:rFonts w:ascii="Arial" w:cs="Arial" w:eastAsia="Arial" w:hAnsi="Arial"/>
          <w:sz w:val="17"/>
          <w:szCs w:val="17"/>
          <w:color w:val="auto"/>
        </w:rPr>
      </w:pPr>
    </w:p>
    <w:p>
      <w:pPr>
        <w:ind w:left="1300" w:hanging="644"/>
        <w:spacing w:after="0" w:line="25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cash-based personnel costs as well as professional fees, stock-based compensation,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 We expect that general and administrative expense will increase in absolute dollars as we hire additional personnel, make improvements to our information technology infrastructure, and defend our intellectual property, but remain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comparable as a percentage of total revenue compared to fiscal 2011 results, barring unforeseen litigation.</w:t>
      </w:r>
    </w:p>
    <w:p>
      <w:pPr>
        <w:spacing w:after="0" w:line="23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income earned on our cash, cash equivalents and investments. We have historically invested our cash in</w:t>
      </w:r>
      <w:r>
        <w:rPr>
          <w:rFonts w:ascii="Arial" w:cs="Arial" w:eastAsia="Arial" w:hAnsi="Arial"/>
          <w:sz w:val="16"/>
          <w:szCs w:val="16"/>
          <w:i w:val="1"/>
          <w:iCs w:val="1"/>
          <w:color w:val="auto"/>
        </w:rPr>
        <w:t xml:space="preserve"> </w:t>
      </w:r>
      <w:r>
        <w:rPr>
          <w:rFonts w:ascii="Arial" w:cs="Arial" w:eastAsia="Arial" w:hAnsi="Arial"/>
          <w:sz w:val="16"/>
          <w:szCs w:val="16"/>
          <w:color w:val="auto"/>
        </w:rPr>
        <w:t>money market funds, commercial paper, corporate debt securities, municipal bonds, term deposits, and U.S. government and agency debt securities.</w:t>
      </w:r>
    </w:p>
    <w:p>
      <w:pPr>
        <w:spacing w:after="0" w:line="124" w:lineRule="exact"/>
        <w:rPr>
          <w:sz w:val="20"/>
          <w:szCs w:val="20"/>
          <w:color w:val="auto"/>
        </w:rPr>
      </w:pPr>
    </w:p>
    <w:p>
      <w:pPr>
        <w:ind w:right="120" w:firstLine="648"/>
        <w:spacing w:after="0" w:line="381" w:lineRule="auto"/>
        <w:rPr>
          <w:sz w:val="20"/>
          <w:szCs w:val="20"/>
          <w:color w:val="auto"/>
        </w:rPr>
      </w:pPr>
      <w:r>
        <w:rPr>
          <w:rFonts w:ascii="Arial" w:cs="Arial" w:eastAsia="Arial" w:hAnsi="Arial"/>
          <w:sz w:val="15"/>
          <w:szCs w:val="15"/>
          <w:i w:val="1"/>
          <w:iCs w:val="1"/>
          <w:color w:val="auto"/>
        </w:rPr>
        <w:t>Other income (expense), net</w:t>
      </w:r>
      <w:r>
        <w:rPr>
          <w:rFonts w:ascii="Arial" w:cs="Arial" w:eastAsia="Arial" w:hAnsi="Arial"/>
          <w:sz w:val="15"/>
          <w:szCs w:val="15"/>
          <w:color w:val="auto"/>
        </w:rPr>
        <w:t>. Other income (expense), net consists primarily of foreign exchange and related hedging gains and losses. Foreign</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gains and losses relate to foreign currency exchange re-measurement. The hedging gains and losses are related to our settled balance sheet hedges.</w:t>
      </w:r>
    </w:p>
    <w:p>
      <w:pPr>
        <w:spacing w:after="0" w:line="10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We are subject to tax in the United States as well as other tax jurisdictions or countries in which we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business. Earnings from our non-U.S. activities are subject to income taxes in the local country which are generally lower than U.S. tax rates, and may be subject to current U.S. income taxes. Our effective tax rates differ from the U.S. statutory rate primarily due to foreign income subject to different tax rates than the U.S., research and development tax credits, withholding taxes, nondeductible compensation and expenses and adjustments related to our intercompany transfer pricing.</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income tax provision for fiscal 2011 was comprised primarily of domestic income taxes, foreign income taxes and withholding taxes. The 2011 effective tax rate was impacted by the inclusion of stock option benefits, which affected the transfer pricing calculations between some of our foreign subsidiaries as well as the reinstated U.S. Federal Research and Development Tax Credit. The income tax provision for fiscal 2009 reflected a tax benefit related to the release of the valuation allowance, which resulted in the recognition of deferred tax assets. As a result of fully reversing our valuation allowance, we expect that our effective tax rate will approximate the U.S. federal statutory tax rates plus the impact of state taxes, research and development tax credits (when applicable), withholding tax, nondeductible compensation and adjustments related to intercompany transfer pricing.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U.S.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1 to the financial statements included in this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In October 2009, the FASB amended the ASC as summarized in Accounting Standards Update ("ASU") No. 2009-14, </w:t>
      </w:r>
      <w:r>
        <w:rPr>
          <w:rFonts w:ascii="Arial" w:cs="Arial" w:eastAsia="Arial" w:hAnsi="Arial"/>
          <w:sz w:val="16"/>
          <w:szCs w:val="16"/>
          <w:i w:val="1"/>
          <w:iCs w:val="1"/>
          <w:color w:val="auto"/>
        </w:rPr>
        <w:t>Software (Topic 985):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Arrangements That Include Software Elements</w:t>
      </w:r>
      <w:r>
        <w:rPr>
          <w:rFonts w:ascii="Arial" w:cs="Arial" w:eastAsia="Arial" w:hAnsi="Arial"/>
          <w:sz w:val="16"/>
          <w:szCs w:val="16"/>
          <w:color w:val="auto"/>
        </w:rPr>
        <w:t>, and ASU No. 2009-13,</w:t>
      </w:r>
      <w:r>
        <w:rPr>
          <w:rFonts w:ascii="Arial" w:cs="Arial" w:eastAsia="Arial" w:hAnsi="Arial"/>
          <w:sz w:val="16"/>
          <w:szCs w:val="16"/>
          <w:i w:val="1"/>
          <w:iCs w:val="1"/>
          <w:color w:val="auto"/>
        </w:rPr>
        <w:t xml:space="preserve"> Revenue Recognition (Topic 605): Multiple-Deliverable Revenue Arrangements</w:t>
      </w:r>
      <w:r>
        <w:rPr>
          <w:rFonts w:ascii="Arial" w:cs="Arial" w:eastAsia="Arial" w:hAnsi="Arial"/>
          <w:sz w:val="16"/>
          <w:szCs w:val="16"/>
          <w:color w:val="auto"/>
        </w:rPr>
        <w:t>. ASU 2009-14 amends industry specific revenue accounting guidance for software and software related transactions to exclude from its scope</w:t>
      </w:r>
      <w:r>
        <w:rPr>
          <w:rFonts w:ascii="Arial" w:cs="Arial" w:eastAsia="Arial" w:hAnsi="Arial"/>
          <w:sz w:val="16"/>
          <w:szCs w:val="16"/>
          <w:i w:val="1"/>
          <w:iCs w:val="1"/>
          <w:color w:val="auto"/>
        </w:rPr>
        <w:t xml:space="preserve"> </w:t>
      </w:r>
      <w:r>
        <w:rPr>
          <w:rFonts w:ascii="Arial" w:cs="Arial" w:eastAsia="Arial" w:hAnsi="Arial"/>
          <w:sz w:val="16"/>
          <w:szCs w:val="16"/>
          <w:color w:val="auto"/>
        </w:rPr>
        <w:t>tangible products containing software components and non-software components that function together to deliver the product's essential functionality. ASU 2009-13 amends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VSOE, third-party evidence ("TPE"), and the BESP. If VSOE is available, it would be used to determine the selling price of a deliverable. If VSOE is not available, the entity would determine whether TPE is available. If so, TPE must be used to determine the selling price. If TPE is not available, then the BESP would be used.</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the ASU 2009-13. When a sales arrangement contains multiple elements, such as hardware appliances, software, customer support services, and/or professional services, we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6"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services, we generally use VSOE as our selling price. When we are unable to establish a selling price using VSOE for our support and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 See “—Summary of Significant Accounting Policies in the notes to the consolidated financial statements” for a discussion of new revenue recognition standards that we adopted in fiscal 2011.</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can be recognized when all of the following criteria have been met:</w:t>
      </w:r>
    </w:p>
    <w:p>
      <w:pPr>
        <w:spacing w:after="0" w:line="117" w:lineRule="exact"/>
        <w:rPr>
          <w:sz w:val="20"/>
          <w:szCs w:val="20"/>
          <w:color w:val="auto"/>
        </w:rPr>
      </w:pPr>
    </w:p>
    <w:p>
      <w:pPr>
        <w:ind w:left="1300" w:right="3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6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w:t>
      </w:r>
      <w:r>
        <w:rPr>
          <w:rFonts w:ascii="Arial" w:cs="Arial" w:eastAsia="Arial" w:hAnsi="Arial"/>
          <w:sz w:val="18"/>
          <w:szCs w:val="18"/>
          <w:color w:val="auto"/>
        </w:rPr>
        <w:t>Delivery occurs when we fulfill an order and title and risk of loss has been transferred or upon delivery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The fee is fixed or determinable. </w:t>
      </w:r>
      <w:r>
        <w:rPr>
          <w:rFonts w:ascii="Arial" w:cs="Arial" w:eastAsia="Arial" w:hAnsi="Arial"/>
          <w:sz w:val="16"/>
          <w:szCs w:val="16"/>
          <w:color w:val="auto"/>
        </w:rPr>
        <w:t>We assess whether the fee is fixed or determinable based on the payment terms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38"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probable. </w:t>
      </w:r>
      <w:r>
        <w:rPr>
          <w:rFonts w:ascii="Arial" w:cs="Arial" w:eastAsia="Arial" w:hAnsi="Arial"/>
          <w:sz w:val="18"/>
          <w:szCs w:val="18"/>
          <w:color w:val="auto"/>
        </w:rPr>
        <w:t>We assess collectability based primarily on creditworthiness as determined by credit checks and analysis,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payment history. Payment terms generally range from 30 to 90 days from invoice date.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We also recognize revenue upon sell-through for distributor agreements that allow for rights of return. Such returns are estimated and recorded as a reduction to revenue.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3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offer certain sales incentives to channel partners. We reduce revenue for estimates of sales returns and allowances. Additionally, in limited circumstances, we allow our customers to return our products, subject to varying limitations, for a refund within a reasonably short period of time from the date of purchase. We estimate and record reserves for sales incentives and sales returns based on historical experience.</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December 31, 2011, our allowance for sales returns was $2.4 million compared to $2.0 million at December 31, 2010. If our allowance for sales returns had increased by 10.0%, or $0.2 million, our net revenue would have decreased by $0.2 million in fiscal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 xml:space="preserve">Employees. </w:t>
      </w:r>
      <w:r>
        <w:rPr>
          <w:rFonts w:ascii="Arial" w:cs="Arial" w:eastAsia="Arial" w:hAnsi="Arial"/>
          <w:sz w:val="17"/>
          <w:szCs w:val="17"/>
          <w:color w:val="auto"/>
        </w:rPr>
        <w:t>We have accounted for stock-based awards to employees in accordance with ASC 718, which requires compensation expense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transactions, including employee stock options, to be measured and recognized in the financial statements based on a determination of the fair value of the stock options. The grant date fair value is determined using the Black-Scholes-Merton (“Black-Scholes”) pricing model. For all employee stock options, we recognize expense over the requisite service period using the straight-line method. Our option pricing model requires the input of highly subjective assumptions, including the expected stock price volatility, expected term, and forfeiture rate. Any changes in these highly subjective assumptions could significantly impact stock-based compensation expense.</w:t>
      </w:r>
    </w:p>
    <w:p>
      <w:pPr>
        <w:spacing w:after="0" w:line="178"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We apply ASC 718 to stock purchase rights, which requires compensation expense related to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including stock purchase rights under our employee stock purchase plan ("ESPP"), to be measured and recognized in the financial statements based on fair value. The grant date fair value is determined using the Black-Scholes-Merton (“Black-Scholes”) pricing model. Our ESPP provides for consecutive six-month offering periods, with the first offering period having commenced on August 15, 2011 and ended on February 14, 2012.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Inventory is recorded at the lower of cost (using the first-in, first-out method) or market, after we give appropriate consideration to 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Warranty Liabilities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generally provide a one-year warranty on hardware products and a 90-day warranty on software. A provision for estimated future costs related to warranty activities is charged to cost of product revenue based upon historical product failure rates and historical costs incurred in correcting product failures. If we experience an increase in warranty claims compared with our historical experience, or if the cost of servicing warranty claims is greater than expected, our gross margin could be adversely affected.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account for uncertain tax positions in accordance with ASC 740-10, which defines the confidence level that a tax position must meet in order to be recognized in the financial statements. ASC 740-10 requires that the tax effects of a position be recognized only if it is “more likely than not” to be sustained based solely on its technical merits as of the reporting date. We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consider many factors when evaluating and estimating our tax positions and tax benefits, which may require periodic adjustments and which may not accurately anticipate actual outcomes.</w:t>
      </w:r>
    </w:p>
    <w:p>
      <w:pPr>
        <w:spacing w:after="0" w:line="17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fourth quarter of fiscal 2009 we concluded that it was more likely than not that we would be able to realize the benefit of our deferred tax assets in the future. We based this conclusion on historical and projected operating performance, as well as our expectation that our operations will generate sufficient taxable income in future periods to realize the tax benefits associated with the deferred tax assets. As a result, we released all of the valuation allowance on our net deferred tax assets. We will continue to assess the need for a valuation allowance on the deferred tax asset by evaluating both positive and negative evidence that may exist. Any adjustment to the net deferred tax asset valuation allowance would be recorded in the income statement for the period that the adjustment is determined to be required.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Should the actual amounts differ from our estimates, the amount of our tax expense and liabilities could be materially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080" w:type="dxa"/>
            <w:vAlign w:val="bottom"/>
            <w:gridSpan w:val="2"/>
          </w:tcPr>
          <w:p>
            <w:pPr>
              <w:ind w:left="6760"/>
              <w:spacing w:after="0"/>
              <w:rPr>
                <w:sz w:val="20"/>
                <w:szCs w:val="20"/>
                <w:color w:val="auto"/>
              </w:rPr>
            </w:pPr>
            <w:r>
              <w:rPr>
                <w:rFonts w:ascii="Arial" w:cs="Arial" w:eastAsia="Arial" w:hAnsi="Arial"/>
                <w:sz w:val="16"/>
                <w:szCs w:val="16"/>
                <w:b w:val="1"/>
                <w:bCs w:val="1"/>
                <w:color w:val="auto"/>
                <w:w w:val="84"/>
              </w:rPr>
              <w:t>2011</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2"/>
                <w:szCs w:val="22"/>
                <w:color w:val="auto"/>
              </w:rPr>
            </w:pPr>
          </w:p>
        </w:tc>
        <w:tc>
          <w:tcPr>
            <w:tcW w:w="1700" w:type="dxa"/>
            <w:vAlign w:val="bottom"/>
          </w:tcPr>
          <w:p>
            <w:pPr>
              <w:jc w:val="right"/>
              <w:ind w:right="530"/>
              <w:spacing w:after="0"/>
              <w:rPr>
                <w:sz w:val="20"/>
                <w:szCs w:val="20"/>
                <w:color w:val="auto"/>
              </w:rPr>
            </w:pPr>
            <w:r>
              <w:rPr>
                <w:rFonts w:ascii="Arial" w:cs="Arial" w:eastAsia="Arial" w:hAnsi="Arial"/>
                <w:sz w:val="16"/>
                <w:szCs w:val="16"/>
                <w:b w:val="1"/>
                <w:bCs w:val="1"/>
                <w:color w:val="auto"/>
              </w:rPr>
              <w:t xml:space="preserve">2009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 amounts in 000's)</w:t>
            </w: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197,408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135,140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98,686</w:t>
            </w:r>
          </w:p>
        </w:tc>
        <w:tc>
          <w:tcPr>
            <w:tcW w:w="0" w:type="dxa"/>
            <w:vAlign w:val="bottom"/>
          </w:tcPr>
          <w:p>
            <w:pPr>
              <w:spacing w:after="0"/>
              <w:rPr>
                <w:sz w:val="1"/>
                <w:szCs w:val="1"/>
                <w:color w:val="auto"/>
              </w:rPr>
            </w:pPr>
          </w:p>
        </w:tc>
      </w:tr>
      <w:tr>
        <w:trPr>
          <w:trHeight w:val="243"/>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220,268</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172,046</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139,172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15,900</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433,576</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324,696</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252,115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73,201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51,944</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42,166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35,486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26,967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22,265</w:t>
            </w:r>
          </w:p>
        </w:tc>
        <w:tc>
          <w:tcPr>
            <w:tcW w:w="0" w:type="dxa"/>
            <w:vAlign w:val="bottom"/>
          </w:tcPr>
          <w:p>
            <w:pPr>
              <w:spacing w:after="0"/>
              <w:rPr>
                <w:sz w:val="1"/>
                <w:szCs w:val="1"/>
                <w:color w:val="auto"/>
              </w:rPr>
            </w:pPr>
          </w:p>
        </w:tc>
      </w:tr>
      <w:tr>
        <w:trPr>
          <w:trHeight w:val="243"/>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113,598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85,206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124,207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56,520</w:t>
            </w:r>
          </w:p>
        </w:tc>
        <w:tc>
          <w:tcPr>
            <w:tcW w:w="0" w:type="dxa"/>
            <w:vAlign w:val="bottom"/>
          </w:tcPr>
          <w:p>
            <w:pPr>
              <w:spacing w:after="0"/>
              <w:rPr>
                <w:sz w:val="1"/>
                <w:szCs w:val="1"/>
                <w:color w:val="auto"/>
              </w:rPr>
            </w:pPr>
          </w:p>
        </w:tc>
      </w:tr>
      <w:tr>
        <w:trPr>
          <w:trHeight w:val="243"/>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184,782</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145,079</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116,907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319,978</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239,490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182,140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63,577</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49,801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42,195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145,532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111,968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96,291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50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21,965</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22,380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231,074</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184,149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156,806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88,904</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55,341</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70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92,073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56,341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29,581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15,096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62,492</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41,245</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60,179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60" w:right="260" w:hanging="652"/>
        <w:spacing w:after="0" w:line="28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Commencing in the third quarter of fiscal 2009, we began operating and reporting financial results on a calendar quarter and year basis. This change in period end had the effect of increasing the number of days in fiscal 2009 by four days.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180" w:type="dxa"/>
            <w:vAlign w:val="bottom"/>
            <w:gridSpan w:val="2"/>
          </w:tcPr>
          <w:p>
            <w:pPr>
              <w:ind w:left="6760"/>
              <w:spacing w:after="0"/>
              <w:rPr>
                <w:sz w:val="20"/>
                <w:szCs w:val="20"/>
                <w:color w:val="auto"/>
              </w:rPr>
            </w:pPr>
            <w:r>
              <w:rPr>
                <w:rFonts w:ascii="Arial" w:cs="Arial" w:eastAsia="Arial" w:hAnsi="Arial"/>
                <w:sz w:val="16"/>
                <w:szCs w:val="16"/>
                <w:b w:val="1"/>
                <w:bCs w:val="1"/>
                <w:color w:val="auto"/>
              </w:rPr>
              <w:t>2011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2009</w:t>
            </w: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(as % of revenue)</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39.1</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r>
      <w:tr>
        <w:trPr>
          <w:trHeight w:val="243"/>
        </w:trPr>
        <w:tc>
          <w:tcPr>
            <w:tcW w:w="71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Total cost of revenue</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27.8</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7180" w:type="dxa"/>
            <w:vAlign w:val="bottom"/>
            <w:gridSpan w:val="2"/>
          </w:tcPr>
          <w:p>
            <w:pPr>
              <w:ind w:left="50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38.2</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62.2</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71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Years 2011 and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gridSpan w:val="3"/>
          </w:tcPr>
          <w:p>
            <w:pPr>
              <w:jc w:val="right"/>
              <w:ind w:right="1056"/>
              <w:spacing w:after="0"/>
              <w:rPr>
                <w:sz w:val="20"/>
                <w:szCs w:val="20"/>
                <w:color w:val="auto"/>
              </w:rPr>
            </w:pPr>
            <w:r>
              <w:rPr>
                <w:rFonts w:ascii="Arial" w:cs="Arial" w:eastAsia="Arial" w:hAnsi="Arial"/>
                <w:sz w:val="16"/>
                <w:szCs w:val="16"/>
                <w:b w:val="1"/>
                <w:bCs w:val="1"/>
                <w:color w:val="auto"/>
                <w:w w:val="84"/>
              </w:rPr>
              <w:t>2010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24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Arial" w:cs="Arial" w:eastAsia="Arial" w:hAnsi="Arial"/>
                <w:sz w:val="16"/>
                <w:szCs w:val="16"/>
                <w:b w:val="1"/>
                <w:bCs w:val="1"/>
                <w:color w:val="auto"/>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197,408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135,140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62,268</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220,268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172,046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48,222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15,900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17,510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(1,610)</w:t>
            </w:r>
          </w:p>
        </w:tc>
        <w:tc>
          <w:tcPr>
            <w:tcW w:w="13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433,576</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324,696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108,880</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172,494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123,961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48,533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152,385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121,604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30,781</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108,697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29,566</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433,576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324,696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108,880</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Total revenue increased $108.9 million, or 33.5%, in fiscal 2011 compared to fiscal 2010. The adoption of the new revenue recognition rules, described in Note 1of our Consolidated Financial Statements in Part II, Item 8 of this Annual Report on Form 10-K, contributed $20.0 million of the increase, primarily with respect to product revenue. The Americas and APAC regions contributed the largest portion of our revenue growth on a percentage basis. Product revenue increased $62.3 million, or 46.1%, compared to fiscal 2010. The increase in product revenue was primarily driven by greater sales volume and higher average sales prices in our FortiGate product family due to increased demand for our high-end products from enterprise and service provider customers. The impact of adopting the new revenue recognition rules referenced above also contributed to the increase in product revenue. Services revenue increased $48.2 million, or 28.0%, in fiscal 2011 compared to fiscal 2010 due to the recognition of revenue from our increased focus on contract renewals and our growing deferred revenue balance consisting of subscription and support contracts sold to a larger customer base. Ratable and other revenue was $4.2 million lower due to the impact of no longer deferring ratable revenue as a result of the above-mentioned adoption of new revenue recognition rules,</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offset by a $2.6 million sale of previously-acquired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8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1"/>
        </w:trPr>
        <w:tc>
          <w:tcPr>
            <w:tcW w:w="4880" w:type="dxa"/>
            <w:vAlign w:val="bottom"/>
            <w:gridSpan w:val="2"/>
          </w:tcPr>
          <w:p>
            <w:pPr>
              <w:ind w:left="4540"/>
              <w:spacing w:after="0"/>
              <w:rPr>
                <w:sz w:val="20"/>
                <w:szCs w:val="20"/>
                <w:color w:val="auto"/>
              </w:rPr>
            </w:pPr>
            <w:r>
              <w:rPr>
                <w:rFonts w:ascii="Arial" w:cs="Arial" w:eastAsia="Arial" w:hAnsi="Arial"/>
                <w:sz w:val="16"/>
                <w:szCs w:val="16"/>
                <w:b w:val="1"/>
                <w:bCs w:val="1"/>
                <w:color w:val="auto"/>
                <w:w w:val="89"/>
              </w:rPr>
              <w:t>2011</w:t>
            </w:r>
          </w:p>
        </w:tc>
        <w:tc>
          <w:tcPr>
            <w:tcW w:w="19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491"/>
              <w:spacing w:after="0"/>
              <w:rPr>
                <w:sz w:val="20"/>
                <w:szCs w:val="20"/>
                <w:color w:val="auto"/>
              </w:rPr>
            </w:pPr>
            <w:r>
              <w:rPr>
                <w:rFonts w:ascii="Arial" w:cs="Arial" w:eastAsia="Arial" w:hAnsi="Arial"/>
                <w:sz w:val="16"/>
                <w:szCs w:val="16"/>
                <w:b w:val="1"/>
                <w:bCs w:val="1"/>
                <w:color w:val="auto"/>
              </w:rPr>
              <w:t>$ Change</w:t>
            </w: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40" w:type="dxa"/>
            <w:vAlign w:val="bottom"/>
            <w:gridSpan w:val="3"/>
          </w:tcPr>
          <w:p>
            <w:pPr>
              <w:jc w:val="right"/>
              <w:ind w:right="1111"/>
              <w:spacing w:after="0"/>
              <w:rPr>
                <w:sz w:val="20"/>
                <w:szCs w:val="20"/>
                <w:color w:val="auto"/>
              </w:rPr>
            </w:pPr>
            <w:r>
              <w:rPr>
                <w:rFonts w:ascii="Arial" w:cs="Arial" w:eastAsia="Arial" w:hAnsi="Arial"/>
                <w:sz w:val="16"/>
                <w:szCs w:val="16"/>
                <w:b w:val="1"/>
                <w:bCs w:val="1"/>
                <w:color w:val="auto"/>
                <w:w w:val="92"/>
              </w:rPr>
              <w:t>($ amounts in 000's)</w:t>
            </w: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73,201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51,944</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21,257</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40.9</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35,486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26,967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8,519</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(1,384)</w:t>
            </w:r>
          </w:p>
        </w:tc>
        <w:tc>
          <w:tcPr>
            <w:tcW w:w="19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113,598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85,206</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28,392</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Total gross margin remained consistent in fiscal 2011 compared to fiscal 2010. Product gross margin increased 1.3 percentage points in fiscal 2011 compared to fiscal 2010 primarily due to a greater mix of our high-end products. From time to time, we have experienced sales of previously reserved inventory. During fiscal 2011, we experienced a positive impact of 0.4 percentage points in our product gross margin due to the sale of fully reserved inventory compared to a positive impact of 0.7 percentage points in fiscal 2010. Services gross margin was relatively flat as we continued to make investments in our support, professional services and FortiGuard global security organizations at a rate slightly greater than the increase in revenue in order to improve service capabilities. Services cost increased by $8.5 million primarily due to a $6.1 million increase in cash-based personnel costs related to headcount increases, a $0.9 million increase in stock-based compensation, a $0.8 million increase in warranty and other expenses and a $0.7 million increase in professional services costs. Ratable and other revenue gross margin increased 5.1 percentage points as a result of a $2.6 million sale of previously-acquired patents during fiscal 2011, which had a direct positive impact to gross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753"/>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w w:val="84"/>
              </w:rPr>
              <w:t>2010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240" w:type="dxa"/>
            <w:vAlign w:val="bottom"/>
          </w:tcPr>
          <w:p>
            <w:pPr>
              <w:jc w:val="right"/>
              <w:ind w:right="19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Arial" w:cs="Arial" w:eastAsia="Arial" w:hAnsi="Arial"/>
                <w:sz w:val="16"/>
                <w:szCs w:val="16"/>
                <w:b w:val="1"/>
                <w:bCs w:val="1"/>
                <w:color w:val="auto"/>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63,577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49,801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13,776</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27.7</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145,532</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111,968</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33,564</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21,965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22,380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46,925</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Research and development expense increased $13.8 million, or 27.7%, in fiscal 2011 compared to fiscal 2010 primarily due to an increase in cash-based personnel costs and stock-based compensation expense. Cash-based personnel costs increased by $9.7 million as a result of increased headcount to support continued enhancements of our existing products. Stock-based compensation expense increased by $2.4 million primarily due to the increase in headcount and stock price, and the introduction of the ESPP in fiscal 2011. In addition, we incurred increases in product development expenses, such as non-recurring engineering (NRE), testing and certifications of $0.8 million, depreciation expense of $0.6 million, occupancy-related costs of $0.2 million and other expenses of $0.1 million. The increase in the Canadian dollar exchange rate against the US dollar also significantly contributed to the increase in research and development expenses by $2.0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Sales and marketing expense increased $33.6 million, or 30.0%, in fiscal 2011 compared to fiscal 2010 as we continued to increase our sales headcount in order to expand our global footprint. Cash-based personnel costs increased by $21.3 million primarily as a result of increased headcount. Stock-based compensation expense increased by $5.5 million primarily due to the increase in headcount and stock price, and the introduction of the ESPP in fiscal 2011. In addition, we incurred increases in marketing-related expenses of $2.9 million and travel of $1.5 million to support our overall revenue growth of 33.5%. We also had a combined $1.6 million increase in depreciation and other expenses and a $0.8 million increase in occupancy-related costs. As a percentage of revenue, sales and marketing expenses decreased 0.9 percentage points due to the leverage we are achieving from the investment in our sales force in fiscal 2011, as evidenced by revenue growth of 33.5% exceeding sales and marketing expenses growth of 30.0%.</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In fiscal 2011, general and administrative expense decreased $0.4 million, or 1.9%, compared to fiscal 2010. Cash-based personnel costs increased $1.5 million, stock-based compensation expense increased $0.9 million and occupancy-related costs and other expenses increased a combined $0.1 million, partially offset by $2.0 million in royalties received from a patent settlement and a $1.0 million decrease in legal expenses compared to fiscal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49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2011</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720" w:type="dxa"/>
            <w:vAlign w:val="bottom"/>
          </w:tcPr>
          <w:p>
            <w:pPr>
              <w:spacing w:after="0"/>
              <w:rPr>
                <w:sz w:val="20"/>
                <w:szCs w:val="20"/>
                <w:color w:val="auto"/>
              </w:rPr>
            </w:pPr>
          </w:p>
        </w:tc>
        <w:tc>
          <w:tcPr>
            <w:tcW w:w="1380" w:type="dxa"/>
            <w:vAlign w:val="bottom"/>
          </w:tcPr>
          <w:p>
            <w:pPr>
              <w:ind w:left="700"/>
              <w:spacing w:after="0"/>
              <w:rPr>
                <w:sz w:val="20"/>
                <w:szCs w:val="20"/>
                <w:color w:val="auto"/>
              </w:rPr>
            </w:pPr>
            <w:r>
              <w:rPr>
                <w:rFonts w:ascii="Arial" w:cs="Arial" w:eastAsia="Arial" w:hAnsi="Arial"/>
                <w:sz w:val="16"/>
                <w:szCs w:val="16"/>
                <w:b w:val="1"/>
                <w:bCs w:val="1"/>
                <w:color w:val="auto"/>
                <w:w w:val="91"/>
              </w:rPr>
              <w:t>$ Change</w:t>
            </w:r>
          </w:p>
        </w:tc>
        <w:tc>
          <w:tcPr>
            <w:tcW w:w="820" w:type="dxa"/>
            <w:vAlign w:val="bottom"/>
          </w:tcPr>
          <w:p>
            <w:pPr>
              <w:spacing w:after="0"/>
              <w:rPr>
                <w:sz w:val="20"/>
                <w:szCs w:val="20"/>
                <w:color w:val="auto"/>
              </w:rPr>
            </w:pPr>
          </w:p>
        </w:tc>
        <w:tc>
          <w:tcPr>
            <w:tcW w:w="164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00" w:type="dxa"/>
            <w:vAlign w:val="bottom"/>
            <w:gridSpan w:val="2"/>
          </w:tcPr>
          <w:p>
            <w:pPr>
              <w:ind w:left="60"/>
              <w:spacing w:after="0"/>
              <w:rPr>
                <w:sz w:val="20"/>
                <w:szCs w:val="20"/>
                <w:color w:val="auto"/>
              </w:rPr>
            </w:pPr>
            <w:r>
              <w:rPr>
                <w:rFonts w:ascii="Arial" w:cs="Arial" w:eastAsia="Arial" w:hAnsi="Arial"/>
                <w:sz w:val="16"/>
                <w:szCs w:val="16"/>
                <w:b w:val="1"/>
                <w:bCs w:val="1"/>
                <w:color w:val="auto"/>
              </w:rPr>
              <w:t>($ amounts in 000's)</w:t>
            </w: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90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3,523</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1,815</w:t>
            </w:r>
          </w:p>
        </w:tc>
        <w:tc>
          <w:tcPr>
            <w:tcW w:w="1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3"/>
              </w:rPr>
              <w:t>1,708</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94.1</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Other expense, net</w:t>
            </w:r>
          </w:p>
        </w:tc>
        <w:tc>
          <w:tcPr>
            <w:tcW w:w="1900" w:type="dxa"/>
            <w:vAlign w:val="bottom"/>
          </w:tcPr>
          <w:p>
            <w:pPr>
              <w:jc w:val="right"/>
              <w:ind w:right="1214"/>
              <w:spacing w:after="0"/>
              <w:rPr>
                <w:sz w:val="20"/>
                <w:szCs w:val="20"/>
                <w:color w:val="auto"/>
              </w:rPr>
            </w:pPr>
            <w:r>
              <w:rPr>
                <w:rFonts w:ascii="Arial" w:cs="Arial" w:eastAsia="Arial" w:hAnsi="Arial"/>
                <w:sz w:val="18"/>
                <w:szCs w:val="18"/>
                <w:color w:val="auto"/>
              </w:rPr>
              <w:t>(354)</w:t>
            </w:r>
          </w:p>
        </w:tc>
        <w:tc>
          <w:tcPr>
            <w:tcW w:w="720" w:type="dxa"/>
            <w:vAlign w:val="bottom"/>
          </w:tcPr>
          <w:p>
            <w:pPr>
              <w:jc w:val="right"/>
              <w:spacing w:after="0"/>
              <w:rPr>
                <w:sz w:val="20"/>
                <w:szCs w:val="20"/>
                <w:color w:val="auto"/>
              </w:rPr>
            </w:pPr>
            <w:r>
              <w:rPr>
                <w:rFonts w:ascii="Arial" w:cs="Arial" w:eastAsia="Arial" w:hAnsi="Arial"/>
                <w:sz w:val="18"/>
                <w:szCs w:val="18"/>
                <w:color w:val="auto"/>
              </w:rPr>
              <w:t>(815)</w:t>
            </w:r>
          </w:p>
        </w:tc>
        <w:tc>
          <w:tcPr>
            <w:tcW w:w="13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461</w:t>
            </w:r>
          </w:p>
        </w:tc>
        <w:tc>
          <w:tcPr>
            <w:tcW w:w="1640" w:type="dxa"/>
            <w:vAlign w:val="bottom"/>
          </w:tcPr>
          <w:p>
            <w:pPr>
              <w:jc w:val="right"/>
              <w:spacing w:after="0"/>
              <w:rPr>
                <w:sz w:val="20"/>
                <w:szCs w:val="20"/>
                <w:color w:val="auto"/>
              </w:rPr>
            </w:pPr>
            <w:r>
              <w:rPr>
                <w:rFonts w:ascii="Arial" w:cs="Arial" w:eastAsia="Arial" w:hAnsi="Arial"/>
                <w:sz w:val="18"/>
                <w:szCs w:val="18"/>
                <w:color w:val="auto"/>
              </w:rPr>
              <w:t>(56.6)</w:t>
            </w:r>
          </w:p>
        </w:tc>
      </w:tr>
    </w:tbl>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$1.7 million increase in interest income in fiscal 2011 compared to fiscal 2010 was primarily due to interest earned on our higher balances of cash, cash equivalents and investments. The change in other income (expense), net for fiscal 2011 when compared to fiscal 2010 was the result of lower foreign exchange losses in fiscal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4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2011</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720" w:type="dxa"/>
            <w:vAlign w:val="bottom"/>
          </w:tcPr>
          <w:p>
            <w:pPr>
              <w:spacing w:after="0"/>
              <w:rPr>
                <w:sz w:val="20"/>
                <w:szCs w:val="20"/>
                <w:color w:val="auto"/>
              </w:rPr>
            </w:pPr>
          </w:p>
        </w:tc>
        <w:tc>
          <w:tcPr>
            <w:tcW w:w="2180" w:type="dxa"/>
            <w:vAlign w:val="bottom"/>
          </w:tcPr>
          <w:p>
            <w:pPr>
              <w:jc w:val="right"/>
              <w:ind w:right="753"/>
              <w:spacing w:after="0"/>
              <w:rPr>
                <w:sz w:val="20"/>
                <w:szCs w:val="20"/>
                <w:color w:val="auto"/>
              </w:rPr>
            </w:pPr>
            <w:r>
              <w:rPr>
                <w:rFonts w:ascii="Arial" w:cs="Arial" w:eastAsia="Arial" w:hAnsi="Arial"/>
                <w:sz w:val="16"/>
                <w:szCs w:val="16"/>
                <w:b w:val="1"/>
                <w:bCs w:val="1"/>
                <w:color w:val="auto"/>
              </w:rPr>
              <w:t>$ Change</w:t>
            </w:r>
          </w:p>
        </w:tc>
        <w:tc>
          <w:tcPr>
            <w:tcW w:w="166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900" w:type="dxa"/>
            <w:vAlign w:val="bottom"/>
            <w:gridSpan w:val="2"/>
          </w:tcPr>
          <w:p>
            <w:pPr>
              <w:jc w:val="right"/>
              <w:ind w:right="1373"/>
              <w:spacing w:after="0"/>
              <w:rPr>
                <w:sz w:val="20"/>
                <w:szCs w:val="20"/>
                <w:color w:val="auto"/>
              </w:rPr>
            </w:pPr>
            <w:r>
              <w:rPr>
                <w:rFonts w:ascii="Arial" w:cs="Arial" w:eastAsia="Arial" w:hAnsi="Arial"/>
                <w:sz w:val="16"/>
                <w:szCs w:val="16"/>
                <w:b w:val="1"/>
                <w:bCs w:val="1"/>
                <w:color w:val="auto"/>
                <w:w w:val="92"/>
              </w:rPr>
              <w:t>($ amounts in 000's)</w:t>
            </w: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94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29,581</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15,096</w:t>
            </w:r>
          </w:p>
        </w:tc>
        <w:tc>
          <w:tcPr>
            <w:tcW w:w="21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14,485</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1940" w:type="dxa"/>
            <w:vAlign w:val="bottom"/>
          </w:tcPr>
          <w:p>
            <w:pPr>
              <w:jc w:val="right"/>
              <w:ind w:right="1274"/>
              <w:spacing w:after="0"/>
              <w:rPr>
                <w:sz w:val="20"/>
                <w:szCs w:val="20"/>
                <w:color w:val="auto"/>
              </w:rPr>
            </w:pPr>
            <w:r>
              <w:rPr>
                <w:rFonts w:ascii="Arial" w:cs="Arial" w:eastAsia="Arial" w:hAnsi="Arial"/>
                <w:sz w:val="18"/>
                <w:szCs w:val="18"/>
                <w:color w:val="auto"/>
              </w:rPr>
              <w:t>32.1</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26.8</w:t>
            </w:r>
          </w:p>
        </w:tc>
        <w:tc>
          <w:tcPr>
            <w:tcW w:w="218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effective tax rate was 32.1% for fiscal 2011, compared with an effective tax rate of 26.8% for fiscal 2010. The provision for income taxes for fiscal 2011 was comprised primarily of federal, state and foreign income taxes. The 2010 effective tax rate is impacted by the inclusion of stock option benefits, which affected the transfer pricing calculations between some of our foreign subsidiaries, as well as the reinstated U.S. Federal Research and Development Tax Credit. The increase in the provision for income taxes for fiscal 2011 compared to fiscal 2010 was primarily due to an increase in profits subject to U.S. tax.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Years 2010 and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752"/>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4"/>
              </w:rPr>
              <w:t>2010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gridSpan w:val="3"/>
          </w:tcPr>
          <w:p>
            <w:pPr>
              <w:jc w:val="right"/>
              <w:ind w:right="1056"/>
              <w:spacing w:after="0"/>
              <w:rPr>
                <w:sz w:val="20"/>
                <w:szCs w:val="20"/>
                <w:color w:val="auto"/>
              </w:rPr>
            </w:pPr>
            <w:r>
              <w:rPr>
                <w:rFonts w:ascii="Arial" w:cs="Arial" w:eastAsia="Arial" w:hAnsi="Arial"/>
                <w:sz w:val="16"/>
                <w:szCs w:val="16"/>
                <w:b w:val="1"/>
                <w:bCs w:val="1"/>
                <w:color w:val="auto"/>
                <w:w w:val="84"/>
              </w:rPr>
              <w:t>2009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24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Arial" w:cs="Arial" w:eastAsia="Arial" w:hAnsi="Arial"/>
                <w:sz w:val="16"/>
                <w:szCs w:val="16"/>
                <w:b w:val="1"/>
                <w:bCs w:val="1"/>
                <w:color w:val="auto"/>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135,140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98,686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36,454</w:t>
            </w:r>
          </w:p>
        </w:tc>
        <w:tc>
          <w:tcPr>
            <w:tcW w:w="136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172,046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139,172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17,510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14,257</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3,253</w:t>
            </w: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324,696</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252,115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72,581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123,961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31,340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121,604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25,718</w:t>
            </w:r>
          </w:p>
        </w:tc>
        <w:tc>
          <w:tcPr>
            <w:tcW w:w="136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324,696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252,115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72,581</w:t>
            </w:r>
          </w:p>
        </w:tc>
        <w:tc>
          <w:tcPr>
            <w:tcW w:w="136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Total revenue increased $72.6 million, or 28.8%, in fiscal 2010 compared to fiscal 2009. The Americas region contributed the largest portion of this growth. Product revenue increased $36.5 million, or 36.9%, compared to fiscal 2009. The increase in product revenue was driven by higher product sales volume across all regions. A greater mix of our high-end products and increased sales to enterprise and service provider customers contributed to a 79% increase in the number of $500,000+ deals in fiscal 2010 compared to fiscal 2009. Services revenue increased $32.9 million, or 23.6%, in fiscal 2010 compared to fiscal 2009 due to the recognition of revenue from our growing deferred revenue balance consisting of subscription and support contracts sold to a larger customer base and our increased focus on contract renewals. The growth in services revenue tends to lag growth in billings and product revenue due to amortization of revenue over the service period. The growth in ratable and other revenue was due to a slight decrease in the weighted-average service period as a result of a decrease in the average contractual term of support contracts for arrangements in which we recognized product and services revenue ratably.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1"/>
        </w:trPr>
        <w:tc>
          <w:tcPr>
            <w:tcW w:w="492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2010</w:t>
            </w:r>
          </w:p>
        </w:tc>
        <w:tc>
          <w:tcPr>
            <w:tcW w:w="19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2009</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471"/>
              <w:spacing w:after="0"/>
              <w:rPr>
                <w:sz w:val="20"/>
                <w:szCs w:val="20"/>
                <w:color w:val="auto"/>
              </w:rPr>
            </w:pPr>
            <w:r>
              <w:rPr>
                <w:rFonts w:ascii="Arial" w:cs="Arial" w:eastAsia="Arial" w:hAnsi="Arial"/>
                <w:sz w:val="16"/>
                <w:szCs w:val="16"/>
                <w:b w:val="1"/>
                <w:bCs w:val="1"/>
                <w:color w:val="auto"/>
              </w:rPr>
              <w:t>$ Change</w:t>
            </w:r>
          </w:p>
        </w:tc>
        <w:tc>
          <w:tcPr>
            <w:tcW w:w="194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20" w:type="dxa"/>
            <w:vAlign w:val="bottom"/>
            <w:gridSpan w:val="3"/>
          </w:tcPr>
          <w:p>
            <w:pPr>
              <w:jc w:val="right"/>
              <w:ind w:right="1091"/>
              <w:spacing w:after="0"/>
              <w:rPr>
                <w:sz w:val="20"/>
                <w:szCs w:val="20"/>
                <w:color w:val="auto"/>
              </w:rPr>
            </w:pPr>
            <w:r>
              <w:rPr>
                <w:rFonts w:ascii="Arial" w:cs="Arial" w:eastAsia="Arial" w:hAnsi="Arial"/>
                <w:sz w:val="16"/>
                <w:szCs w:val="16"/>
                <w:b w:val="1"/>
                <w:bCs w:val="1"/>
                <w:color w:val="auto"/>
                <w:w w:val="92"/>
              </w:rPr>
              <w:t>($ amounts in 000's)</w:t>
            </w:r>
          </w:p>
        </w:tc>
        <w:tc>
          <w:tcPr>
            <w:tcW w:w="194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51,944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42,166</w:t>
            </w:r>
          </w:p>
        </w:tc>
        <w:tc>
          <w:tcPr>
            <w:tcW w:w="1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9,778</w:t>
            </w:r>
          </w:p>
        </w:tc>
        <w:tc>
          <w:tcPr>
            <w:tcW w:w="19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26,967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22,265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492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6,295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751</w:t>
            </w:r>
          </w:p>
        </w:tc>
        <w:tc>
          <w:tcPr>
            <w:tcW w:w="1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85,206</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69,975</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15,231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r>
        <w:trPr>
          <w:trHeight w:val="230"/>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94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94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Total gross margin increased 1.6 percentage points in fiscal 2010 primarily due to improved product margins in fiscal 2010 compared to fiscal 2009. Product gross margin increased 4.3 percentage points in fiscal 2010 compared to fiscal 2009 primarily due to a greater mix of our high-end products and the absence of asset acquisition related write-offs compared to a $2.4 million write-off in fiscal 2009. From time to time, we have experienced sales of previously reserved inventory. During fiscal 2010, we experienced a positive impact of 0.7 percentage points due to the sale of fully reserved inventory compared to a</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positive impact of 1.1 percentage points in fiscal 2009. Services gross margin was relatively flat as we continued to make investments in our support, professional services and FortiGuard global security research organizations to support the growing revenue base. Services cost increased by $4.7 million primarily due to a $2.9 million increase in cash-based personnel costs related to headcount increases. Travel, depreciation and other expenses increased a combined $0.8 million. In addition, occupancy-related costs increased $0.7 million and stock-based compensation increased $0.3 million. Ratable and other revenue gross margin increased 2.9 percentage points as a result of leverage achieved from cost reductions with respect to overhead.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753"/>
              <w:spacing w:after="0"/>
              <w:rPr>
                <w:sz w:val="20"/>
                <w:szCs w:val="20"/>
                <w:color w:val="auto"/>
              </w:rPr>
            </w:pPr>
            <w:r>
              <w:rPr>
                <w:rFonts w:ascii="Arial" w:cs="Arial" w:eastAsia="Arial" w:hAnsi="Arial"/>
                <w:sz w:val="16"/>
                <w:szCs w:val="16"/>
                <w:b w:val="1"/>
                <w:bCs w:val="1"/>
                <w:color w:val="auto"/>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6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w w:val="84"/>
              </w:rPr>
              <w:t>2009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Revenue</w:t>
            </w:r>
          </w:p>
        </w:tc>
        <w:tc>
          <w:tcPr>
            <w:tcW w:w="1160" w:type="dxa"/>
            <w:vAlign w:val="bottom"/>
          </w:tcPr>
          <w:p>
            <w:pPr>
              <w:jc w:val="right"/>
              <w:ind w:right="3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1240" w:type="dxa"/>
            <w:vAlign w:val="bottom"/>
          </w:tcPr>
          <w:p>
            <w:pPr>
              <w:jc w:val="right"/>
              <w:ind w:right="192"/>
              <w:spacing w:after="0"/>
              <w:rPr>
                <w:sz w:val="20"/>
                <w:szCs w:val="20"/>
                <w:color w:val="auto"/>
              </w:rPr>
            </w:pPr>
            <w:r>
              <w:rPr>
                <w:rFonts w:ascii="Arial" w:cs="Arial" w:eastAsia="Arial" w:hAnsi="Arial"/>
                <w:sz w:val="16"/>
                <w:szCs w:val="16"/>
                <w:b w:val="1"/>
                <w:bCs w:val="1"/>
                <w:color w:val="auto"/>
              </w:rPr>
              <w:t>$ 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ind w:left="600"/>
              <w:spacing w:after="0"/>
              <w:rPr>
                <w:sz w:val="20"/>
                <w:szCs w:val="20"/>
                <w:color w:val="auto"/>
              </w:rPr>
            </w:pPr>
            <w:r>
              <w:rPr>
                <w:rFonts w:ascii="Arial" w:cs="Arial" w:eastAsia="Arial" w:hAnsi="Arial"/>
                <w:sz w:val="16"/>
                <w:szCs w:val="16"/>
                <w:b w:val="1"/>
                <w:bCs w:val="1"/>
                <w:color w:val="auto"/>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49,801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42,195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7,606</w:t>
            </w: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111,968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96,291</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22,380</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18,320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4,060</w:t>
            </w:r>
          </w:p>
        </w:tc>
        <w:tc>
          <w:tcPr>
            <w:tcW w:w="13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184,149</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27,343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Research and development expense increased $7.6 million, or 18.0%, in fiscal 2010 compared to fiscal 2009 primarily due to an increase of $5.2 million in cash-based personnel costs as a result of increased headcount to support continued enhancements of our products, higher occupancy-related costs of $1.7 million due to a move into a new office facility in Vancouver with significantly increased square footage, plus early termination and moving costs, an increase of $0.4 million in stock-based compensation expense, and an increase of $0.3 million in product development related expenses, such as non-recurring engineering (NRE), testing and certifications. A 10% increase in the Canadian dollar exchange rate against the US dollar also significantly contributed to the increase in research and development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20" w:firstLine="648"/>
        <w:spacing w:after="0" w:line="316" w:lineRule="auto"/>
        <w:rPr>
          <w:sz w:val="20"/>
          <w:szCs w:val="20"/>
          <w:color w:val="auto"/>
        </w:rPr>
      </w:pPr>
      <w:r>
        <w:rPr>
          <w:rFonts w:ascii="Arial" w:cs="Arial" w:eastAsia="Arial" w:hAnsi="Arial"/>
          <w:sz w:val="15"/>
          <w:szCs w:val="15"/>
          <w:color w:val="auto"/>
        </w:rPr>
        <w:t>Sales and marketing expense increased $15.7 million, or 16.3%, in fiscal 2010 compared to fiscal 2009 as we continued to increase our sales headcount in order to expand our global footprint. The increase consisted of cash-based personnel costs of $14.5 million as a result of increased headcount, a $1.3 million increase in travel as a result of our overall sales growth of 29% and particularly sales growth in the Americas of 34%, a $0.8 million increase in stock-based compensation expense, and a $0.2 million increase in professional services. These increases were partially offset by a $1.1 million decrease in marketing-related expenses. As a percentage of revenue, sales and marketing expenses decreased 3.7 percentage points due to the leverage we are achieving from the investment in our sales force during the past year, as evidenced by revenue growth of 29% exceeding sales and marketing expenses growth of 16%.</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In fiscal 2010, general and administrative expense increased $4.1 million, or 22.2%, compared to fiscal 2009. The increase was primarily due to a $1.8 million increase in legal expenses to support various patent litigation matters and a $0.6 million increase in accounting-related expenses due to being a public company. In addition, cash-based personnel costs increased $1.3 million and stock-based compensation expense increased $0.4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1"/>
        </w:trPr>
        <w:tc>
          <w:tcPr>
            <w:tcW w:w="4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2010</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2009</w:t>
            </w:r>
          </w:p>
        </w:tc>
        <w:tc>
          <w:tcPr>
            <w:tcW w:w="720" w:type="dxa"/>
            <w:vAlign w:val="bottom"/>
          </w:tcPr>
          <w:p>
            <w:pPr>
              <w:spacing w:after="0"/>
              <w:rPr>
                <w:sz w:val="20"/>
                <w:szCs w:val="20"/>
                <w:color w:val="auto"/>
              </w:rPr>
            </w:pPr>
          </w:p>
        </w:tc>
        <w:tc>
          <w:tcPr>
            <w:tcW w:w="1340" w:type="dxa"/>
            <w:vAlign w:val="bottom"/>
          </w:tcPr>
          <w:p>
            <w:pPr>
              <w:ind w:left="700"/>
              <w:spacing w:after="0"/>
              <w:rPr>
                <w:sz w:val="20"/>
                <w:szCs w:val="20"/>
                <w:color w:val="auto"/>
              </w:rPr>
            </w:pPr>
            <w:r>
              <w:rPr>
                <w:rFonts w:ascii="Arial" w:cs="Arial" w:eastAsia="Arial" w:hAnsi="Arial"/>
                <w:sz w:val="16"/>
                <w:szCs w:val="16"/>
                <w:b w:val="1"/>
                <w:bCs w:val="1"/>
                <w:color w:val="auto"/>
                <w:w w:val="86"/>
              </w:rPr>
              <w:t>$ Change</w:t>
            </w:r>
          </w:p>
        </w:tc>
        <w:tc>
          <w:tcPr>
            <w:tcW w:w="880" w:type="dxa"/>
            <w:vAlign w:val="bottom"/>
          </w:tcPr>
          <w:p>
            <w:pPr>
              <w:spacing w:after="0"/>
              <w:rPr>
                <w:sz w:val="20"/>
                <w:szCs w:val="20"/>
                <w:color w:val="auto"/>
              </w:rPr>
            </w:pP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 amounts in 000's)</w:t>
            </w: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8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1,815</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1,981</w:t>
            </w:r>
          </w:p>
        </w:tc>
        <w:tc>
          <w:tcPr>
            <w:tcW w:w="1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(166)</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1880" w:type="dxa"/>
            <w:vAlign w:val="bottom"/>
          </w:tcPr>
          <w:p>
            <w:pPr>
              <w:jc w:val="right"/>
              <w:ind w:right="1214"/>
              <w:spacing w:after="0"/>
              <w:rPr>
                <w:sz w:val="20"/>
                <w:szCs w:val="20"/>
                <w:color w:val="auto"/>
              </w:rPr>
            </w:pPr>
            <w:r>
              <w:rPr>
                <w:rFonts w:ascii="Arial" w:cs="Arial" w:eastAsia="Arial" w:hAnsi="Arial"/>
                <w:sz w:val="18"/>
                <w:szCs w:val="18"/>
                <w:color w:val="auto"/>
              </w:rPr>
              <w:t>(815)</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198</w:t>
            </w:r>
          </w:p>
        </w:tc>
        <w:tc>
          <w:tcPr>
            <w:tcW w:w="134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1"/>
              </w:rPr>
              <w:t>(1,013)</w:t>
            </w:r>
          </w:p>
        </w:tc>
        <w:tc>
          <w:tcPr>
            <w:tcW w:w="1620" w:type="dxa"/>
            <w:vAlign w:val="bottom"/>
          </w:tcPr>
          <w:p>
            <w:pPr>
              <w:jc w:val="right"/>
              <w:spacing w:after="0"/>
              <w:rPr>
                <w:sz w:val="20"/>
                <w:szCs w:val="20"/>
                <w:color w:val="auto"/>
              </w:rPr>
            </w:pPr>
            <w:r>
              <w:rPr>
                <w:rFonts w:ascii="Arial" w:cs="Arial" w:eastAsia="Arial" w:hAnsi="Arial"/>
                <w:sz w:val="18"/>
                <w:szCs w:val="18"/>
                <w:color w:val="auto"/>
              </w:rPr>
              <w:t>(511.6)</w:t>
            </w:r>
          </w:p>
        </w:tc>
      </w:tr>
      <w:tr>
        <w:trPr>
          <w:trHeight w:val="486"/>
        </w:trPr>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jc w:val="right"/>
              <w:ind w:right="974"/>
              <w:spacing w:after="0"/>
              <w:rPr>
                <w:sz w:val="20"/>
                <w:szCs w:val="20"/>
                <w:color w:val="auto"/>
              </w:rPr>
            </w:pPr>
            <w:r>
              <w:rPr>
                <w:rFonts w:ascii="Arial" w:cs="Arial" w:eastAsia="Arial" w:hAnsi="Arial"/>
                <w:sz w:val="18"/>
                <w:szCs w:val="18"/>
                <w:color w:val="auto"/>
              </w:rPr>
              <w:t>53</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$0.2 million decrease in interest income in fiscal 2010 compared to fiscal 2009 was due to lower interest rates earned, despite higher balances of cash, cash equivalents and investments. The change in other income (expense), net for fiscal 2010 when compared to fiscal 2009 was the result of foreign exchange losses in fiscal 2010 due to the weakening of the U.S. dollar against the Australian Dollar, Chinese Yuan, and Japanese Yen.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jc w:val="right"/>
              <w:ind w:right="694"/>
              <w:spacing w:after="0"/>
              <w:rPr>
                <w:sz w:val="20"/>
                <w:szCs w:val="20"/>
                <w:color w:val="auto"/>
              </w:rPr>
            </w:pPr>
            <w:r>
              <w:rPr>
                <w:rFonts w:ascii="Arial" w:cs="Arial" w:eastAsia="Arial" w:hAnsi="Arial"/>
                <w:sz w:val="16"/>
                <w:szCs w:val="16"/>
                <w:b w:val="1"/>
                <w:bCs w:val="1"/>
                <w:color w:val="auto"/>
              </w:rPr>
              <w:t>Fiscal Year</w:t>
            </w:r>
          </w:p>
        </w:tc>
        <w:tc>
          <w:tcPr>
            <w:tcW w:w="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492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2010</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2009</w:t>
            </w:r>
          </w:p>
        </w:tc>
        <w:tc>
          <w:tcPr>
            <w:tcW w:w="720" w:type="dxa"/>
            <w:vAlign w:val="bottom"/>
          </w:tcPr>
          <w:p>
            <w:pPr>
              <w:spacing w:after="0"/>
              <w:rPr>
                <w:sz w:val="20"/>
                <w:szCs w:val="20"/>
                <w:color w:val="auto"/>
              </w:rPr>
            </w:pPr>
          </w:p>
        </w:tc>
        <w:tc>
          <w:tcPr>
            <w:tcW w:w="2180" w:type="dxa"/>
            <w:vAlign w:val="bottom"/>
          </w:tcPr>
          <w:p>
            <w:pPr>
              <w:jc w:val="right"/>
              <w:ind w:right="754"/>
              <w:spacing w:after="0"/>
              <w:rPr>
                <w:sz w:val="20"/>
                <w:szCs w:val="20"/>
                <w:color w:val="auto"/>
              </w:rPr>
            </w:pPr>
            <w:r>
              <w:rPr>
                <w:rFonts w:ascii="Arial" w:cs="Arial" w:eastAsia="Arial" w:hAnsi="Arial"/>
                <w:sz w:val="16"/>
                <w:szCs w:val="16"/>
                <w:b w:val="1"/>
                <w:bCs w:val="1"/>
                <w:color w:val="auto"/>
              </w:rPr>
              <w:t>$ Change</w:t>
            </w:r>
          </w:p>
        </w:tc>
        <w:tc>
          <w:tcPr>
            <w:tcW w:w="166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900" w:type="dxa"/>
            <w:vAlign w:val="bottom"/>
            <w:gridSpan w:val="2"/>
          </w:tcPr>
          <w:p>
            <w:pPr>
              <w:jc w:val="right"/>
              <w:ind w:right="1374"/>
              <w:spacing w:after="0"/>
              <w:rPr>
                <w:sz w:val="20"/>
                <w:szCs w:val="20"/>
                <w:color w:val="auto"/>
              </w:rPr>
            </w:pPr>
            <w:r>
              <w:rPr>
                <w:rFonts w:ascii="Arial" w:cs="Arial" w:eastAsia="Arial" w:hAnsi="Arial"/>
                <w:sz w:val="16"/>
                <w:szCs w:val="16"/>
                <w:b w:val="1"/>
                <w:bCs w:val="1"/>
                <w:color w:val="auto"/>
                <w:w w:val="92"/>
              </w:rPr>
              <w:t>($ amounts in 000's)</w:t>
            </w: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94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rPr>
              <w:t>15,096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(32,666)</w:t>
            </w:r>
          </w:p>
        </w:tc>
        <w:tc>
          <w:tcPr>
            <w:tcW w:w="21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47,762</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1940" w:type="dxa"/>
            <w:vAlign w:val="bottom"/>
          </w:tcPr>
          <w:p>
            <w:pPr>
              <w:jc w:val="right"/>
              <w:ind w:right="1274"/>
              <w:spacing w:after="0"/>
              <w:rPr>
                <w:sz w:val="20"/>
                <w:szCs w:val="20"/>
                <w:color w:val="auto"/>
              </w:rPr>
            </w:pPr>
            <w:r>
              <w:rPr>
                <w:rFonts w:ascii="Arial" w:cs="Arial" w:eastAsia="Arial" w:hAnsi="Arial"/>
                <w:sz w:val="18"/>
                <w:szCs w:val="18"/>
                <w:color w:val="auto"/>
              </w:rPr>
              <w:t>26.8</w:t>
            </w: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2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37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1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6"/>
        </w:trPr>
        <w:tc>
          <w:tcPr>
            <w:tcW w:w="4920" w:type="dxa"/>
            <w:vAlign w:val="bottom"/>
            <w:gridSpan w:val="2"/>
          </w:tcPr>
          <w:p>
            <w:pPr>
              <w:spacing w:after="0"/>
              <w:rPr>
                <w:sz w:val="20"/>
                <w:szCs w:val="20"/>
                <w:color w:val="auto"/>
              </w:rPr>
            </w:pPr>
            <w:r>
              <w:rPr>
                <w:rFonts w:ascii="Arial" w:cs="Arial" w:eastAsia="Arial" w:hAnsi="Arial"/>
                <w:sz w:val="16"/>
                <w:szCs w:val="16"/>
                <w:color w:val="auto"/>
              </w:rPr>
              <w:t>*not meaningful</w:t>
            </w:r>
          </w:p>
        </w:tc>
        <w:tc>
          <w:tcPr>
            <w:tcW w:w="1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19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effective tax rate was 26.8% for fiscal 2010, compared with an effective tax rate of negative 118.7% for fiscal 2009. The provision for income taxes for fiscal 2010 is comprised primarily of federal, state and foreign income taxes. The 2010 effective tax rate is impacted by the inclusion of stock option benefits, which affected the transfer pricing calculations between some of our foreign subsidiaries, as well as the reinstated U.S. Federal Research and Development Tax Credit. The increase in the provision for income taxes for fiscal 2010 compared to fiscal 2009 reflected the release of the valuation allowance against our net deferred tax assets in fiscal 2009. We generated pretax income in fiscal 2009 and 2008. As a result of this positive earnings trend and projected future taxable income, we reversed approximately $44.2 million of deferred tax asset valuation allowance in fiscal 2009 after having determined that it was more likely than not that our deferred tax assets would be realized. This reversal resulted in recognition of an income tax benefit totaling $37.8 million. Our estimates of future taxable income represent critical accounting estimates because such estimates are subject to change and a downward adjustment could have a significant impact on future earnings. Furthermore, we continue to evaluate our net deferred tax asset position, in regards to the likelihood of realization of our deferred tax assets.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operations data for the last eight fiscal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 31,</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020" w:type="dxa"/>
            <w:vAlign w:val="bottom"/>
          </w:tcPr>
          <w:p>
            <w:pPr>
              <w:jc w:val="right"/>
              <w:ind w:right="171"/>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7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gridSpan w:val="8"/>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8"/>
          </w:tcPr>
          <w:p>
            <w:pPr>
              <w:jc w:val="center"/>
              <w:ind w:right="160"/>
              <w:spacing w:after="0"/>
              <w:rPr>
                <w:sz w:val="20"/>
                <w:szCs w:val="20"/>
                <w:color w:val="auto"/>
              </w:rPr>
            </w:pPr>
            <w:r>
              <w:rPr>
                <w:rFonts w:ascii="Arial" w:cs="Arial" w:eastAsia="Arial" w:hAnsi="Arial"/>
                <w:sz w:val="16"/>
                <w:szCs w:val="16"/>
                <w:b w:val="1"/>
                <w:bCs w:val="1"/>
                <w:color w:val="auto"/>
                <w:w w:val="89"/>
              </w:rPr>
              <w:t>($ amounts in 000's, except per share amounts)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Consolidated Statements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57,463</w:t>
            </w:r>
          </w:p>
        </w:tc>
        <w:tc>
          <w:tcPr>
            <w:tcW w:w="0" w:type="dxa"/>
            <w:vAlign w:val="bottom"/>
          </w:tcPr>
          <w:p>
            <w:pPr>
              <w:spacing w:after="0"/>
              <w:rPr>
                <w:sz w:val="1"/>
                <w:szCs w:val="1"/>
                <w:color w:val="auto"/>
              </w:rPr>
            </w:pP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38,625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40,964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44,527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47,930</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48,686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52,671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57,835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61,076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4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4,330</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4,531</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4,415</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5,498</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9"/>
                <w:szCs w:val="9"/>
                <w:color w:val="auto"/>
              </w:rPr>
              <w:t>(1)</w:t>
            </w: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69,795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76,331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84,971</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93,599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93,266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103,023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116,426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120,861</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50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(2)</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11,314</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11,822</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13,263</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14,075</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20,606</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21,929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Services </w:t>
            </w:r>
            <w:r>
              <w:rPr>
                <w:rFonts w:ascii="Arial" w:cs="Arial" w:eastAsia="Arial" w:hAnsi="Arial"/>
                <w:sz w:val="18"/>
                <w:szCs w:val="18"/>
                <w:color w:val="auto"/>
                <w:vertAlign w:val="superscript"/>
              </w:rPr>
              <w:t>(2)</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6,818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6,565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7,781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9,438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19,375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21,443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24,223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23,416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26,558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32,486</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50,420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56,166</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63,528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69,376</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69,850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76,465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85,287</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88,375</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500"/>
              <w:spacing w:after="0"/>
              <w:rPr>
                <w:sz w:val="20"/>
                <w:szCs w:val="20"/>
                <w:color w:val="auto"/>
              </w:rPr>
            </w:pPr>
            <w:r>
              <w:rPr>
                <w:rFonts w:ascii="Arial" w:cs="Arial" w:eastAsia="Arial" w:hAnsi="Arial"/>
                <w:sz w:val="18"/>
                <w:szCs w:val="18"/>
                <w:color w:val="auto"/>
              </w:rPr>
              <w:t>Research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500"/>
              <w:spacing w:after="0"/>
              <w:rPr>
                <w:sz w:val="20"/>
                <w:szCs w:val="20"/>
                <w:color w:val="auto"/>
              </w:rPr>
            </w:pPr>
            <w:r>
              <w:rPr>
                <w:rFonts w:ascii="Arial" w:cs="Arial" w:eastAsia="Arial" w:hAnsi="Arial"/>
                <w:sz w:val="18"/>
                <w:szCs w:val="18"/>
                <w:color w:val="auto"/>
              </w:rPr>
              <w:t xml:space="preserve">development </w:t>
            </w:r>
            <w:r>
              <w:rPr>
                <w:rFonts w:ascii="Arial" w:cs="Arial" w:eastAsia="Arial" w:hAnsi="Arial"/>
                <w:sz w:val="18"/>
                <w:szCs w:val="18"/>
                <w:color w:val="auto"/>
                <w:vertAlign w:val="superscript"/>
              </w:rPr>
              <w:t>(2)</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11,934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12,676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12,389</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14,421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16,379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(2)</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26,723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27,777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26,987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30,481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32,718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35,896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36,934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39,984</w:t>
            </w:r>
          </w:p>
        </w:tc>
        <w:tc>
          <w:tcPr>
            <w:tcW w:w="0" w:type="dxa"/>
            <w:vAlign w:val="bottom"/>
          </w:tcPr>
          <w:p>
            <w:pPr>
              <w:spacing w:after="0"/>
              <w:rPr>
                <w:sz w:val="1"/>
                <w:szCs w:val="1"/>
                <w:color w:val="auto"/>
              </w:rPr>
            </w:pPr>
          </w:p>
        </w:tc>
      </w:tr>
      <w:tr>
        <w:trPr>
          <w:trHeight w:val="229"/>
        </w:trPr>
        <w:tc>
          <w:tcPr>
            <w:tcW w:w="2420" w:type="dxa"/>
            <w:vAlign w:val="bottom"/>
          </w:tcPr>
          <w:p>
            <w:pPr>
              <w:ind w:left="500"/>
              <w:spacing w:after="0"/>
              <w:rPr>
                <w:sz w:val="20"/>
                <w:szCs w:val="20"/>
                <w:color w:val="auto"/>
              </w:rPr>
            </w:pPr>
            <w:r>
              <w:rPr>
                <w:rFonts w:ascii="Arial" w:cs="Arial" w:eastAsia="Arial" w:hAnsi="Arial"/>
                <w:sz w:val="18"/>
                <w:szCs w:val="18"/>
                <w:color w:val="auto"/>
              </w:rPr>
              <w:t>General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 xml:space="preserve">administrative </w:t>
            </w:r>
            <w:r>
              <w:rPr>
                <w:rFonts w:ascii="Arial" w:cs="Arial" w:eastAsia="Arial" w:hAnsi="Arial"/>
                <w:sz w:val="18"/>
                <w:szCs w:val="18"/>
                <w:color w:val="auto"/>
                <w:vertAlign w:val="superscript"/>
              </w:rPr>
              <w:t>(2)</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5,059</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5,993</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5,266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5,848</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43,716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46,386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45,369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57,686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59,127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61,855</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9,780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18,159</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20,698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17,445</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18,779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26,160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26,520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10,266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21,082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27,371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3,397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4,218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6,869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16,141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13,587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14,494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17,917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16,494</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attributable to common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20" w:type="dxa"/>
            <w:vAlign w:val="bottom"/>
          </w:tcPr>
          <w:p>
            <w:pPr>
              <w:ind w:left="40"/>
              <w:spacing w:after="0"/>
              <w:rPr>
                <w:sz w:val="20"/>
                <w:szCs w:val="20"/>
                <w:color w:val="auto"/>
              </w:rPr>
            </w:pPr>
            <w:r>
              <w:rPr>
                <w:rFonts w:ascii="Arial" w:cs="Arial" w:eastAsia="Arial" w:hAnsi="Arial"/>
                <w:sz w:val="18"/>
                <w:szCs w:val="18"/>
                <w:color w:val="auto"/>
              </w:rPr>
              <w:t xml:space="preserve">stockholders </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8"/>
                <w:szCs w:val="18"/>
                <w:color w:val="auto"/>
                <w:vertAlign w:val="superscript"/>
              </w:rPr>
              <w:t>(4)</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420" w:type="dxa"/>
            <w:vAlign w:val="bottom"/>
          </w:tcPr>
          <w:p>
            <w:pPr>
              <w:ind w:left="50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8"/>
                <w:szCs w:val="18"/>
                <w:color w:val="auto"/>
                <w:vertAlign w:val="superscript"/>
              </w:rPr>
              <w:t>(4)</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9"/>
                <w:szCs w:val="9"/>
                <w:color w:val="auto"/>
              </w:rPr>
              <w:t>_______________________________________________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4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right="20" w:hanging="652"/>
        <w:spacing w:after="0" w:line="255"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During the third quarter of fiscal 2011,we have changed the caption Ratable product and services on our consolidated statement of operations to Ratable and other revenue. We have made this change to reflect a $2.6 million sale of previously-acquired patents.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3"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stock-based compensation expense and patent settlement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 31,</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 amounts in 000's)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Cost of product revenue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2420" w:type="dxa"/>
            <w:vAlign w:val="bottom"/>
          </w:tcPr>
          <w:p>
            <w:pPr>
              <w:ind w:left="500"/>
              <w:spacing w:after="0"/>
              <w:rPr>
                <w:sz w:val="20"/>
                <w:szCs w:val="20"/>
                <w:color w:val="auto"/>
              </w:rPr>
            </w:pPr>
            <w:r>
              <w:rPr>
                <w:rFonts w:ascii="Arial" w:cs="Arial" w:eastAsia="Arial" w:hAnsi="Arial"/>
                <w:sz w:val="16"/>
                <w:szCs w:val="16"/>
                <w:color w:val="auto"/>
              </w:rPr>
              <w:t>Cost of services revenue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7"/>
              </w:rPr>
              <w:t>Research and development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237"/>
        </w:trPr>
        <w:tc>
          <w:tcPr>
            <w:tcW w:w="2420" w:type="dxa"/>
            <w:vAlign w:val="bottom"/>
          </w:tcPr>
          <w:p>
            <w:pPr>
              <w:ind w:left="500"/>
              <w:spacing w:after="0"/>
              <w:rPr>
                <w:sz w:val="20"/>
                <w:szCs w:val="20"/>
                <w:color w:val="auto"/>
              </w:rPr>
            </w:pPr>
            <w:r>
              <w:rPr>
                <w:rFonts w:ascii="Arial" w:cs="Arial" w:eastAsia="Arial" w:hAnsi="Arial"/>
                <w:sz w:val="16"/>
                <w:szCs w:val="16"/>
                <w:color w:val="auto"/>
              </w:rPr>
              <w:t>Sales and marketing</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3,036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9"/>
              </w:rPr>
              <w:t>General and administrative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17"/>
        </w:trPr>
        <w:tc>
          <w:tcPr>
            <w:tcW w:w="2420" w:type="dxa"/>
            <w:vAlign w:val="bottom"/>
          </w:tcPr>
          <w:p>
            <w:pPr>
              <w:ind w:left="40"/>
              <w:spacing w:after="0"/>
              <w:rPr>
                <w:sz w:val="20"/>
                <w:szCs w:val="20"/>
                <w:color w:val="auto"/>
              </w:rPr>
            </w:pPr>
            <w:r>
              <w:rPr>
                <w:rFonts w:ascii="Arial" w:cs="Arial" w:eastAsia="Arial" w:hAnsi="Arial"/>
                <w:sz w:val="16"/>
                <w:szCs w:val="16"/>
                <w:color w:val="auto"/>
              </w:rPr>
              <w:t>Total stock-based compensation</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3,870</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5,734</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6,341</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Patent settlement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0"/>
              </w:rPr>
              <w:t>Total stock based compensation and</w:t>
            </w:r>
          </w:p>
        </w:tc>
        <w:tc>
          <w:tcPr>
            <w:tcW w:w="10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2,264</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4,348</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6,819</w:t>
            </w:r>
          </w:p>
        </w:tc>
        <w:tc>
          <w:tcPr>
            <w:tcW w:w="0" w:type="dxa"/>
            <w:vAlign w:val="bottom"/>
          </w:tcPr>
          <w:p>
            <w:pPr>
              <w:spacing w:after="0"/>
              <w:rPr>
                <w:sz w:val="1"/>
                <w:szCs w:val="1"/>
                <w:color w:val="auto"/>
              </w:rPr>
            </w:pPr>
          </w:p>
        </w:tc>
      </w:tr>
      <w:tr>
        <w:trPr>
          <w:trHeight w:val="224"/>
        </w:trPr>
        <w:tc>
          <w:tcPr>
            <w:tcW w:w="2420" w:type="dxa"/>
            <w:vAlign w:val="bottom"/>
          </w:tcPr>
          <w:p>
            <w:pPr>
              <w:ind w:left="40"/>
              <w:spacing w:after="0"/>
              <w:rPr>
                <w:sz w:val="20"/>
                <w:szCs w:val="20"/>
                <w:color w:val="auto"/>
              </w:rPr>
            </w:pPr>
            <w:r>
              <w:rPr>
                <w:rFonts w:ascii="Arial" w:cs="Arial" w:eastAsia="Arial" w:hAnsi="Arial"/>
                <w:sz w:val="16"/>
                <w:szCs w:val="16"/>
                <w:color w:val="auto"/>
              </w:rPr>
              <w:t>patent settlement</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Note 7 to the Consolidated Financial Statements.</w:t>
      </w:r>
    </w:p>
    <w:p>
      <w:pPr>
        <w:spacing w:after="0" w:line="151" w:lineRule="exact"/>
        <w:rPr>
          <w:rFonts w:ascii="Arial" w:cs="Arial" w:eastAsia="Arial" w:hAnsi="Arial"/>
          <w:sz w:val="14"/>
          <w:szCs w:val="14"/>
          <w:color w:val="auto"/>
        </w:rPr>
      </w:pPr>
    </w:p>
    <w:p>
      <w:pPr>
        <w:ind w:left="660" w:right="320" w:hanging="652"/>
        <w:spacing w:after="0" w:line="273"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 June 1, 2011, we completed a two-for-one stock split of our outstanding common shares in the form of a stock dividend. In accordance with GAAP, all shares and per share information referenced throughout the consolidated financial statements have been retroactively adjusted to reflect this stock split.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quarterly results reflect seasonality in the sale of our products, subscriptions and services. In general, a pattern of increased customer buying at year-end has positively impacted sales activity in the fourth quarter. In the first quarter we generally experience lower sequential billings and product revenues, which results in lower product revenue. Our product revenue in the third quarter can be negatively affected by reduced economic activity in Europe during the summer months. During fiscal 2011, the growth in the Americas during the third quarter more than offset the slight decline in Europe, but this may not always be the case. Similarly, our gross margins and operating income have been affected by these historical trends because expenses are relatively fixed in the near-term.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a quarter. We believe this is due to customer buying patterns typical in this industry.</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total quarterly revenue over the past twelve quarters has increased sequentially in each quarter except the first quarter of 2011 which was essentially flat. Product revenue in all of the quarters of fiscal 2011 was higher as compared to the same periods in fiscal 2010, which we believe was due in part to the investments made in our sales organization, continued product innovation and improvements in overall corporate IT spending, as well as the adoption of the new revenue recognition rules in fiscal 2011.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6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6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 31,</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 30,</w:t>
            </w:r>
          </w:p>
        </w:tc>
        <w:tc>
          <w:tcPr>
            <w:tcW w:w="112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 30,</w:t>
            </w:r>
          </w:p>
        </w:tc>
        <w:tc>
          <w:tcPr>
            <w:tcW w:w="1020" w:type="dxa"/>
            <w:vAlign w:val="bottom"/>
          </w:tcPr>
          <w:p>
            <w:pPr>
              <w:jc w:val="right"/>
              <w:ind w:right="172"/>
              <w:spacing w:after="0"/>
              <w:rPr>
                <w:sz w:val="20"/>
                <w:szCs w:val="20"/>
                <w:color w:val="auto"/>
              </w:rPr>
            </w:pPr>
            <w:r>
              <w:rPr>
                <w:rFonts w:ascii="Arial" w:cs="Arial" w:eastAsia="Arial" w:hAnsi="Arial"/>
                <w:sz w:val="16"/>
                <w:szCs w:val="16"/>
                <w:b w:val="1"/>
                <w:bCs w:val="1"/>
                <w:color w:val="auto"/>
              </w:rPr>
              <w:t>Dec 31,</w:t>
            </w:r>
          </w:p>
        </w:tc>
      </w:tr>
      <w:tr>
        <w:trPr>
          <w:trHeight w:val="210"/>
        </w:trPr>
        <w:tc>
          <w:tcPr>
            <w:tcW w:w="24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2"/>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040" w:type="dxa"/>
            <w:vAlign w:val="bottom"/>
          </w:tcPr>
          <w:p>
            <w:pPr>
              <w:jc w:val="right"/>
              <w:ind w:right="27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2011</w:t>
            </w: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 amounts in 000's)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Consolidated Statements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Operations Data:</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40,165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53,093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57,463</w:t>
            </w: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38,625</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40,964</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44,527</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47,930</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48,686</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52,671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57,835</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61,076</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w:t>
            </w:r>
          </w:p>
        </w:tc>
      </w:tr>
      <w:tr>
        <w:trPr>
          <w:trHeight w:val="297"/>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69,795</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76,331</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84,971</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93,599</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93,266</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103,023</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116,426</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120,861</w:t>
            </w: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As a percentage of revenue:</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Revenue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r>
      <w:tr>
        <w:trPr>
          <w:trHeight w:val="243"/>
        </w:trPr>
        <w:tc>
          <w:tcPr>
            <w:tcW w:w="24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50.6</w:t>
            </w: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89"/>
              </w:rPr>
              <w:t>Ratable and other revenue</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100.0</w:t>
            </w: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Gross Margin Trend</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Total gross margin has fluctuated on a quarterly basis primarily due to shifts in the mix of sales between products and services. Product gross margin varies based on the types of products sold and the average selling prices of our products. Services gross margins have remained relatively consistent as we continue to invest in our support organizations at a rate slightly greater than the increase in service 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23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 30,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Sept 30,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Dec 31,</w:t>
            </w:r>
          </w:p>
        </w:tc>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 30,</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Sept 30,</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Dec 31,</w:t>
            </w:r>
          </w:p>
        </w:tc>
      </w:tr>
      <w:tr>
        <w:trPr>
          <w:trHeight w:val="210"/>
        </w:trPr>
        <w:tc>
          <w:tcPr>
            <w:tcW w:w="23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2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2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3"/>
              </w:rPr>
              <w:t>Gross Margin by Component</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of Revenue:</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238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7"/>
        </w:trPr>
        <w:tc>
          <w:tcPr>
            <w:tcW w:w="2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Ratable and other</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2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575"/>
        </w:trPr>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
        </w:trPr>
        <w:tc>
          <w:tcPr>
            <w:tcW w:w="238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238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 30,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Sept 30,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Dec 31,</w:t>
            </w:r>
          </w:p>
        </w:tc>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 31,</w:t>
            </w: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 30,</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Sept 30,</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2"/>
              </w:rPr>
              <w:t>Dec 31,</w:t>
            </w:r>
          </w:p>
        </w:tc>
      </w:tr>
      <w:tr>
        <w:trPr>
          <w:trHeight w:val="210"/>
        </w:trPr>
        <w:tc>
          <w:tcPr>
            <w:tcW w:w="23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r>
      <w:tr>
        <w:trPr>
          <w:trHeight w:val="33"/>
        </w:trPr>
        <w:tc>
          <w:tcPr>
            <w:tcW w:w="2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5"/>
        </w:trPr>
        <w:tc>
          <w:tcPr>
            <w:tcW w:w="2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Reconciliation of GAAP to</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41"/>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non-GAAP gross margin:</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GAAP Gross margin (%):</w:t>
            </w: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2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2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compensation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2380" w:type="dxa"/>
            <w:vAlign w:val="bottom"/>
          </w:tcPr>
          <w:p>
            <w:pPr>
              <w:ind w:left="40"/>
              <w:spacing w:after="0"/>
              <w:rPr>
                <w:sz w:val="20"/>
                <w:szCs w:val="20"/>
                <w:color w:val="auto"/>
              </w:rPr>
            </w:pPr>
            <w:r>
              <w:rPr>
                <w:rFonts w:ascii="Arial" w:cs="Arial" w:eastAsia="Arial" w:hAnsi="Arial"/>
                <w:sz w:val="18"/>
                <w:szCs w:val="18"/>
                <w:color w:val="auto"/>
              </w:rPr>
              <w:t>Non-GAAP gross margin</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2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As of Fiscal Year End</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160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2009</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amounts in 000's)</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71,990</w:t>
            </w:r>
          </w:p>
        </w:tc>
        <w:tc>
          <w:tcPr>
            <w:tcW w:w="16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66,859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466,697</w:t>
            </w:r>
          </w:p>
        </w:tc>
        <w:tc>
          <w:tcPr>
            <w:tcW w:w="1600" w:type="dxa"/>
            <w:vAlign w:val="bottom"/>
            <w:gridSpan w:val="2"/>
          </w:tcPr>
          <w:p>
            <w:pPr>
              <w:jc w:val="right"/>
              <w:ind w:right="15"/>
              <w:spacing w:after="0"/>
              <w:rPr>
                <w:sz w:val="20"/>
                <w:szCs w:val="20"/>
                <w:color w:val="auto"/>
              </w:rPr>
            </w:pPr>
            <w:r>
              <w:rPr>
                <w:rFonts w:ascii="Arial" w:cs="Arial" w:eastAsia="Arial" w:hAnsi="Arial"/>
                <w:sz w:val="18"/>
                <w:szCs w:val="18"/>
                <w:color w:val="auto"/>
              </w:rPr>
              <w:t>320,601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47,856</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538,687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387,460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260,314</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256,706</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201,776</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161,652</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00"/>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Fiscal Year</w:t>
            </w:r>
          </w:p>
        </w:tc>
        <w:tc>
          <w:tcPr>
            <w:tcW w:w="14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1600" w:type="dxa"/>
            <w:vAlign w:val="bottom"/>
            <w:gridSpan w:val="2"/>
          </w:tcPr>
          <w:p>
            <w:pPr>
              <w:jc w:val="center"/>
              <w:ind w:left="33"/>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2009</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amounts in 000's)</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132,842</w:t>
            </w:r>
          </w:p>
        </w:tc>
        <w:tc>
          <w:tcPr>
            <w:tcW w:w="16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103,383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 investing activities</w:t>
            </w:r>
          </w:p>
        </w:tc>
        <w:tc>
          <w:tcPr>
            <w:tcW w:w="1500" w:type="dxa"/>
            <w:vAlign w:val="bottom"/>
          </w:tcPr>
          <w:p>
            <w:pPr>
              <w:jc w:val="right"/>
              <w:spacing w:after="0"/>
              <w:rPr>
                <w:sz w:val="20"/>
                <w:szCs w:val="20"/>
                <w:color w:val="auto"/>
              </w:rPr>
            </w:pPr>
            <w:r>
              <w:rPr>
                <w:rFonts w:ascii="Arial" w:cs="Arial" w:eastAsia="Arial" w:hAnsi="Arial"/>
                <w:sz w:val="18"/>
                <w:szCs w:val="18"/>
                <w:color w:val="auto"/>
              </w:rPr>
              <w:t>(166,826)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(283,710)</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13,757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39,797</w:t>
            </w:r>
          </w:p>
        </w:tc>
        <w:tc>
          <w:tcPr>
            <w:tcW w:w="16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34,019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(682)</w:t>
            </w:r>
          </w:p>
        </w:tc>
        <w:tc>
          <w:tcPr>
            <w:tcW w:w="1600" w:type="dxa"/>
            <w:vAlign w:val="bottom"/>
            <w:gridSpan w:val="2"/>
          </w:tcPr>
          <w:p>
            <w:pPr>
              <w:jc w:val="right"/>
              <w:ind w:right="15"/>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2,110</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5,131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(145,599)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155,887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At December 31, 2011, our cash, cash equivalents, and investments of $538.7 million were held for working-capital purposes and were invested primarily in money market funds, commercial paper, corporate debt securities, municipal bonds, term deposits and U.S. government and agency debt securities. At December 31, 2011, $24.3 million of our cash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Fiscal Year</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 amounts in 000's)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60,179</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18"/>
                <w:szCs w:val="18"/>
                <w:color w:val="auto"/>
                <w:vertAlign w:val="superscript"/>
              </w:rPr>
              <w:t>(1)</w:t>
            </w: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18,712</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16,593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81,204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42,177</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50,701</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30,313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income tax payable and deferred tax assets, net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accounts payable and accrued liabilities, net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8,566</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deferred cost of revenues</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deferred settlement and other liabilities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accounts receivable</w:t>
            </w:r>
          </w:p>
        </w:tc>
        <w:tc>
          <w:tcPr>
            <w:tcW w:w="1500" w:type="dxa"/>
            <w:vAlign w:val="bottom"/>
          </w:tcPr>
          <w:p>
            <w:pPr>
              <w:jc w:val="right"/>
              <w:spacing w:after="0"/>
              <w:rPr>
                <w:sz w:val="20"/>
                <w:szCs w:val="20"/>
                <w:color w:val="auto"/>
              </w:rPr>
            </w:pPr>
            <w:r>
              <w:rPr>
                <w:rFonts w:ascii="Arial" w:cs="Arial" w:eastAsia="Arial" w:hAnsi="Arial"/>
                <w:sz w:val="18"/>
                <w:szCs w:val="18"/>
                <w:color w:val="auto"/>
              </w:rPr>
              <w:t>(23,246)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prepaid expenses and other assets, 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in inventories</w:t>
            </w:r>
          </w:p>
        </w:tc>
        <w:tc>
          <w:tcPr>
            <w:tcW w:w="1500" w:type="dxa"/>
            <w:vAlign w:val="bottom"/>
          </w:tcPr>
          <w:p>
            <w:pPr>
              <w:jc w:val="right"/>
              <w:spacing w:after="0"/>
              <w:rPr>
                <w:sz w:val="20"/>
                <w:szCs w:val="20"/>
                <w:color w:val="auto"/>
              </w:rPr>
            </w:pPr>
            <w:r>
              <w:rPr>
                <w:rFonts w:ascii="Arial" w:cs="Arial" w:eastAsia="Arial" w:hAnsi="Arial"/>
                <w:sz w:val="18"/>
                <w:szCs w:val="18"/>
                <w:color w:val="auto"/>
              </w:rPr>
              <w:t>(6,034)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132,842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103,383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61,971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40" w:hanging="652"/>
        <w:spacing w:after="0" w:line="248"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Non-cash charges primarily consist of stock-based compensation expense, depreciation and amortization, write-off of intangible assets, loss on disposal of fixed assets, amortization of investment premiums, excess tax benefit from employee stock option plans, and reversal of the valuation in fiscal 2009. For additional information regarding such non-cash charges, see our Consolidated Statements of Cash Flows in Part II, Item 8 of this</w:t>
      </w:r>
    </w:p>
    <w:p>
      <w:pPr>
        <w:sectPr>
          <w:pgSz w:w="11900" w:h="16838" w:orient="portrait"/>
          <w:cols w:equalWidth="0" w:num="1">
            <w:col w:w="11420"/>
          </w:cols>
          <w:pgMar w:left="240" w:top="122"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9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122" w:right="1440"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In fiscal 2011, operating activities provided $132.8 million in cash as a result of our strong performance primarily driven by billings growth, profitability, and the ability to successfully manage our working capital. Net income was $62.5 million, increased by non-cash adjustments of $18.7 million and sources of cash of $87.4 million partially offset by uses of cash of $35.5 million. Non-cash adjustments consist of stock-based compensation expense of $19.0 million, amortization of investment premiums of $12.5 million, and depreciation and amortization of $7.0 million, partially offset by an excess tax benefit from employee stock option plans of $19.8 million. Sources of cash were related to a $42.2 million increase in deferred revenue which was attributable primarily to increased sales of our subscription and support services, which have yet to be recognized in income, a $28.1 million increase in income tax payable and deferred tax assets, due to our continued profitability and timing of tax payments, a $8.6 million increase in accrued liabilities and accounts payable related to timing of payments, a $4.7 million increase in accrued payroll and compensation primarily related to increased headcount and employer taxes related to the exercise of stock options, a $3.8 million decrease in deferred cost of revenues, and a $0.0 million increase in other liabilities, mainly due to the deferral of the patent litigation settlement, which is being amortized over three years. Uses of cash were related to a $23.2 million increase in accounts receivable due to the overall growth of our business with days sales outstanding remaining flat (71 days), a $6.5 million increase in prepaid expenses and other assets, and a $6.0 million increase in inventory primarily to support new product releases combined with the overall growth of our business. Days sales outstanding is calculated as the ratio of ending accounts receivable, net of allowances, divided by average daily sales for the preceding 90 days.</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fiscal 2010, operating activities provided $103.4 million in cash as a result of our strong performance primarily driven by billings growth, profitability, and the ability to successfully manage our working capital. Net income was $41.2 million, increased by non-cash adjustments of $16.6 million and sources of cash of $73.1 million, partially offset by uses of cash of $27.5 million. Non-cash adjustments consist of stock-based compensation expense of $9.3 million, amortization of investment premiums of $7.3 million, and depreciation and amortization of $5.7 million, partially offset by an excess tax benefit from employee stock option plans of $5.7 million. Sources of cash were related to a $50.7 million increase in deferred revenue which was attributable primarily to increased sales of our subscription and support services, which have yet to be recognized in income, an $11.7 million increase in income tax payable and deferred tax assets, due to our continued profitability and timing of tax payments (cash paid for taxes was $2.5 million), a $5.5 million increase in accrued payroll and compensation primarily related to increased headcount and employer taxes related to the exercise of stock options, a $4.8 million increase in accrued liabilities and accounts payable related to timing of payments, and a $0.4 million decrease in deferred cost of revenues. Uses of cash were related to a $17.8 million increase in accounts receivable due to the overall growth of our business with days sales outstanding remaining flat (70 days), a $5.9 million increase in inventory primarily to support new product releases in the latter part of the year combined with the overall growth of our business, and a $3.8 million increase in prepaid expenses and other assets.</w:t>
      </w:r>
    </w:p>
    <w:p>
      <w:pPr>
        <w:spacing w:after="0" w:line="18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fiscal 2009, operating activities provided $62.0 million in cash as a result of net income of $60.2 million, decreased by non-cash adjustments of $15.2 million, increased by sources of cash of $36.1 million, and partially offset by uses of cash of $19.2 million. Non-cash adjustments consist of a tax benefit from the release of our valuation allowance of $30.2 million and excess tax benefit from employee stock option plans of $1.6 million, offset by stock-based compensation of $7.5 million, depreciation and amortization of $5.9 million, write-off of intangible assets of $2.4 million, and amortization of investment premiums of $0.8 million. Sources of cash were related to a $30.3 million increase in deferred revenue which was attributable primarily to increased sales of our subscription and support services, a $5.2 million increase in accounts payable and accrued liabilities due to timing of payments, and a $0.6 million increase in accrued payroll and compensation primarily related to increased headcount. Uses of cash were related to an $8.5 million increase in accounts receivable due to the overall growth of our business with days sales outstanding remaining flat (69 days), a $7.0 million decrease in income tax payable and deferred tax assets, a $2.0 million increase in inventory, a $1.1 million increase in deferred cost of revenues and a $0.6 million increase in prepaid expenses and other assets.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fiscal 2011, our investing activities consisted primarily of purchases and sales of investments, and to a much lesser extent, capital expenditures. The $166.8 million of cash used by investing activities was due to net purchases of investments of $160.6 million, $3.6 million used for capital expenditures, and $2.6 million used for the purchase of TalkSwitch.</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fiscal 2010, our investing activities consisted primarily of purchases and sales of investments, and to a much lesser extent, capital expenditures. The $283.7 million of cash used by investing activities was due to net purchases of investments of $280.0 million reflecting primarily the transfer of funds from money market to corporate bonds, agency notes and commercial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paper during the period. This was offset by $3.8 million used for capital expenditures.</w:t>
      </w:r>
    </w:p>
    <w:p>
      <w:pPr>
        <w:spacing w:after="0" w:line="2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fiscal 2009, our investing activities consisted primarily of purchases and sales of investments associated with our investment balances and capital expenditures. The $13.8 million of cash provided by investing activities was due primarily to net maturities of short-term investments of $18.9 million. Additionally, we used cash of $4.6 million for capital expenditures and $0.5 million for the purchase of certain technology assets.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In fiscal 2011, our financing activities resulted in net cash provided of $39.8 million as a result of receiving proceeds of $20.0 million from the exercise of stock options to purchase our common stock and an excess tax benefit from employee stock option plans of $19.8 million related to option exercises.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fiscal 2010, our financing activities resulted in net cash provided of $34.0 million as a result of receiving proceeds of $29.1 million from the exercise of stock options and warrants to purchase our common stock and an excess tax benefit from employee stock option plans of $5.8 million related to option exercises, partially offset by $0.9 million of issuance costs paid in connection with our initial public offering, which had been accrued as of December 31, 2009.</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In fiscal 2009, our financing activities resulted in net cash provided of $78.0 million as a result of receiving proceeds of $91.5 million, net of issuance costs paid of $3.3 million, from the sale of common stock in connection with our initial public offering in November 2009. In addition, we received proceeds of $4.0 million from the exercise of stock options and warrants to purchase our common stock and had an excess tax benefit from employee stock option plans of $1.6 million, all partially offset by $15.8 million related to the repurchase of our preferred and common stock in the first half of fiscal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2011:</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4"/>
          </w:tcPr>
          <w:p>
            <w:pPr>
              <w:jc w:val="center"/>
              <w:ind w:left="619"/>
              <w:spacing w:after="0"/>
              <w:rPr>
                <w:sz w:val="20"/>
                <w:szCs w:val="20"/>
                <w:color w:val="auto"/>
              </w:rPr>
            </w:pPr>
            <w:r>
              <w:rPr>
                <w:rFonts w:ascii="Arial" w:cs="Arial" w:eastAsia="Arial" w:hAnsi="Arial"/>
                <w:sz w:val="16"/>
                <w:szCs w:val="16"/>
                <w:b w:val="1"/>
                <w:bCs w:val="1"/>
                <w:color w:val="auto"/>
                <w:w w:val="91"/>
              </w:rPr>
              <w:t>Payments Due by Period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ind w:left="680"/>
              <w:spacing w:after="0"/>
              <w:rPr>
                <w:sz w:val="20"/>
                <w:szCs w:val="20"/>
                <w:color w:val="auto"/>
              </w:rPr>
            </w:pPr>
            <w:r>
              <w:rPr>
                <w:rFonts w:ascii="Arial" w:cs="Arial" w:eastAsia="Arial" w:hAnsi="Arial"/>
                <w:sz w:val="16"/>
                <w:szCs w:val="16"/>
                <w:b w:val="1"/>
                <w:bCs w:val="1"/>
                <w:color w:val="auto"/>
                <w:w w:val="99"/>
              </w:rPr>
              <w:t>Total</w:t>
            </w: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2012</w:t>
            </w:r>
          </w:p>
        </w:tc>
        <w:tc>
          <w:tcPr>
            <w:tcW w:w="250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2013 - 2014</w:t>
            </w:r>
          </w:p>
        </w:tc>
        <w:tc>
          <w:tcPr>
            <w:tcW w:w="100" w:type="dxa"/>
            <w:vAlign w:val="bottom"/>
          </w:tcPr>
          <w:p>
            <w:pPr>
              <w:spacing w:after="0"/>
              <w:rPr>
                <w:sz w:val="20"/>
                <w:szCs w:val="20"/>
                <w:color w:val="auto"/>
              </w:rPr>
            </w:pPr>
          </w:p>
        </w:tc>
        <w:tc>
          <w:tcPr>
            <w:tcW w:w="17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2015 - 2016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 amounts in 000's)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8"/>
                <w:szCs w:val="18"/>
                <w:color w:val="auto"/>
                <w:vertAlign w:val="superscript"/>
              </w:rPr>
              <w:t>(1)</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0"/>
              </w:rPr>
              <w:t>16,665</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8"/>
                <w:szCs w:val="18"/>
                <w:color w:val="auto"/>
                <w:vertAlign w:val="superscript"/>
              </w:rPr>
              <w:t>(2)</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0"/>
              </w:rPr>
              <w:t>25,993</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25,993</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5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(3)</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0"/>
              </w:rPr>
              <w:t>42,658</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33,301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jc w:val="right"/>
              <w:ind w:right="1990"/>
              <w:spacing w:after="0"/>
              <w:rPr>
                <w:sz w:val="20"/>
                <w:szCs w:val="20"/>
                <w:color w:val="auto"/>
              </w:rPr>
            </w:pPr>
            <w:r>
              <w:rPr>
                <w:rFonts w:ascii="Arial" w:cs="Arial" w:eastAsia="Arial" w:hAnsi="Arial"/>
                <w:sz w:val="18"/>
                <w:szCs w:val="18"/>
                <w:color w:val="auto"/>
                <w:w w:val="89"/>
              </w:rPr>
              <w:t>________________________</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4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w:t>
      </w:r>
    </w:p>
    <w:p>
      <w:pPr>
        <w:spacing w:after="0" w:line="1" w:lineRule="exact"/>
        <w:rPr>
          <w:rFonts w:ascii="Arial" w:cs="Arial" w:eastAsia="Arial" w:hAnsi="Arial"/>
          <w:sz w:val="14"/>
          <w:szCs w:val="14"/>
          <w:color w:val="auto"/>
        </w:rPr>
      </w:pPr>
    </w:p>
    <w:p>
      <w:pPr>
        <w:ind w:left="660" w:right="260" w:hanging="652"/>
        <w:spacing w:after="0" w:line="293" w:lineRule="auto"/>
        <w:tabs>
          <w:tab w:leader="none" w:pos="6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No amounts related to ASC 740-10 are included. As of December 31, 2011, we had approximately $19.1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fiscal 2011, 2010 and 2009,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of Notes to Consolidated Financial Statements for recent accounting pronouncements that could have an effect on us.</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short-term investments in a variety of securities, including commercial paper, money market funds, government and corporate debt securities and certificates of deposit. The risk associated with fluctuating interest rates is limited to our investment portfolio. A 10% decrease in interest rates in 2011, 2010 and 2009 would have resulted in a decrease in our interest income of approximately $0.4 million, $0.2 million and $0.2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Euro (EUR), British Pound (GBP), and Japanese Yen (JPY). To help protect against significant fluctuations in the value and the volatility of future cash flows caused by changes in currency exchange rates, we engage in foreign currency risk management activities to hedge balance sheet items denominated in EUR, GBP, and CAD. We do not use these contracts for speculative or trading purposes. All of the derivative instruments are with high quality financial institutions, and we monitor the creditworthiness of these parties. These contracts typically have maturities between one and three months. We account for our hedges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We record changes in the fair value of forward exchange contracts related to balance sheet accounts as other income (expense), net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consolidated statement of operations. We recognized an expense of $0.4 million in other income (expense), net in fiscal 2011 due to foreign currency transaction losses.</w:t>
      </w:r>
    </w:p>
    <w:p>
      <w:pPr>
        <w:spacing w:after="0" w:line="17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Our hedging activities are intended to reduce,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2" w:right="25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76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60" w:type="dxa"/>
            <w:vAlign w:val="bottom"/>
            <w:gridSpan w:val="3"/>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8"/>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0" w:type="dxa"/>
            <w:vAlign w:val="bottom"/>
          </w:tcPr>
          <w:p>
            <w:pPr>
              <w:spacing w:after="0"/>
              <w:rPr>
                <w:sz w:val="24"/>
                <w:szCs w:val="24"/>
                <w:color w:val="auto"/>
              </w:rPr>
            </w:pPr>
          </w:p>
        </w:tc>
        <w:tc>
          <w:tcPr>
            <w:tcW w:w="4220" w:type="dxa"/>
            <w:vAlign w:val="bottom"/>
            <w:gridSpan w:val="6"/>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Report of Independent Registered Public Accounting Firm</w:t>
              </w:r>
            </w:hyperlink>
          </w:p>
        </w:tc>
        <w:tc>
          <w:tcPr>
            <w:tcW w:w="6480" w:type="dxa"/>
            <w:vAlign w:val="bottom"/>
            <w:gridSpan w:val="2"/>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64</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20" w:type="dxa"/>
            <w:vAlign w:val="bottom"/>
            <w:gridSpan w:val="6"/>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Consolidated Balance Sheets</w:t>
              </w:r>
            </w:hyperlink>
          </w:p>
        </w:tc>
        <w:tc>
          <w:tcPr>
            <w:tcW w:w="648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65</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Consolidated Statements of Operations</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68">
              <w:r>
                <w:rPr>
                  <w:rFonts w:ascii="Arial" w:cs="Arial" w:eastAsia="Arial" w:hAnsi="Arial"/>
                  <w:sz w:val="18"/>
                  <w:szCs w:val="18"/>
                  <w:color w:val="0000FF"/>
                </w:rPr>
                <w:t>66</w:t>
              </w:r>
            </w:hyperlink>
          </w:p>
        </w:tc>
      </w:tr>
      <w:tr>
        <w:trPr>
          <w:trHeight w:val="20"/>
        </w:trPr>
        <w:tc>
          <w:tcPr>
            <w:tcW w:w="4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280" w:type="dxa"/>
            <w:vAlign w:val="bottom"/>
            <w:gridSpan w:val="7"/>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Consolidated Statements of Stockholders’ Equity (Deficit) and Comprehensive Income</w:t>
              </w:r>
            </w:hyperlink>
          </w:p>
        </w:tc>
        <w:tc>
          <w:tcPr>
            <w:tcW w:w="442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69">
              <w:r>
                <w:rPr>
                  <w:rFonts w:ascii="Arial" w:cs="Arial" w:eastAsia="Arial" w:hAnsi="Arial"/>
                  <w:sz w:val="18"/>
                  <w:szCs w:val="18"/>
                  <w:color w:val="0000FF"/>
                </w:rPr>
                <w:t>67</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280" w:type="dxa"/>
            <w:vAlign w:val="bottom"/>
            <w:gridSpan w:val="7"/>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Cash Flows</w:t>
              </w:r>
            </w:hyperlink>
          </w:p>
        </w:tc>
        <w:tc>
          <w:tcPr>
            <w:tcW w:w="442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68</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70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r>
      <w:tr>
        <w:trPr>
          <w:trHeight w:val="20"/>
        </w:trPr>
        <w:tc>
          <w:tcPr>
            <w:tcW w:w="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supplementary financial information required by this Item 8 is included in Item 7 under the caption “Quarterly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audited the accompanying consolidated balance sheets of Fortinet, Inc. and subsidiaries (the "Company") as of December 31, 2011 and 2010, and the related consolidated statements of operations, stockholders' equity and comprehensive income, and cash flows for each of the three years in the period ended December 31, 2011.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Fortinet, Inc. and subsidiaries as of December 31, 2011and 2010, and the results of their operations and their cash flows for each of the three years in the period ended December 31, 2011,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As discussed in Note 1 to the consolidated financial statements, in the year ended December 31, 2011, the Company changed its method of recognizing revenue for multiple element arrangements in accordance with the Financial Accounting Standards Board's Accounting Standards Update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and ASU 2009-14, </w:t>
      </w:r>
      <w:r>
        <w:rPr>
          <w:rFonts w:ascii="Arial" w:cs="Arial" w:eastAsia="Arial" w:hAnsi="Arial"/>
          <w:sz w:val="17"/>
          <w:szCs w:val="17"/>
          <w:i w:val="1"/>
          <w:iCs w:val="1"/>
          <w:color w:val="auto"/>
        </w:rPr>
        <w:t>Certain Revenue Arrangements that include Software Elements.</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27, 2012 expressed an unqualified opinion on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122" w:right="2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FF"/>
            </w:tcBorders>
          </w:tcPr>
          <w:p>
            <w:pPr>
              <w:spacing w:after="0"/>
              <w:rPr>
                <w:sz w:val="24"/>
                <w:szCs w:val="24"/>
                <w:color w:val="auto"/>
              </w:rPr>
            </w:pPr>
          </w:p>
        </w:tc>
        <w:tc>
          <w:tcPr>
            <w:tcW w:w="7320" w:type="dxa"/>
            <w:vAlign w:val="bottom"/>
          </w:tcPr>
          <w:p>
            <w:pPr>
              <w:ind w:left="3120"/>
              <w:spacing w:after="0"/>
              <w:rPr>
                <w:sz w:val="20"/>
                <w:szCs w:val="20"/>
                <w:color w:val="auto"/>
              </w:rPr>
            </w:pPr>
            <w:r>
              <w:rPr>
                <w:rFonts w:ascii="Arial" w:cs="Arial" w:eastAsia="Arial" w:hAnsi="Arial"/>
                <w:sz w:val="18"/>
                <w:szCs w:val="18"/>
                <w:b w:val="1"/>
                <w:bCs w:val="1"/>
                <w:color w:val="auto"/>
              </w:rPr>
              <w:t>FORTINET, INC. AND SUBSIDIARIES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ind w:left="3140"/>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ind w:left="3120"/>
              <w:spacing w:after="0"/>
              <w:rPr>
                <w:sz w:val="20"/>
                <w:szCs w:val="20"/>
                <w:color w:val="auto"/>
              </w:rPr>
            </w:pPr>
            <w:r>
              <w:rPr>
                <w:rFonts w:ascii="Arial" w:cs="Arial" w:eastAsia="Arial" w:hAnsi="Arial"/>
                <w:sz w:val="18"/>
                <w:szCs w:val="18"/>
                <w:b w:val="1"/>
                <w:bCs w:val="1"/>
                <w:color w:val="auto"/>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66,859</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318,283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246,651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3"/>
              </w:rPr>
              <w:t>Accounts receivable, net of allowance for doubtful accounts of $336 and $303 at December 31, 2011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December 31, 2010,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72,336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16,249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13,517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8,849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cost of revenues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523,570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420,158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ASSET—Non-current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37,443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148,414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73,950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734,747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545,422</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12,761</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16,303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206,928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169,648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218,382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REVENUE—Non-current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82,983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11,603</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376,393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312,968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Common stock, $0.001 par value — 300,000 shares authorized; 156,401 and 150,172 shares issued and 154,992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and 148,763 shares outstanding at December 31, 2011 and December 31, 2010,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317,026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251,845</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Treasury stock</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(18,727)</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358,354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232,454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734,747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545,422</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Fiscal Year</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ind w:right="651"/>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20" w:type="dxa"/>
            <w:vAlign w:val="bottom"/>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197,408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135,140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98,686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220,268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139,172</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14,257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1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433,576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252,115</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42,166</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35,486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26,967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22,265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113,598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85,206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69,975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124,207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83,196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56,520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184,782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116,907</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11,215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gross profit</w:t>
            </w:r>
          </w:p>
        </w:tc>
        <w:tc>
          <w:tcPr>
            <w:tcW w:w="1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319,978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182,140</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42,195</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145,532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111,968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96,291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231,074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184,149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156,806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55,341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92,073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56,341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62,492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41,245</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60,179</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common stockholders (Note 7):</w:t>
            </w: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152,581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140,726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52,668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163,781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156,406</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130,438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CONSOLIDATED STATEMENTS OF STOCKHOLDERS’ EQUITY AND COMPREHENSIVE INCOME FOR THE YEARS ENDED DECEMBER 31, 2011, DECEMBER 31, 2010 AND DECEMBER 31, 2009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00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3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360" w:type="dxa"/>
            <w:vAlign w:val="bottom"/>
            <w:gridSpan w:val="5"/>
            <w:vMerge w:val="continue"/>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Earnings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50"/>
        </w:trPr>
        <w:tc>
          <w:tcPr>
            <w:tcW w:w="24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4"/>
                <w:szCs w:val="4"/>
                <w:color w:val="auto"/>
              </w:rPr>
            </w:pPr>
          </w:p>
        </w:tc>
        <w:tc>
          <w:tcPr>
            <w:tcW w:w="740" w:type="dxa"/>
            <w:vAlign w:val="bottom"/>
            <w:vMerge w:val="restart"/>
          </w:tcPr>
          <w:p>
            <w:pPr>
              <w:jc w:val="center"/>
              <w:ind w:right="88"/>
              <w:spacing w:after="0" w:line="14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440" w:type="dxa"/>
            <w:vAlign w:val="bottom"/>
          </w:tcPr>
          <w:p>
            <w:pPr>
              <w:spacing w:after="0"/>
              <w:rPr>
                <w:sz w:val="6"/>
                <w:szCs w:val="6"/>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6"/>
                <w:szCs w:val="6"/>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6"/>
                <w:szCs w:val="6"/>
                <w:color w:val="auto"/>
              </w:rPr>
            </w:pPr>
          </w:p>
        </w:tc>
        <w:tc>
          <w:tcPr>
            <w:tcW w:w="204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Amount   Shares   Amount</w:t>
            </w:r>
          </w:p>
        </w:tc>
        <w:tc>
          <w:tcPr>
            <w:tcW w:w="78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40" w:type="dxa"/>
            <w:vAlign w:val="bottom"/>
            <w:gridSpan w:val="7"/>
            <w:vMerge w:val="continue"/>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19"/>
                <w:szCs w:val="19"/>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9"/>
                <w:szCs w:val="19"/>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97"/>
              </w:rPr>
              <w:t>Income (loss)</w:t>
            </w:r>
          </w:p>
        </w:tc>
        <w:tc>
          <w:tcPr>
            <w:tcW w:w="0" w:type="dxa"/>
            <w:vAlign w:val="bottom"/>
          </w:tcPr>
          <w:p>
            <w:pPr>
              <w:spacing w:after="0"/>
              <w:rPr>
                <w:sz w:val="1"/>
                <w:szCs w:val="1"/>
                <w:color w:val="auto"/>
              </w:rPr>
            </w:pPr>
          </w:p>
        </w:tc>
      </w:tr>
      <w:tr>
        <w:trPr>
          <w:trHeight w:val="251"/>
        </w:trPr>
        <w:tc>
          <w:tcPr>
            <w:tcW w:w="2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28, 2008</w:t>
            </w:r>
          </w:p>
        </w:tc>
        <w:tc>
          <w:tcPr>
            <w:tcW w:w="5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80,960</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94,368</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41,440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20,813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(120,151)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(5,229)</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280"/>
              <w:spacing w:after="0" w:line="157" w:lineRule="exact"/>
              <w:rPr>
                <w:sz w:val="20"/>
                <w:szCs w:val="20"/>
                <w:color w:val="auto"/>
              </w:rPr>
            </w:pPr>
            <w:r>
              <w:rPr>
                <w:rFonts w:ascii="Arial" w:cs="Arial" w:eastAsia="Arial" w:hAnsi="Arial"/>
                <w:sz w:val="14"/>
                <w:szCs w:val="14"/>
                <w:color w:val="auto"/>
                <w:w w:val="95"/>
              </w:rPr>
              <w:t>Repurchase of convertible preferred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80"/>
              <w:spacing w:after="0"/>
              <w:rPr>
                <w:sz w:val="20"/>
                <w:szCs w:val="20"/>
                <w:color w:val="auto"/>
              </w:rPr>
            </w:pPr>
            <w:r>
              <w:rPr>
                <w:rFonts w:ascii="Arial" w:cs="Arial" w:eastAsia="Arial" w:hAnsi="Arial"/>
                <w:sz w:val="14"/>
                <w:szCs w:val="14"/>
                <w:color w:val="auto"/>
              </w:rPr>
              <w:t>shares</w:t>
            </w:r>
          </w:p>
        </w:tc>
        <w:tc>
          <w:tcPr>
            <w:tcW w:w="580" w:type="dxa"/>
            <w:vAlign w:val="bottom"/>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(3,183)</w:t>
            </w:r>
          </w:p>
        </w:tc>
        <w:tc>
          <w:tcPr>
            <w:tcW w:w="10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(9,585)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(12,768)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shares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(2,995)</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280"/>
              <w:spacing w:after="0" w:line="157" w:lineRule="exact"/>
              <w:rPr>
                <w:sz w:val="20"/>
                <w:szCs w:val="20"/>
                <w:color w:val="auto"/>
              </w:rPr>
            </w:pPr>
            <w:r>
              <w:rPr>
                <w:rFonts w:ascii="Arial" w:cs="Arial" w:eastAsia="Arial" w:hAnsi="Arial"/>
                <w:sz w:val="14"/>
                <w:szCs w:val="14"/>
                <w:color w:val="auto"/>
              </w:rPr>
              <w:t>Convertible preferred shares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280"/>
              <w:spacing w:after="0" w:line="149" w:lineRule="exact"/>
              <w:rPr>
                <w:sz w:val="20"/>
                <w:szCs w:val="20"/>
                <w:color w:val="auto"/>
              </w:rPr>
            </w:pPr>
            <w:r>
              <w:rPr>
                <w:rFonts w:ascii="Arial" w:cs="Arial" w:eastAsia="Arial" w:hAnsi="Arial"/>
                <w:sz w:val="14"/>
                <w:szCs w:val="14"/>
                <w:color w:val="auto"/>
              </w:rPr>
              <w:t>converted to common shares in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280"/>
              <w:spacing w:after="0" w:line="149" w:lineRule="exact"/>
              <w:rPr>
                <w:sz w:val="20"/>
                <w:szCs w:val="20"/>
                <w:color w:val="auto"/>
              </w:rPr>
            </w:pPr>
            <w:r>
              <w:rPr>
                <w:rFonts w:ascii="Arial" w:cs="Arial" w:eastAsia="Arial" w:hAnsi="Arial"/>
                <w:sz w:val="14"/>
                <w:szCs w:val="14"/>
                <w:color w:val="auto"/>
              </w:rPr>
              <w:t>connection with initial public</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80"/>
              <w:spacing w:after="0"/>
              <w:rPr>
                <w:sz w:val="20"/>
                <w:szCs w:val="20"/>
                <w:color w:val="auto"/>
              </w:rPr>
            </w:pPr>
            <w:r>
              <w:rPr>
                <w:rFonts w:ascii="Arial" w:cs="Arial" w:eastAsia="Arial" w:hAnsi="Arial"/>
                <w:sz w:val="14"/>
                <w:szCs w:val="14"/>
                <w:color w:val="auto"/>
              </w:rPr>
              <w:t>offering</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(74,952)</w:t>
            </w:r>
          </w:p>
        </w:tc>
        <w:tc>
          <w:tcPr>
            <w:tcW w:w="10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w w:val="99"/>
              </w:rPr>
              <w:t>(91,185)</w:t>
            </w:r>
          </w:p>
        </w:tc>
        <w:tc>
          <w:tcPr>
            <w:tcW w:w="10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74,952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91,110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initial public</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offering, net of issuance costs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87,388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Arial" w:cs="Arial" w:eastAsia="Arial" w:hAnsi="Arial"/>
                <w:sz w:val="14"/>
                <w:szCs w:val="14"/>
                <w:color w:val="auto"/>
              </w:rPr>
              <w:t>Exercise of warrants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280"/>
              <w:spacing w:after="0" w:line="157" w:lineRule="exact"/>
              <w:rPr>
                <w:sz w:val="20"/>
                <w:szCs w:val="20"/>
                <w:color w:val="auto"/>
              </w:rPr>
            </w:pPr>
            <w:r>
              <w:rPr>
                <w:rFonts w:ascii="Arial" w:cs="Arial" w:eastAsia="Arial" w:hAnsi="Arial"/>
                <w:sz w:val="14"/>
                <w:szCs w:val="14"/>
                <w:color w:val="auto"/>
                <w:w w:val="95"/>
              </w:rPr>
              <w:t>Proceeds from issuance of common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80"/>
              <w:spacing w:after="0"/>
              <w:rPr>
                <w:sz w:val="20"/>
                <w:szCs w:val="20"/>
                <w:color w:val="auto"/>
              </w:rPr>
            </w:pPr>
            <w:r>
              <w:rPr>
                <w:rFonts w:ascii="Arial" w:cs="Arial" w:eastAsia="Arial" w:hAnsi="Arial"/>
                <w:sz w:val="14"/>
                <w:szCs w:val="14"/>
                <w:color w:val="auto"/>
              </w:rPr>
              <w:t>stock</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Warrants issued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7,461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from employee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option plans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380"/>
              <w:spacing w:after="0" w:line="157" w:lineRule="exact"/>
              <w:rPr>
                <w:sz w:val="20"/>
                <w:szCs w:val="20"/>
                <w:color w:val="auto"/>
              </w:rPr>
            </w:pPr>
            <w:r>
              <w:rPr>
                <w:rFonts w:ascii="Arial" w:cs="Arial" w:eastAsia="Arial" w:hAnsi="Arial"/>
                <w:sz w:val="14"/>
                <w:szCs w:val="14"/>
                <w:color w:val="auto"/>
              </w:rPr>
              <w:t>Net unrealized gain 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380"/>
              <w:spacing w:after="0"/>
              <w:rPr>
                <w:sz w:val="20"/>
                <w:szCs w:val="20"/>
                <w:color w:val="auto"/>
              </w:rPr>
            </w:pPr>
            <w:r>
              <w:rPr>
                <w:rFonts w:ascii="Arial" w:cs="Arial" w:eastAsia="Arial" w:hAnsi="Arial"/>
                <w:sz w:val="14"/>
                <w:szCs w:val="14"/>
                <w:color w:val="auto"/>
              </w:rPr>
              <w:t>investments—net of taxes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change in cumulative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translation adjustments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264"/>
        </w:trPr>
        <w:tc>
          <w:tcPr>
            <w:tcW w:w="2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60,179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60,179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60,179</w:t>
            </w:r>
          </w:p>
        </w:tc>
        <w:tc>
          <w:tcPr>
            <w:tcW w:w="0" w:type="dxa"/>
            <w:vAlign w:val="bottom"/>
          </w:tcPr>
          <w:p>
            <w:pPr>
              <w:spacing w:after="0"/>
              <w:rPr>
                <w:sz w:val="1"/>
                <w:szCs w:val="1"/>
                <w:color w:val="auto"/>
              </w:rPr>
            </w:pPr>
          </w:p>
        </w:tc>
      </w:tr>
      <w:tr>
        <w:trPr>
          <w:trHeight w:val="283"/>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Comprehensive income</w:t>
            </w: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61,563</w:t>
            </w:r>
          </w:p>
        </w:tc>
        <w:tc>
          <w:tcPr>
            <w:tcW w:w="0" w:type="dxa"/>
            <w:vAlign w:val="bottom"/>
          </w:tcPr>
          <w:p>
            <w:pPr>
              <w:spacing w:after="0"/>
              <w:rPr>
                <w:sz w:val="1"/>
                <w:szCs w:val="1"/>
                <w:color w:val="auto"/>
              </w:rPr>
            </w:pPr>
          </w:p>
        </w:tc>
      </w:tr>
      <w:tr>
        <w:trPr>
          <w:trHeight w:val="245"/>
        </w:trPr>
        <w:tc>
          <w:tcPr>
            <w:tcW w:w="2440" w:type="dxa"/>
            <w:vAlign w:val="bottom"/>
          </w:tcPr>
          <w:p>
            <w:pPr>
              <w:ind w:left="40"/>
              <w:spacing w:after="0"/>
              <w:rPr>
                <w:sz w:val="20"/>
                <w:szCs w:val="20"/>
                <w:color w:val="auto"/>
              </w:rPr>
            </w:pPr>
            <w:r>
              <w:rPr>
                <w:rFonts w:ascii="Arial" w:cs="Arial" w:eastAsia="Arial" w:hAnsi="Arial"/>
                <w:sz w:val="14"/>
                <w:szCs w:val="14"/>
                <w:color w:val="auto"/>
              </w:rPr>
              <w:t>BALANCE—December 31, 2009</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w w:val="94"/>
              </w:rPr>
              <w:t>135,034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(2,995)</w:t>
            </w:r>
          </w:p>
        </w:tc>
        <w:tc>
          <w:tcPr>
            <w:tcW w:w="1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(59,972)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142,452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 and</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15,138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9,315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benefit from employee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option plans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9,235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380"/>
              <w:spacing w:after="0" w:line="157" w:lineRule="exact"/>
              <w:rPr>
                <w:sz w:val="20"/>
                <w:szCs w:val="20"/>
                <w:color w:val="auto"/>
              </w:rPr>
            </w:pPr>
            <w:r>
              <w:rPr>
                <w:rFonts w:ascii="Arial" w:cs="Arial" w:eastAsia="Arial" w:hAnsi="Arial"/>
                <w:sz w:val="14"/>
                <w:szCs w:val="14"/>
                <w:color w:val="auto"/>
              </w:rPr>
              <w:t>Net unrealized gain on</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380"/>
              <w:spacing w:after="0"/>
              <w:rPr>
                <w:sz w:val="20"/>
                <w:szCs w:val="20"/>
                <w:color w:val="auto"/>
              </w:rPr>
            </w:pPr>
            <w:r>
              <w:rPr>
                <w:rFonts w:ascii="Arial" w:cs="Arial" w:eastAsia="Arial" w:hAnsi="Arial"/>
                <w:sz w:val="14"/>
                <w:szCs w:val="14"/>
                <w:color w:val="auto"/>
              </w:rPr>
              <w:t>investments - net of taxes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Net unrealized gain on derivatives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qualifying as cash flow hedges</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7"/>
        </w:trPr>
        <w:tc>
          <w:tcPr>
            <w:tcW w:w="2440" w:type="dxa"/>
            <w:vAlign w:val="bottom"/>
          </w:tcPr>
          <w:p>
            <w:pPr>
              <w:ind w:left="380"/>
              <w:spacing w:after="0" w:line="157" w:lineRule="exact"/>
              <w:rPr>
                <w:sz w:val="20"/>
                <w:szCs w:val="20"/>
                <w:color w:val="auto"/>
              </w:rPr>
            </w:pPr>
            <w:r>
              <w:rPr>
                <w:rFonts w:ascii="Arial" w:cs="Arial" w:eastAsia="Arial" w:hAnsi="Arial"/>
                <w:sz w:val="14"/>
                <w:szCs w:val="14"/>
                <w:color w:val="auto"/>
              </w:rPr>
              <w:t>Net change in cumulative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380"/>
              <w:spacing w:after="0"/>
              <w:rPr>
                <w:sz w:val="20"/>
                <w:szCs w:val="20"/>
                <w:color w:val="auto"/>
              </w:rPr>
            </w:pPr>
            <w:r>
              <w:rPr>
                <w:rFonts w:ascii="Arial" w:cs="Arial" w:eastAsia="Arial" w:hAnsi="Arial"/>
                <w:sz w:val="14"/>
                <w:szCs w:val="14"/>
                <w:color w:val="auto"/>
              </w:rPr>
              <w:t>translation adjustments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70"/>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41,245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41,245</w:t>
            </w:r>
          </w:p>
        </w:tc>
        <w:tc>
          <w:tcPr>
            <w:tcW w:w="0" w:type="dxa"/>
            <w:vAlign w:val="bottom"/>
          </w:tcPr>
          <w:p>
            <w:pPr>
              <w:spacing w:after="0"/>
              <w:rPr>
                <w:sz w:val="1"/>
                <w:szCs w:val="1"/>
                <w:color w:val="auto"/>
              </w:rPr>
            </w:pPr>
          </w:p>
        </w:tc>
      </w:tr>
      <w:tr>
        <w:trPr>
          <w:trHeight w:val="288"/>
        </w:trPr>
        <w:tc>
          <w:tcPr>
            <w:tcW w:w="2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Comprehensive income</w:t>
            </w: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42,342</w:t>
            </w:r>
          </w:p>
        </w:tc>
        <w:tc>
          <w:tcPr>
            <w:tcW w:w="0" w:type="dxa"/>
            <w:vAlign w:val="bottom"/>
          </w:tcPr>
          <w:p>
            <w:pPr>
              <w:spacing w:after="0"/>
              <w:rPr>
                <w:sz w:val="1"/>
                <w:szCs w:val="1"/>
                <w:color w:val="auto"/>
              </w:rPr>
            </w:pPr>
          </w:p>
        </w:tc>
      </w:tr>
      <w:tr>
        <w:trPr>
          <w:trHeight w:val="251"/>
        </w:trPr>
        <w:tc>
          <w:tcPr>
            <w:tcW w:w="2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2010</w:t>
            </w:r>
          </w:p>
        </w:tc>
        <w:tc>
          <w:tcPr>
            <w:tcW w:w="6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150,172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 (2,995)</w:t>
            </w:r>
          </w:p>
        </w:tc>
        <w:tc>
          <w:tcPr>
            <w:tcW w:w="12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$251,844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2,181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(18,727)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232,453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4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6,229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19,962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19,968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19,015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440" w:type="dxa"/>
            <w:vAlign w:val="bottom"/>
          </w:tcPr>
          <w:p>
            <w:pPr>
              <w:ind w:left="280"/>
              <w:spacing w:after="0" w:line="157" w:lineRule="exact"/>
              <w:rPr>
                <w:sz w:val="20"/>
                <w:szCs w:val="20"/>
                <w:color w:val="auto"/>
              </w:rPr>
            </w:pPr>
            <w:r>
              <w:rPr>
                <w:rFonts w:ascii="Arial" w:cs="Arial" w:eastAsia="Arial" w:hAnsi="Arial"/>
                <w:sz w:val="14"/>
                <w:szCs w:val="14"/>
                <w:color w:val="auto"/>
              </w:rPr>
              <w:t>Income tax benefit from employee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280"/>
              <w:spacing w:after="0"/>
              <w:rPr>
                <w:sz w:val="20"/>
                <w:szCs w:val="20"/>
                <w:color w:val="auto"/>
              </w:rPr>
            </w:pPr>
            <w:r>
              <w:rPr>
                <w:rFonts w:ascii="Arial" w:cs="Arial" w:eastAsia="Arial" w:hAnsi="Arial"/>
                <w:sz w:val="14"/>
                <w:szCs w:val="14"/>
                <w:color w:val="auto"/>
              </w:rPr>
              <w:t>stock option plans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26,205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26,205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3"/>
              </w:rPr>
              <w:t>Net unrealized loss on investments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net of taxes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57"/>
        </w:trPr>
        <w:tc>
          <w:tcPr>
            <w:tcW w:w="2440" w:type="dxa"/>
            <w:vAlign w:val="bottom"/>
          </w:tcPr>
          <w:p>
            <w:pPr>
              <w:ind w:left="380"/>
              <w:spacing w:after="0" w:line="157" w:lineRule="exact"/>
              <w:rPr>
                <w:sz w:val="20"/>
                <w:szCs w:val="20"/>
                <w:color w:val="auto"/>
              </w:rPr>
            </w:pPr>
            <w:r>
              <w:rPr>
                <w:rFonts w:ascii="Arial" w:cs="Arial" w:eastAsia="Arial" w:hAnsi="Arial"/>
                <w:sz w:val="14"/>
                <w:szCs w:val="14"/>
                <w:color w:val="auto"/>
                <w:w w:val="97"/>
              </w:rPr>
              <w:t>Net unrealized loss on derivatives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380"/>
              <w:spacing w:after="0"/>
              <w:rPr>
                <w:sz w:val="20"/>
                <w:szCs w:val="20"/>
                <w:color w:val="auto"/>
              </w:rPr>
            </w:pPr>
            <w:r>
              <w:rPr>
                <w:rFonts w:ascii="Arial" w:cs="Arial" w:eastAsia="Arial" w:hAnsi="Arial"/>
                <w:sz w:val="14"/>
                <w:szCs w:val="14"/>
                <w:color w:val="auto"/>
              </w:rPr>
              <w:t>qualifying as cash flow hedges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3"/>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change in cumulative</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translation adjustments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64"/>
        </w:trPr>
        <w:tc>
          <w:tcPr>
            <w:tcW w:w="24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62,492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62,492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62,492</w:t>
            </w:r>
          </w:p>
        </w:tc>
        <w:tc>
          <w:tcPr>
            <w:tcW w:w="0" w:type="dxa"/>
            <w:vAlign w:val="bottom"/>
          </w:tcPr>
          <w:p>
            <w:pPr>
              <w:spacing w:after="0"/>
              <w:rPr>
                <w:sz w:val="1"/>
                <w:szCs w:val="1"/>
                <w:color w:val="auto"/>
              </w:rPr>
            </w:pPr>
          </w:p>
        </w:tc>
      </w:tr>
      <w:tr>
        <w:trPr>
          <w:trHeight w:val="283"/>
        </w:trPr>
        <w:tc>
          <w:tcPr>
            <w:tcW w:w="2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Comprehensive income</w:t>
            </w: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85"/>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60,713</w:t>
            </w:r>
          </w:p>
        </w:tc>
        <w:tc>
          <w:tcPr>
            <w:tcW w:w="0" w:type="dxa"/>
            <w:vAlign w:val="bottom"/>
          </w:tcPr>
          <w:p>
            <w:pPr>
              <w:spacing w:after="0"/>
              <w:rPr>
                <w:sz w:val="1"/>
                <w:szCs w:val="1"/>
                <w:color w:val="auto"/>
              </w:rPr>
            </w:pPr>
          </w:p>
        </w:tc>
      </w:tr>
      <w:tr>
        <w:trPr>
          <w:trHeight w:val="237"/>
        </w:trPr>
        <w:tc>
          <w:tcPr>
            <w:tcW w:w="2440" w:type="dxa"/>
            <w:vAlign w:val="bottom"/>
          </w:tcPr>
          <w:p>
            <w:pPr>
              <w:ind w:left="40"/>
              <w:spacing w:after="0"/>
              <w:rPr>
                <w:sz w:val="20"/>
                <w:szCs w:val="20"/>
                <w:color w:val="auto"/>
              </w:rPr>
            </w:pPr>
            <w:r>
              <w:rPr>
                <w:rFonts w:ascii="Arial" w:cs="Arial" w:eastAsia="Arial" w:hAnsi="Arial"/>
                <w:sz w:val="14"/>
                <w:szCs w:val="14"/>
                <w:color w:val="auto"/>
              </w:rPr>
              <w:t>BALANCE—December 31, 2011</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156,401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2"/>
              </w:rPr>
              <w:t>$ (2,995)</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$317,026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43,765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358,354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2009</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62,492</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41,245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60,179</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6,989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5,696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5,935</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Write-off of intangible assets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2,387</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Loss on disposal of fixed assets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 net of discounts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7,349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19,015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9,315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7,461</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employee stock option plans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Income tax benefit from release of valuation allowance</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(30,211)</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(23,246)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(8,508)</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(7,874)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(9,578)</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cost of revenues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(1,063)</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3,046</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2,157</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630</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30,313</w:t>
            </w:r>
          </w:p>
        </w:tc>
      </w:tr>
      <w:tr>
        <w:trPr>
          <w:trHeight w:val="264"/>
        </w:trPr>
        <w:tc>
          <w:tcPr>
            <w:tcW w:w="708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35,964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2,582</w:t>
            </w:r>
          </w:p>
        </w:tc>
      </w:tr>
      <w:tr>
        <w:trPr>
          <w:trHeight w:val="256"/>
        </w:trPr>
        <w:tc>
          <w:tcPr>
            <w:tcW w:w="70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132,842</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103,383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61,971</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 of investments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(516,906)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(137,231)</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Maturities and sales of investments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356,327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136,380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156,126</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 of property and equipment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(4,589)</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Payments made in connection with acquisition, net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7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restricted cash</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(166,826)</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(283,710)</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13,757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Proceeds from exercise of stock options and warrants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19,968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29,110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3,978</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initial public offering</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91,565</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Offering costs paid in connection with initial public offering</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(3,305)</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of convertible preferred shares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(12,768)</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Repurchase of common shares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(2,995)</w:t>
            </w:r>
          </w:p>
        </w:tc>
      </w:tr>
      <w:tr>
        <w:trPr>
          <w:trHeight w:val="27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 from employee stock option plans</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39,797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78,049</w:t>
            </w:r>
          </w:p>
        </w:tc>
      </w:tr>
      <w:tr>
        <w:trPr>
          <w:trHeight w:val="25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2,110</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(145,599)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155,887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year</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66,859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212,458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56,571</w:t>
            </w:r>
          </w:p>
        </w:tc>
      </w:tr>
      <w:tr>
        <w:trPr>
          <w:trHeight w:val="283"/>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year</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71,990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66,859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212,458</w:t>
            </w: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(refunded) for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4,746</w:t>
            </w: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849</w:t>
            </w: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Accrued offering costs not yet paid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77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771"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FORTINET, INC. AND SUBSIDIARIES</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leading provider of network security appliances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UTM network security solutions to enterprises, service providers and governmental entities worldwide. Fortinet’s solutions are designed to integrate multiple levels of security protection, including firewall, virtual private networking, application control, antivirus, intrusion prevention, web filtering, antispam and WAN acceleration.</w:t>
      </w:r>
    </w:p>
    <w:p>
      <w:pPr>
        <w:spacing w:after="0" w:line="18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consolidated financial statements include the accounts of Fortinet and its wholly owned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the “Company,” “we,” “us” or “our”). All intercompany transactions and balances have been eliminated in consolidation. Beginning 2005 fiscal year, we adopted a 52- to 53-week year ending on the Sunday closest to December 31 of each year. Commencing in the third quarter of fiscal 2009, we began operating and reporting financial results on a calendar quarter and year basis. Our 2009 fiscal year ended on December 31, 2009. Fiscal 2011, 2010 and 2009 were comprised of 365 days, 365 days and 368 days, respectively.</w:t>
      </w:r>
    </w:p>
    <w:p>
      <w:pPr>
        <w:spacing w:after="0" w:line="172"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Effective June 1, 2011, we completed a two-for-one stock split of our outstanding common shares in the form of a stock dividend. All shares and per share information referenced throughout the consolidated financial statements have been retroactively adjusted to reflect this stock split.</w:t>
      </w:r>
    </w:p>
    <w:p>
      <w:pPr>
        <w:spacing w:after="0" w:line="143"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conformity with accounting principles generally accepted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of America requires management to make estimates and assumptions that affect the reported amounts of assets and liabilities at the date of the consolidated financial statements and the reported amounts of revenues and expenses during the reporting period. Such management estimates include implicit service periods for revenue recognition, litigation and settlement costs and other loss contingencies, sales returns and allowances, reserve for bad debt, inventory write-offs, reserve for warranty costs, valuation of deferred tax assets, and tangible and intangible assets. We base our estimates on historical experience and also on assumptions that we believe are reasonable. Actual results could differ from those estimates.</w:t>
      </w:r>
    </w:p>
    <w:p>
      <w:pPr>
        <w:spacing w:after="0" w:line="1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Certain Significant Risks and Uncertainties</w:t>
      </w:r>
      <w:r>
        <w:rPr>
          <w:rFonts w:ascii="Arial" w:cs="Arial" w:eastAsia="Arial" w:hAnsi="Arial"/>
          <w:sz w:val="16"/>
          <w:szCs w:val="16"/>
          <w:color w:val="auto"/>
        </w:rPr>
        <w:t>—We are subject to certain risks and uncertainties that could have a material adverse effect on our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financial position or results of operations, such as the following: changes in level of demand for our products and services, the timing and success of new product and service introductions by us or our competitors, price and sales competition and our ability to adapt to changing market conditions and dynamics such as changes in end-customer, distributor or reseller requirements or market needs, changes in expenses caused, for example, by fluctuations in foreign currency exchange rates, management of inventory, internal control over financial reporting, market acceptance of our new products and services, demand for UTM products and services in general, seasonality, failure of our channel partners to perform or other disruption in our channel, the quality of our products and services and the market perception of our response to new viruses or security breaches, general economic conditions, challenges in doing business outside of the United States of America, changes in customer relationships, litigation, or claims against us based on intellectual property, patent, product regulatory or other factors (Note 9), product obsolescence, and our ability to attract and retain qualified employees.</w:t>
      </w:r>
    </w:p>
    <w:p>
      <w:pPr>
        <w:spacing w:after="0" w:line="16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rely on sole suppliers and independent contract manufacturers for certain of our components and one third-party logistics company for certain distribution of our products. The inability of any of these parties to fulfill our supply and logistics requirements could negatively impact our future operating results.</w:t>
      </w:r>
    </w:p>
    <w:p>
      <w:pPr>
        <w:spacing w:after="0" w:line="177"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investments, and accounts receivable. We maintain our cash and cash equivalents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2011 and December 31, 2010, no single customer accounted for more than 10% of net accounts receivable.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2" w:right="27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fiscal 2011 and 2010, no single customer accounted for more than 10% of total net revenues. During fiscal 2009, one customer accounted for 12% of total net revenues.</w:t>
      </w:r>
    </w:p>
    <w:p>
      <w:pPr>
        <w:spacing w:after="0" w:line="166"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Financial Instruments and Fair Value</w:t>
      </w:r>
      <w:r>
        <w:rPr>
          <w:rFonts w:ascii="Arial" w:cs="Arial" w:eastAsia="Arial" w:hAnsi="Arial"/>
          <w:sz w:val="16"/>
          <w:szCs w:val="16"/>
          <w:color w:val="auto"/>
        </w:rPr>
        <w:t>—We apply fair value accounting for all financial assets and liabilities and non-financial assets and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compensation, and other current liabilities.</w:t>
      </w:r>
    </w:p>
    <w:p>
      <w:pPr>
        <w:spacing w:after="0" w:line="14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Comprehensive Income (Loss)</w:t>
      </w:r>
      <w:r>
        <w:rPr>
          <w:rFonts w:ascii="Arial" w:cs="Arial" w:eastAsia="Arial" w:hAnsi="Arial"/>
          <w:sz w:val="18"/>
          <w:szCs w:val="18"/>
          <w:color w:val="auto"/>
        </w:rPr>
        <w:t>—ASC 220 establishes standards for the reporting and displaying of comprehensive income and its components.</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income includes certain changes in equity from non-owner sources that are excluded from net income. Specifically, cumulative foreign currency translation adjustments, unrealized gains and losses on available-for-sale investments, and unrealized gains and losses on derivatives are included in comprehensive income in stockholders' equity.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—Assets and liabilities of foreign subsidiaries are translated into U.S. dollars using the exchange rates in effect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dates and revenue and expenses are translated using average exchange rates during the period. The resulting foreign translation adjustments are recorded in accumulated other comprehensive income (loss). Foreign currency transaction gains (losses) of $(0.4) million, $(0.8) million and $0.1 million, are included in other income (expense), net for fiscal 2011, 2010 and 2009, respectively.</w:t>
      </w:r>
    </w:p>
    <w:p>
      <w:pPr>
        <w:spacing w:after="0" w:line="18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cash on-hand, balances with banks, and highly liquid investments in money market funds, commercial paper, and certificates of deposit.</w:t>
      </w:r>
    </w:p>
    <w:p>
      <w:pPr>
        <w:spacing w:after="0" w:line="18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are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—Inventory is recorded at the lower of cost (using the first-in, first-out method) or market, after we give appropriate consideration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84"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Deferred Cost of Revenues</w:t>
      </w:r>
      <w:r>
        <w:rPr>
          <w:rFonts w:ascii="Arial" w:cs="Arial" w:eastAsia="Arial" w:hAnsi="Arial"/>
          <w:sz w:val="18"/>
          <w:szCs w:val="18"/>
          <w:color w:val="auto"/>
        </w:rPr>
        <w:t>—Deferred cost of revenues represent the unamortized cost of products associated with services and ratable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which is based upon the actual cost of the hardware sold and is recognized over the service periods of the arrangements. Deferred cost of revenue associated with short-term deferred revenue is classified as short-term and deferred cost of revenue associated with long-term deferred revenue is classified as long-term.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0"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6"/>
          <w:szCs w:val="16"/>
          <w:color w:val="auto"/>
        </w:rPr>
        <w:t>—Property and equipment are stated at cost. Depreciation is computed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generally one to three years. Evaluation units are transferred from inventory at cost and are amortized over one year from the date of transfer. Leasehold improvements are amortized over the shorter of the estimated useful lives of the improvements or the lease term.</w:t>
      </w:r>
    </w:p>
    <w:p>
      <w:pPr>
        <w:spacing w:after="0" w:line="14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Deferred Revenue</w:t>
      </w:r>
      <w:r>
        <w:rPr>
          <w:rFonts w:ascii="Arial" w:cs="Arial" w:eastAsia="Arial" w:hAnsi="Arial"/>
          <w:sz w:val="17"/>
          <w:szCs w:val="17"/>
          <w:color w:val="auto"/>
        </w:rPr>
        <w:t>—Deferred revenue consists of amounts that have been invoiced but that have not yet been recognized as revenue.</w:t>
      </w:r>
    </w:p>
    <w:p>
      <w:pPr>
        <w:spacing w:after="0" w:line="23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—We record income taxes using the asset and liability method, which requires the recognition of deferred tax assets and liabilities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 We consider many factors when evaluating and estimating our tax positions and tax benefits, which may require periodic adjustments and which may not accurately anticipate actual outcomes.</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3"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—We apply ASC 718 to our stock option grants and stock purchase rights, which requires compensation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share-based transactions, including employee stock options and stock purchase rights under our ESPP, to be measured and recognized in the financial statements based on fair value. Under ASC 718, the fair value of each option award is estimated on the grant date using the Black-Scholes option pricing model.</w:t>
      </w:r>
    </w:p>
    <w:p>
      <w:pPr>
        <w:spacing w:after="0" w:line="18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is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 Our advertising expenses were not significant for any periods presented.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have not been capitalized as we believe our current software development process is</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completed concurrent with the establishment of technological feasibility.</w:t>
      </w:r>
    </w:p>
    <w:p>
      <w:pPr>
        <w:spacing w:after="0" w:line="16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—In October 2009, the FASB amended the ASC as summarized in ASU No. 2009-13,</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Recognition (Topic 605):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Multiple-Deliverable Revenue Arrangements, and </w:t>
      </w:r>
      <w:r>
        <w:rPr>
          <w:rFonts w:ascii="Arial" w:cs="Arial" w:eastAsia="Arial" w:hAnsi="Arial"/>
          <w:sz w:val="17"/>
          <w:szCs w:val="17"/>
          <w:color w:val="auto"/>
        </w:rPr>
        <w:t>ASU No. 2009-14,</w:t>
      </w:r>
      <w:r>
        <w:rPr>
          <w:rFonts w:ascii="Arial" w:cs="Arial" w:eastAsia="Arial" w:hAnsi="Arial"/>
          <w:sz w:val="17"/>
          <w:szCs w:val="17"/>
          <w:i w:val="1"/>
          <w:iCs w:val="1"/>
          <w:color w:val="auto"/>
        </w:rPr>
        <w:t xml:space="preserve"> Software (Topic 985): Certain Revenue Arrangements That Include Software Elements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ASU 2009-13 amends the accounting for multiple-element arrangements to provide guidance on how the deliverables in an arrangement should be separated and eliminates the use of the residual method. ASU 2009-13 also requires an entity to allocate revenue using the relative selling price method. The standard establishes a hierarchy of evidence to determine the stand-alone selling price of a deliverable based on VSOE, TPE, and the BESP. If VSOE is available, it would be used to determine the selling price of a deliverable. If VSOE is not available, the entity would determine whether TPE is available. If so, TPE must be used to determine the selling price. If TPE is not available, then the BESP would be used. ASU 2009-14 amends industry specific revenue accounting guidance for software and software related transactions to exclude from its scope tangible products containing software components and non-software components that function together to deliver the product's essential functionality.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Effective January 1, 2011, we adopted the provisions of ASU 2009-13 and ASU 2009-14 for new and materially modified arrangements originating after December 31, 2010. The adoption of ASU 2009-13 and ASU 2009-14, increased revenues $20.0 million for fiscal 2011. The increase was primarily due to certain product revenue, which can now be recognized upon shipment, but would have been deferred under the previous revenue recognition rules. We expect the adoption of ASU 2009-13 and ASU 2009-14 to have an impact on future periods; however, we cannot reasonably estimate the effect of adopting these standards on future financial periods as the impact will vary depending on the nature and volume of new or materially modified arrangements in any given period.</w:t>
      </w:r>
    </w:p>
    <w:p>
      <w:pPr>
        <w:spacing w:after="0" w:line="193"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This guidance does not generally change the units of accounting for our revenue transactions. Most non-software products and services qualify as separate units of accounting because they have value to the customer on a standalone basis and our revenue arrangements generally do not include a right of return relative to delivered products.</w:t>
      </w:r>
    </w:p>
    <w:p>
      <w:pPr>
        <w:spacing w:after="0" w:line="18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majority of our products are hardware appliances containing software components that function together to provide the essential functionality of the product, therefore, our hardware appliances are considered non-software deliverables and are no longer within the scope of ASC 985-605.</w:t>
      </w:r>
    </w:p>
    <w:p>
      <w:pPr>
        <w:spacing w:after="0" w:line="12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product revenue also includes software products that may operate on the hardware appliances, but are not considered essential to the functionality of the hardware and continue to be subject to the guidance at ASC 985-605, which remains unchanged. This includes the use of the residual method for multiple element arrangements. Certain of our software, when sold with our appliances, is considered essential to its functionality and as a result is no longer accounted for under ASC 985-605; however, this same software if sold separately is accounted for under the guidance at ASC 985-605.</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all transactions originating or materially modified after December 31, 2010, we recognize revenue in accordance with ASU 2009-13. Certain arrangements with multiple deliverables may continue to have software deliverables that are subject to ASC 985-605 along with non-software deliverables that are subject to the ASU 2009-13. When a sales arrangement contains multiple elements, such as hardware appliances, software, customer support services, and/or professional services, we allocate revenue to each element based on the aforementioned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in ASU 2009-13.</w:t>
      </w:r>
    </w:p>
    <w:p>
      <w:pPr>
        <w:spacing w:after="0" w:line="165" w:lineRule="exact"/>
        <w:rPr>
          <w:sz w:val="20"/>
          <w:szCs w:val="20"/>
          <w:color w:val="auto"/>
        </w:rPr>
      </w:pPr>
    </w:p>
    <w:p>
      <w:pPr>
        <w:ind w:right="460" w:firstLine="648"/>
        <w:spacing w:after="0" w:line="279" w:lineRule="auto"/>
        <w:rPr>
          <w:sz w:val="20"/>
          <w:szCs w:val="20"/>
          <w:color w:val="auto"/>
        </w:rPr>
      </w:pPr>
      <w:r>
        <w:rPr>
          <w:rFonts w:ascii="Arial" w:cs="Arial" w:eastAsia="Arial" w:hAnsi="Arial"/>
          <w:sz w:val="17"/>
          <w:szCs w:val="17"/>
          <w:color w:val="auto"/>
        </w:rPr>
        <w:t>VSOE of fair value for elements of an arrangement is based upon the normal pricing and discounting practices for those services when sold separately. In determining VSOE, we require that a substantial majority of the selling prices for a service fall within a reasonably narrow pricing range, generally evidenced by a substantial majority of such historical stand-alone transactions falling within a reasonably narrow range of the median rates. In addition, we consider major segments, geographies, customer classifications, and other variables in determining VSOE.</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typically not able to determine TPE for our products or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 Furthermore, we are unable to reliably determine what similar competitor products' selling prices are on a stand-alone basis.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For our hardware appliances we use BESP as our selling price. For our support and services, we generally use VSOE as our selling price. When we are unable to establish a selling price using VSOE for our support and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 We review our BESP estimates on a quarterly basis to coincide with our VSOE review process.</w:t>
      </w:r>
    </w:p>
    <w:p>
      <w:pPr>
        <w:spacing w:after="0" w:line="15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recognize revenue for our software sales based on software revenue recognition guidance pursuant to ASC 985-605. Under ASC 985-605,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derive revenue from sales of products, including appliances and software, and services, including subscription, support and other services. Our appliances include operating system software that is integrated into the appliance hardware and is deemed essential to its functionality. As a result, we account for revenue in accordance with ASC 985-605 and all related interpretations.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4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Persuasive evidence of an arrangement exists. Binding contracts or purchase orders are generally used to determine the existence of an arrangement.</w:t>
      </w:r>
    </w:p>
    <w:p>
      <w:pPr>
        <w:spacing w:after="0" w:line="17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Delivery has occurred. Delivery occurs when we fulfill an order and title and risk of loss has been transferred or upon delivery of the service contract registration code.</w:t>
      </w:r>
    </w:p>
    <w:p>
      <w:pPr>
        <w:spacing w:after="0" w:line="170" w:lineRule="exact"/>
        <w:rPr>
          <w:rFonts w:ascii="Arial" w:cs="Arial" w:eastAsia="Arial" w:hAnsi="Arial"/>
          <w:sz w:val="18"/>
          <w:szCs w:val="18"/>
          <w:color w:val="auto"/>
        </w:rPr>
      </w:pPr>
    </w:p>
    <w:p>
      <w:pPr>
        <w:ind w:left="1300" w:right="80" w:hanging="644"/>
        <w:spacing w:after="0" w:line="31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fee is fixed or determinable. We assess whether the fee is fixed or determinable based on the payment terms associated with the transaction. In the event payment terms differ from our standard business practices, the fees are deemed to be not fixed or determinable and revenue is recognized when the payments become due, provided the remaining criteria for revenue recognition have been met.</w:t>
      </w:r>
    </w:p>
    <w:p>
      <w:pPr>
        <w:spacing w:after="0" w:line="14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Collectability is probable. We assess collectability based primarily on creditworthiness as determined by credit checks and analysis, as well as payment history. Payment terms generally range from 30 to 90 days from invoice date.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We also recognize revenue upon sell-through for distributor agreements that allow for rights of return. Such returns are estimated and recorded as a reduction to revenue.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6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7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43"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—Trade accounts receivable are recorded at the invoiced amount, net of allowances for doubtful accounts and reserves for</w:t>
      </w:r>
      <w:r>
        <w:rPr>
          <w:rFonts w:ascii="Arial" w:cs="Arial" w:eastAsia="Arial" w:hAnsi="Arial"/>
          <w:sz w:val="16"/>
          <w:szCs w:val="16"/>
          <w:b w:val="1"/>
          <w:bCs w:val="1"/>
          <w:color w:val="auto"/>
        </w:rPr>
        <w:t xml:space="preserve"> </w:t>
      </w:r>
      <w:r>
        <w:rPr>
          <w:rFonts w:ascii="Arial" w:cs="Arial" w:eastAsia="Arial" w:hAnsi="Arial"/>
          <w:sz w:val="16"/>
          <w:szCs w:val="16"/>
          <w:color w:val="auto"/>
        </w:rPr>
        <w:t>sales returns and allowances. The allowance for doubtful accounts is based on our assessment of the collectability of customer accounts. We regularly review the allowance by considering factors such as historical experience, credit quality, age of the accounts receivable balances and current economic conditions that may affect a customer's ability to pay. The reserve for sales returns and allowances is based on specific criteria including agreements to provide rebates and other 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w:t>
      </w:r>
    </w:p>
    <w:p>
      <w:pPr>
        <w:spacing w:after="0" w:line="156"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—We generally provide a one-year warranty on hardware products and a 90-day warranty on software. A provision for estimated future</w:t>
      </w:r>
      <w:r>
        <w:rPr>
          <w:rFonts w:ascii="Arial" w:cs="Arial" w:eastAsia="Arial" w:hAnsi="Arial"/>
          <w:sz w:val="16"/>
          <w:szCs w:val="16"/>
          <w:b w:val="1"/>
          <w:bCs w:val="1"/>
          <w:color w:val="auto"/>
        </w:rPr>
        <w:t xml:space="preserve"> </w:t>
      </w:r>
      <w:r>
        <w:rPr>
          <w:rFonts w:ascii="Arial" w:cs="Arial" w:eastAsia="Arial" w:hAnsi="Arial"/>
          <w:sz w:val="16"/>
          <w:szCs w:val="16"/>
          <w:color w:val="auto"/>
        </w:rPr>
        <w:t>costs 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37465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gridSpan w:val="2"/>
          </w:tcPr>
          <w:p>
            <w:pPr>
              <w:ind w:left="7160"/>
              <w:spacing w:after="0"/>
              <w:rPr>
                <w:sz w:val="20"/>
                <w:szCs w:val="20"/>
                <w:color w:val="auto"/>
              </w:rPr>
            </w:pPr>
            <w:r>
              <w:rPr>
                <w:rFonts w:ascii="Arial" w:cs="Arial" w:eastAsia="Arial" w:hAnsi="Arial"/>
                <w:sz w:val="16"/>
                <w:szCs w:val="16"/>
                <w:b w:val="1"/>
                <w:bCs w:val="1"/>
                <w:color w:val="auto"/>
                <w:w w:val="84"/>
              </w:rPr>
              <w:t>2011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2009</w:t>
            </w:r>
          </w:p>
        </w:tc>
      </w:tr>
      <w:tr>
        <w:trPr>
          <w:trHeight w:val="33"/>
        </w:trPr>
        <w:tc>
          <w:tcPr>
            <w:tcW w:w="6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1,878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2,882</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Warranty costs incurred</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(1,778)</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7"/>
        </w:trPr>
        <w:tc>
          <w:tcPr>
            <w:tcW w:w="6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warranty for the year</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Accruals related to changes in estimates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6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2,582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Foreign Currency Derivatives</w:t>
      </w:r>
      <w:r>
        <w:rPr>
          <w:rFonts w:ascii="Arial" w:cs="Arial" w:eastAsia="Arial" w:hAnsi="Arial"/>
          <w:sz w:val="16"/>
          <w:szCs w:val="16"/>
          <w:color w:val="auto"/>
        </w:rPr>
        <w:t>—Our sales contracts are primarily denominated in U.S. dollars and therefore substantially all of our revenue is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foreign currency translation risk. However, a substantial portion of our operating expenses incurred outside the U.S. are denominated in foreign currencies and are subject to fluctuations due to changes in foreign currency exchange rates, particularly changes in the CAD, EUR, GBP, and JPY. To help protect against significant fluctuations in value and the volatility of future cash flows caused by changes in currency exchange rates, we engage in foreign currency risk management activities to hedge balance sheet items denominated in EUR, GBP, and CAD. We do not use these contracts for speculative or trading purposes. All of the derivative instruments are with high quality financial institutions and we monitor the creditworthiness of these parties. These contracts typically have maturities between one and three months. We account for our hedges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record changes in the fair value of forward exchange contracts related to balance sheet accounts as other income (expense), net in the consolidated statement of operations.</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long-term material changes in the value of the U.S. dollar versus the EUR, GBP, CAD or JPY could adversely impact our operating expenses in the future.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notional amount of forward exchange contracts to hedge balance sheet accounts as of December 31, 2011 was (amounts in 000's):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60" w:type="dxa"/>
            <w:vAlign w:val="bottom"/>
          </w:tcPr>
          <w:p>
            <w:pPr>
              <w:ind w:left="380"/>
              <w:spacing w:after="0"/>
              <w:rPr>
                <w:sz w:val="20"/>
                <w:szCs w:val="20"/>
                <w:color w:val="auto"/>
              </w:rPr>
            </w:pPr>
            <w:r>
              <w:rPr>
                <w:rFonts w:ascii="Arial" w:cs="Arial" w:eastAsia="Arial" w:hAnsi="Arial"/>
                <w:sz w:val="18"/>
                <w:szCs w:val="18"/>
                <w:b w:val="1"/>
                <w:bCs w:val="1"/>
                <w:color w:val="auto"/>
                <w:w w:val="92"/>
              </w:rPr>
              <w:t>Buy/Sell</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To hedge balance sheet accounts:</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03"/>
        </w:trPr>
        <w:tc>
          <w:tcPr>
            <w:tcW w:w="768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Currency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5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EUR</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Buy</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w:t>
            </w:r>
          </w:p>
        </w:tc>
      </w:tr>
      <w:tr>
        <w:trPr>
          <w:trHeight w:val="243"/>
        </w:trPr>
        <w:tc>
          <w:tcPr>
            <w:tcW w:w="7680" w:type="dxa"/>
            <w:vAlign w:val="bottom"/>
            <w:gridSpan w:val="4"/>
          </w:tcPr>
          <w:p>
            <w:pPr>
              <w:ind w:left="40"/>
              <w:spacing w:after="0"/>
              <w:rPr>
                <w:sz w:val="20"/>
                <w:szCs w:val="20"/>
                <w:color w:val="auto"/>
              </w:rPr>
            </w:pPr>
            <w:r>
              <w:rPr>
                <w:rFonts w:ascii="Arial" w:cs="Arial" w:eastAsia="Arial" w:hAnsi="Arial"/>
                <w:sz w:val="18"/>
                <w:szCs w:val="18"/>
                <w:color w:val="auto"/>
              </w:rPr>
              <w:t>GBP</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Buy</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1,545</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6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Buy</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r>
      <w:tr>
        <w:trPr>
          <w:trHeight w:val="27"/>
        </w:trPr>
        <w:tc>
          <w:tcPr>
            <w:tcW w:w="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 xml:space="preserve">In May 2011, the FASB issued ASU No. 2011-04, </w:t>
      </w:r>
      <w:r>
        <w:rPr>
          <w:rFonts w:ascii="Arial" w:cs="Arial" w:eastAsia="Arial" w:hAnsi="Arial"/>
          <w:sz w:val="17"/>
          <w:szCs w:val="17"/>
          <w:i w:val="1"/>
          <w:iCs w:val="1"/>
          <w:color w:val="auto"/>
        </w:rPr>
        <w:t>Amendments to Achieve Common Fair Value Measurement and Disclosure Requirements in U.S.</w:t>
      </w:r>
      <w:r>
        <w:rPr>
          <w:rFonts w:ascii="Arial" w:cs="Arial" w:eastAsia="Arial" w:hAnsi="Arial"/>
          <w:sz w:val="17"/>
          <w:szCs w:val="17"/>
          <w:color w:val="auto"/>
        </w:rPr>
        <w:t xml:space="preserve"> </w:t>
      </w:r>
      <w:r>
        <w:rPr>
          <w:rFonts w:ascii="Arial" w:cs="Arial" w:eastAsia="Arial" w:hAnsi="Arial"/>
          <w:sz w:val="17"/>
          <w:szCs w:val="17"/>
          <w:i w:val="1"/>
          <w:iCs w:val="1"/>
          <w:color w:val="auto"/>
        </w:rPr>
        <w:t>GAAP and International Financial Reporting Standards (Topic 820) – Fair Value Measurement (ASU 2011-04)</w:t>
      </w:r>
      <w:r>
        <w:rPr>
          <w:rFonts w:ascii="Arial" w:cs="Arial" w:eastAsia="Arial" w:hAnsi="Arial"/>
          <w:sz w:val="17"/>
          <w:szCs w:val="17"/>
          <w:color w:val="auto"/>
        </w:rPr>
        <w:t>, to provide a consistent definition of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and ensure that the fair value measurement and disclosure requirements are similar between U.S. GAAP and International Financial Reporting Standards. ASU 2011-04 changes certain fair value measurement principles and enhances the disclosure requirements particularly for Level 3 fair value measurements. This accounting update will be applicable to the Company beginning in the first quarter of fiscal year 2012 and should be applied prospectively. The Company does not believe the adoption of this guidance will have a material impact on its consolidated financial statements.</w:t>
      </w:r>
    </w:p>
    <w:p>
      <w:pPr>
        <w:spacing w:after="0" w:line="17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(Topic 220) - Presentation of Comprehensive Income (ASU 2011-05)</w:t>
      </w:r>
      <w:r>
        <w:rPr>
          <w:rFonts w:ascii="Arial" w:cs="Arial" w:eastAsia="Arial" w:hAnsi="Arial"/>
          <w:sz w:val="18"/>
          <w:szCs w:val="18"/>
          <w:color w:val="auto"/>
        </w:rPr>
        <w:t>, to require an entity to present the total of comprehensive income, the components of net income,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components of other comprehensive income either in a single continuous statement of comprehensive income or in two separate but consecutive statements. ASU 2011-05 eliminates the option to present the components of other comprehensive income as part of the statement of equity. This accounting update will be applicable to the Company beginning in the first quarter of fiscal year 2012.</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6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4"/>
          </w:tcPr>
          <w:p>
            <w:pPr>
              <w:ind w:left="840"/>
              <w:spacing w:after="0"/>
              <w:rPr>
                <w:sz w:val="20"/>
                <w:szCs w:val="20"/>
                <w:color w:val="auto"/>
              </w:rPr>
            </w:pPr>
            <w:r>
              <w:rPr>
                <w:rFonts w:ascii="Arial" w:cs="Arial" w:eastAsia="Arial" w:hAnsi="Arial"/>
                <w:sz w:val="16"/>
                <w:szCs w:val="16"/>
                <w:b w:val="1"/>
                <w:bCs w:val="1"/>
                <w:color w:val="auto"/>
              </w:rPr>
              <w:t>December 31, 2011</w:t>
            </w:r>
          </w:p>
        </w:tc>
        <w:tc>
          <w:tcPr>
            <w:tcW w:w="14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Amortized</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4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Cost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Gains</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government and agency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38,908</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339,110</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337,497</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51,027</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Municipal bonds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20,473</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20,504</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18,762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18,761</w:t>
            </w:r>
          </w:p>
        </w:tc>
      </w:tr>
      <w:tr>
        <w:trPr>
          <w:trHeight w:val="257"/>
        </w:trPr>
        <w:tc>
          <w:tcPr>
            <w:tcW w:w="4280" w:type="dxa"/>
            <w:vAlign w:val="bottom"/>
          </w:tcPr>
          <w:p>
            <w:pPr>
              <w:ind w:left="9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468,270</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466,697</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97"/>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4"/>
          </w:tcPr>
          <w:p>
            <w:pPr>
              <w:ind w:left="840"/>
              <w:spacing w:after="0"/>
              <w:rPr>
                <w:sz w:val="20"/>
                <w:szCs w:val="20"/>
                <w:color w:val="auto"/>
              </w:rPr>
            </w:pPr>
            <w:r>
              <w:rPr>
                <w:rFonts w:ascii="Arial" w:cs="Arial" w:eastAsia="Arial" w:hAnsi="Arial"/>
                <w:sz w:val="16"/>
                <w:szCs w:val="16"/>
                <w:b w:val="1"/>
                <w:bCs w:val="1"/>
                <w:color w:val="auto"/>
              </w:rPr>
              <w:t>December 31, 2010</w:t>
            </w:r>
          </w:p>
        </w:tc>
        <w:tc>
          <w:tcPr>
            <w:tcW w:w="1460" w:type="dxa"/>
            <w:vAlign w:val="bottom"/>
          </w:tcPr>
          <w:p>
            <w:pPr>
              <w:spacing w:after="0"/>
              <w:rPr>
                <w:sz w:val="24"/>
                <w:szCs w:val="24"/>
                <w:color w:val="auto"/>
              </w:rPr>
            </w:pPr>
          </w:p>
        </w:tc>
      </w:tr>
      <w:tr>
        <w:trPr>
          <w:trHeight w:val="33"/>
        </w:trPr>
        <w:tc>
          <w:tcPr>
            <w:tcW w:w="42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Amortized</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Unrealized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4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Cost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Gains</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3"/>
              </w:rPr>
              <w:t>Losses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80"/>
              <w:spacing w:after="0"/>
              <w:rPr>
                <w:sz w:val="20"/>
                <w:szCs w:val="20"/>
                <w:color w:val="auto"/>
              </w:rPr>
            </w:pPr>
            <w:r>
              <w:rPr>
                <w:rFonts w:ascii="Arial" w:cs="Arial" w:eastAsia="Arial" w:hAnsi="Arial"/>
                <w:sz w:val="18"/>
                <w:szCs w:val="18"/>
                <w:color w:val="auto"/>
              </w:rPr>
              <w:t>U.S. government and agency securities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51,989</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51,943</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Corporate debt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213,237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213,396</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Commercial paper</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38,914</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38,919</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Municipal bonds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11,080</w:t>
            </w:r>
          </w:p>
        </w:tc>
      </w:tr>
      <w:tr>
        <w:trPr>
          <w:trHeight w:val="243"/>
        </w:trPr>
        <w:tc>
          <w:tcPr>
            <w:tcW w:w="4280" w:type="dxa"/>
            <w:vAlign w:val="bottom"/>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5,263</w:t>
            </w:r>
          </w:p>
        </w:tc>
      </w:tr>
      <w:tr>
        <w:trPr>
          <w:trHeight w:val="27"/>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320,472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320,601</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gross unrealized losses and fair values of our investments, aggregated by investment category and length of time that individual securities have been in a continuous unrealized loss position, at December 31, 2011 ($ amounts in 000's):</w:t>
      </w:r>
    </w:p>
    <w:p>
      <w:pPr>
        <w:spacing w:after="0" w:line="347"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2460" w:type="dxa"/>
            <w:vAlign w:val="bottom"/>
            <w:gridSpan w:val="4"/>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2360" w:type="dxa"/>
            <w:vAlign w:val="bottom"/>
            <w:gridSpan w:val="4"/>
          </w:tcPr>
          <w:p>
            <w:pPr>
              <w:ind w:left="380"/>
              <w:spacing w:after="0"/>
              <w:rPr>
                <w:sz w:val="20"/>
                <w:szCs w:val="20"/>
                <w:color w:val="auto"/>
              </w:rPr>
            </w:pPr>
            <w:r>
              <w:rPr>
                <w:rFonts w:ascii="Arial" w:cs="Arial" w:eastAsia="Arial" w:hAnsi="Arial"/>
                <w:sz w:val="16"/>
                <w:szCs w:val="16"/>
                <w:b w:val="1"/>
                <w:bCs w:val="1"/>
                <w:color w:val="auto"/>
              </w:rPr>
              <w:t>12 Months or Greater</w:t>
            </w:r>
          </w:p>
        </w:tc>
        <w:tc>
          <w:tcPr>
            <w:tcW w:w="980" w:type="dxa"/>
            <w:vAlign w:val="bottom"/>
          </w:tcPr>
          <w:p>
            <w:pPr>
              <w:spacing w:after="0"/>
              <w:rPr>
                <w:sz w:val="18"/>
                <w:szCs w:val="18"/>
                <w:color w:val="auto"/>
              </w:rPr>
            </w:pPr>
          </w:p>
        </w:tc>
        <w:tc>
          <w:tcPr>
            <w:tcW w:w="1300" w:type="dxa"/>
            <w:vAlign w:val="bottom"/>
            <w:gridSpan w:val="3"/>
          </w:tcPr>
          <w:p>
            <w:pPr>
              <w:jc w:val="right"/>
              <w:ind w:right="876"/>
              <w:spacing w:after="0"/>
              <w:rPr>
                <w:sz w:val="20"/>
                <w:szCs w:val="20"/>
                <w:color w:val="auto"/>
              </w:rPr>
            </w:pPr>
            <w:r>
              <w:rPr>
                <w:rFonts w:ascii="Arial" w:cs="Arial" w:eastAsia="Arial" w:hAnsi="Arial"/>
                <w:sz w:val="16"/>
                <w:szCs w:val="16"/>
                <w:b w:val="1"/>
                <w:bCs w:val="1"/>
                <w:color w:val="auto"/>
                <w:w w:val="83"/>
              </w:rPr>
              <w:t>Total</w:t>
            </w:r>
          </w:p>
        </w:tc>
      </w:tr>
      <w:tr>
        <w:trPr>
          <w:trHeight w:val="33"/>
        </w:trPr>
        <w:tc>
          <w:tcPr>
            <w:tcW w:w="38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Unrealized</w:t>
            </w:r>
          </w:p>
        </w:tc>
        <w:tc>
          <w:tcPr>
            <w:tcW w:w="1180" w:type="dxa"/>
            <w:vAlign w:val="bottom"/>
            <w:gridSpan w:val="2"/>
          </w:tcPr>
          <w:p>
            <w:pPr>
              <w:ind w:left="380"/>
              <w:spacing w:after="0"/>
              <w:rPr>
                <w:sz w:val="20"/>
                <w:szCs w:val="20"/>
                <w:color w:val="auto"/>
              </w:rPr>
            </w:pPr>
            <w:r>
              <w:rPr>
                <w:rFonts w:ascii="Arial" w:cs="Arial" w:eastAsia="Arial" w:hAnsi="Arial"/>
                <w:sz w:val="16"/>
                <w:szCs w:val="16"/>
                <w:b w:val="1"/>
                <w:bCs w:val="1"/>
                <w:color w:val="auto"/>
              </w:rPr>
              <w:t>Fair</w:t>
            </w: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Unrealized</w:t>
            </w:r>
          </w:p>
        </w:tc>
        <w:tc>
          <w:tcPr>
            <w:tcW w:w="980" w:type="dxa"/>
            <w:vAlign w:val="bottom"/>
          </w:tcPr>
          <w:p>
            <w:pPr>
              <w:jc w:val="right"/>
              <w:ind w:right="192"/>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6"/>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79"/>
              </w:rPr>
              <w:t>Losses</w:t>
            </w:r>
          </w:p>
        </w:tc>
        <w:tc>
          <w:tcPr>
            <w:tcW w:w="1180" w:type="dxa"/>
            <w:vAlign w:val="bottom"/>
            <w:gridSpan w:val="2"/>
          </w:tcPr>
          <w:p>
            <w:pPr>
              <w:ind w:left="320"/>
              <w:spacing w:after="0"/>
              <w:rPr>
                <w:sz w:val="20"/>
                <w:szCs w:val="20"/>
                <w:color w:val="auto"/>
              </w:rPr>
            </w:pPr>
            <w:r>
              <w:rPr>
                <w:rFonts w:ascii="Arial" w:cs="Arial" w:eastAsia="Arial" w:hAnsi="Arial"/>
                <w:sz w:val="16"/>
                <w:szCs w:val="16"/>
                <w:b w:val="1"/>
                <w:bCs w:val="1"/>
                <w:color w:val="auto"/>
              </w:rPr>
              <w:t>Value</w:t>
            </w:r>
          </w:p>
        </w:tc>
        <w:tc>
          <w:tcPr>
            <w:tcW w:w="1180" w:type="dxa"/>
            <w:vAlign w:val="bottom"/>
            <w:gridSpan w:val="2"/>
          </w:tcPr>
          <w:p>
            <w:pPr>
              <w:ind w:left="300"/>
              <w:spacing w:after="0"/>
              <w:rPr>
                <w:sz w:val="20"/>
                <w:szCs w:val="20"/>
                <w:color w:val="auto"/>
              </w:rPr>
            </w:pPr>
            <w:r>
              <w:rPr>
                <w:rFonts w:ascii="Arial" w:cs="Arial" w:eastAsia="Arial" w:hAnsi="Arial"/>
                <w:sz w:val="16"/>
                <w:szCs w:val="16"/>
                <w:b w:val="1"/>
                <w:bCs w:val="1"/>
                <w:color w:val="auto"/>
              </w:rPr>
              <w:t>Losses</w:t>
            </w:r>
          </w:p>
        </w:tc>
        <w:tc>
          <w:tcPr>
            <w:tcW w:w="980" w:type="dxa"/>
            <w:vAlign w:val="bottom"/>
          </w:tcPr>
          <w:p>
            <w:pPr>
              <w:jc w:val="right"/>
              <w:ind w:right="152"/>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36"/>
              <w:spacing w:after="0"/>
              <w:rPr>
                <w:sz w:val="20"/>
                <w:szCs w:val="20"/>
                <w:color w:val="auto"/>
              </w:rPr>
            </w:pPr>
            <w:r>
              <w:rPr>
                <w:rFonts w:ascii="Arial" w:cs="Arial" w:eastAsia="Arial" w:hAnsi="Arial"/>
                <w:sz w:val="16"/>
                <w:szCs w:val="16"/>
                <w:b w:val="1"/>
                <w:bCs w:val="1"/>
                <w:color w:val="auto"/>
              </w:rPr>
              <w:t>Losses</w:t>
            </w:r>
          </w:p>
        </w:tc>
      </w:tr>
      <w:tr>
        <w:trPr>
          <w:trHeight w:val="33"/>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U.S. government and agency securities</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10,996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82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258,159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258,159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(1,832)</w:t>
            </w:r>
          </w:p>
        </w:tc>
      </w:tr>
      <w:tr>
        <w:trPr>
          <w:trHeight w:val="27"/>
        </w:trPr>
        <w:tc>
          <w:tcPr>
            <w:tcW w:w="3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820" w:type="dxa"/>
            <w:vAlign w:val="bottom"/>
          </w:tcPr>
          <w:p>
            <w:pPr>
              <w:ind w:left="480"/>
              <w:spacing w:after="0"/>
              <w:rPr>
                <w:sz w:val="20"/>
                <w:szCs w:val="20"/>
                <w:color w:val="auto"/>
              </w:rPr>
            </w:pPr>
            <w:r>
              <w:rPr>
                <w:rFonts w:ascii="Arial" w:cs="Arial" w:eastAsia="Arial" w:hAnsi="Arial"/>
                <w:sz w:val="18"/>
                <w:szCs w:val="18"/>
                <w:color w:val="auto"/>
              </w:rPr>
              <w:t>Municipal bonds</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8,067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8,067</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Certificates of deposit and term deposits</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7,499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82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294,000</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294,000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are as follows ($ amounts in 000's)</w:t>
      </w:r>
    </w:p>
    <w:p>
      <w:pPr>
        <w:spacing w:after="0" w:line="361"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000" w:type="dxa"/>
            <w:vAlign w:val="bottom"/>
            <w:gridSpan w:val="2"/>
          </w:tcPr>
          <w:p>
            <w:pPr>
              <w:ind w:left="440"/>
              <w:spacing w:after="0"/>
              <w:rPr>
                <w:sz w:val="20"/>
                <w:szCs w:val="20"/>
                <w:color w:val="auto"/>
              </w:rPr>
            </w:pPr>
            <w:r>
              <w:rPr>
                <w:rFonts w:ascii="Arial" w:cs="Arial" w:eastAsia="Arial" w:hAnsi="Arial"/>
                <w:sz w:val="16"/>
                <w:szCs w:val="16"/>
                <w:b w:val="1"/>
                <w:bCs w:val="1"/>
                <w:color w:val="auto"/>
              </w:rPr>
              <w:t>December 31,</w:t>
            </w:r>
          </w:p>
        </w:tc>
        <w:tc>
          <w:tcPr>
            <w:tcW w:w="1780" w:type="dxa"/>
            <w:vAlign w:val="bottom"/>
          </w:tcPr>
          <w:p>
            <w:pPr>
              <w:jc w:val="right"/>
              <w:ind w:right="35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68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780" w:type="dxa"/>
            <w:vAlign w:val="bottom"/>
          </w:tcPr>
          <w:p>
            <w:pPr>
              <w:jc w:val="right"/>
              <w:ind w:right="634"/>
              <w:spacing w:after="0"/>
              <w:rPr>
                <w:sz w:val="20"/>
                <w:szCs w:val="20"/>
                <w:color w:val="auto"/>
              </w:rPr>
            </w:pPr>
            <w:r>
              <w:rPr>
                <w:rFonts w:ascii="Arial" w:cs="Arial" w:eastAsia="Arial" w:hAnsi="Arial"/>
                <w:sz w:val="16"/>
                <w:szCs w:val="16"/>
                <w:b w:val="1"/>
                <w:bCs w:val="1"/>
                <w:color w:val="auto"/>
              </w:rPr>
              <w:t>2010</w:t>
            </w:r>
          </w:p>
        </w:tc>
      </w:tr>
      <w:tr>
        <w:trPr>
          <w:trHeight w:val="33"/>
        </w:trPr>
        <w:tc>
          <w:tcPr>
            <w:tcW w:w="56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318,283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246,651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Due after one year</w:t>
            </w: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148,414</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73,950</w:t>
            </w:r>
          </w:p>
        </w:tc>
      </w:tr>
      <w:tr>
        <w:trPr>
          <w:trHeight w:val="27"/>
        </w:trPr>
        <w:tc>
          <w:tcPr>
            <w:tcW w:w="56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466,697</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320,601</w:t>
            </w:r>
          </w:p>
        </w:tc>
      </w:tr>
      <w:tr>
        <w:trPr>
          <w:trHeight w:val="20"/>
        </w:trPr>
        <w:tc>
          <w:tcPr>
            <w:tcW w:w="56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(deficit) and in total comprehensive income. Realized gains and losses on available-for-sale securities are included in other income (expense), net in our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from the sale of available-for-sale securities were not significant in any period presented.</w:t>
      </w:r>
    </w:p>
    <w:p>
      <w:pPr>
        <w:spacing w:after="0" w:line="194"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Fair Value Accounting</w:t>
      </w:r>
      <w:r>
        <w:rPr>
          <w:rFonts w:ascii="Arial" w:cs="Arial" w:eastAsia="Arial" w:hAnsi="Arial"/>
          <w:sz w:val="18"/>
          <w:szCs w:val="18"/>
          <w:color w:val="auto"/>
        </w:rPr>
        <w:t>—We apply ASC 820 which establishes a valuation hierarchy for disclosure of the inputs to fair value measurement.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hierarchy prioritizes the inputs into three broad levels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4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46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measure the fair value of money market funds using quoted prices in active markets for identical assets. The fair value of all other financial instruments was based on quoted prices for similar asserts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36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as of December 31, 2011 and December 31, 2010 using the ASC 820 input categories: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Quoted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3"/>
              </w:rPr>
              <w:t>Quoted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Observable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(Level 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38,908</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38,908</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51,943</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51,943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337,497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337,497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213,396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213,396</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64,890</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64,890</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52,415</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52,415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20,504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11,080</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18,761</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18,761</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31,438</w:t>
            </w:r>
          </w:p>
        </w:tc>
        <w:tc>
          <w:tcPr>
            <w:tcW w:w="130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31,438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7,078</w:t>
            </w:r>
          </w:p>
        </w:tc>
        <w:tc>
          <w:tcPr>
            <w:tcW w:w="1240" w:type="dxa"/>
            <w:vAlign w:val="bottom"/>
            <w:tcBorders>
              <w:bottom w:val="single" w:sz="8" w:color="CCEEFF"/>
            </w:tcBorders>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7,078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Foreign currency contracts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511,998</w:t>
            </w:r>
          </w:p>
        </w:tc>
        <w:tc>
          <w:tcPr>
            <w:tcW w:w="13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31,438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480,560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341,249</w:t>
            </w:r>
          </w:p>
        </w:tc>
        <w:tc>
          <w:tcPr>
            <w:tcW w:w="12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7,078</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334,171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Reported as: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equivalents</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45,301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318,283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246,651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148,414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73,950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511,998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341,249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Subsequent to the issuance of the 2010 consolidated financial statements, we determined that $5.3 million of term deposits classified as Level 1 investments as of December 31, 2010 should have been classified as Level 2 as these investments are not actively traded. Accordingly, we have corrected the classification of term deposits from Level 1 to Level 2 in the table of fair value measurements as of December 31, 2010.</w:t>
      </w:r>
    </w:p>
    <w:p>
      <w:pPr>
        <w:spacing w:after="0" w:line="166"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December 31, 2011 and December 31, 2010. There were no transfers between Level 1 and Level 2 of the fair value hierarchy during the year ended December 31,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12,802</w:t>
            </w:r>
          </w:p>
        </w:tc>
        <w:tc>
          <w:tcPr>
            <w:tcW w:w="10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10,924</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16,249</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13,517</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EQUIPMENT—Net</w:t>
            </w: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58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8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consisted of the following ($ amounts in 000's):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2011</w:t>
            </w: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2010</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Evaluation units</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13,912</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Leasehold improvements and tooling</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property and equipment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31,819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900" w:type="dxa"/>
            <w:vAlign w:val="bottom"/>
          </w:tcPr>
          <w:p>
            <w:pPr>
              <w:jc w:val="right"/>
              <w:spacing w:after="0"/>
              <w:rPr>
                <w:sz w:val="20"/>
                <w:szCs w:val="20"/>
                <w:color w:val="auto"/>
              </w:rPr>
            </w:pPr>
            <w:r>
              <w:rPr>
                <w:rFonts w:ascii="Arial" w:cs="Arial" w:eastAsia="Arial" w:hAnsi="Arial"/>
                <w:sz w:val="18"/>
                <w:szCs w:val="18"/>
                <w:color w:val="auto"/>
              </w:rPr>
              <w:t>(23,853)</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(18,747)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equipment—net</w:t>
            </w: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7,056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$7.0 million, $5.7 million and $5.0 million in 2011, 2010 and 2009,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480"/>
          </w:cols>
          <w:pgMar w:left="240" w:top="125" w:right="11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April 6, 2011, we completed the acquisition of TalkSwitch Corp. (TalkSwitch), a privately held company that provides voice over IP phone system technology, for a cash payment of $2.6 million. We accounted for this acquisition as a purchase of a business and, accordingly, the total purchase price has been allocated to TalkSwitch tangible and identifiable intangible assets acquired and liabilities assumed based on their estimated fair market values as of the acquisition date. The purchase price allocation resulted in purchased tangible assets of approximately $0.9 million and liabilities of $0.1 million and purchased identifiable intangible assets of approximately $1.8 million. Identifiable intangible assets consist of purchased technology. The fair value assigned to identifiable intangible assets acquired is determined using the income approach, which discounts expected future cash flows to present value using estimates and assumptions determined by us. Purchased identifiable intangible assets are being amortized on a straight-line basis over three years. The financial results of this acquisition are considered immaterial for purposes of pro forma financial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presents the detail of our existing intangible assets with definite lives included in other assets as of December 31, 2011 ($ amounts in 000's):</w:t>
      </w:r>
    </w:p>
    <w:p>
      <w:pPr>
        <w:spacing w:after="0" w:line="333" w:lineRule="exact"/>
        <w:rPr>
          <w:sz w:val="20"/>
          <w:szCs w:val="20"/>
          <w:color w:val="auto"/>
        </w:rPr>
      </w:pPr>
    </w:p>
    <w:tbl>
      <w:tblPr>
        <w:tblLayout w:type="fixed"/>
        <w:tblInd w:w="132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ind w:left="500"/>
              <w:spacing w:after="0"/>
              <w:rPr>
                <w:sz w:val="20"/>
                <w:szCs w:val="20"/>
                <w:color w:val="auto"/>
              </w:rPr>
            </w:pPr>
            <w:r>
              <w:rPr>
                <w:rFonts w:ascii="Arial" w:cs="Arial" w:eastAsia="Arial" w:hAnsi="Arial"/>
                <w:sz w:val="16"/>
                <w:szCs w:val="16"/>
                <w:b w:val="1"/>
                <w:bCs w:val="1"/>
                <w:color w:val="auto"/>
              </w:rPr>
              <w:t>Accumulated</w:t>
            </w:r>
          </w:p>
        </w:tc>
        <w:tc>
          <w:tcPr>
            <w:tcW w:w="190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1300" w:type="dxa"/>
            <w:vAlign w:val="bottom"/>
          </w:tcPr>
          <w:p>
            <w:pPr>
              <w:ind w:left="760"/>
              <w:spacing w:after="0"/>
              <w:rPr>
                <w:sz w:val="20"/>
                <w:szCs w:val="20"/>
                <w:color w:val="auto"/>
              </w:rPr>
            </w:pPr>
            <w:r>
              <w:rPr>
                <w:rFonts w:ascii="Arial" w:cs="Arial" w:eastAsia="Arial" w:hAnsi="Arial"/>
                <w:sz w:val="16"/>
                <w:szCs w:val="16"/>
                <w:b w:val="1"/>
                <w:bCs w:val="1"/>
                <w:color w:val="auto"/>
              </w:rPr>
              <w:t>Gross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ind w:left="500"/>
              <w:spacing w:after="0"/>
              <w:rPr>
                <w:sz w:val="20"/>
                <w:szCs w:val="20"/>
                <w:color w:val="auto"/>
              </w:rPr>
            </w:pPr>
            <w:r>
              <w:rPr>
                <w:rFonts w:ascii="Arial" w:cs="Arial" w:eastAsia="Arial" w:hAnsi="Arial"/>
                <w:sz w:val="16"/>
                <w:szCs w:val="16"/>
                <w:b w:val="1"/>
                <w:bCs w:val="1"/>
                <w:color w:val="auto"/>
              </w:rPr>
              <w:t>Amortization</w:t>
            </w:r>
          </w:p>
        </w:tc>
        <w:tc>
          <w:tcPr>
            <w:tcW w:w="1900" w:type="dxa"/>
            <w:vAlign w:val="bottom"/>
          </w:tcPr>
          <w:p>
            <w:pPr>
              <w:jc w:val="right"/>
              <w:ind w:right="734"/>
              <w:spacing w:after="0"/>
              <w:rPr>
                <w:sz w:val="20"/>
                <w:szCs w:val="20"/>
                <w:color w:val="auto"/>
              </w:rPr>
            </w:pPr>
            <w:r>
              <w:rPr>
                <w:rFonts w:ascii="Arial" w:cs="Arial" w:eastAsia="Arial" w:hAnsi="Arial"/>
                <w:sz w:val="16"/>
                <w:szCs w:val="16"/>
                <w:b w:val="1"/>
                <w:bCs w:val="1"/>
                <w:color w:val="auto"/>
              </w:rPr>
              <w:t>Net</w:t>
            </w:r>
          </w:p>
        </w:tc>
      </w:tr>
      <w:tr>
        <w:trPr>
          <w:trHeight w:val="33"/>
        </w:trPr>
        <w:tc>
          <w:tcPr>
            <w:tcW w:w="2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Existing intangibles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7"/>
        </w:trPr>
        <w:tc>
          <w:tcPr>
            <w:tcW w:w="28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Amortization expense, for the nine months post acquisition, was $0.4 million in fiscal 2011. The following table summarizes estimated future amortization expense of purchased intangible assets with definite lives for the future fiscal year ($ amounts in 000's):</w:t>
      </w:r>
    </w:p>
    <w:p>
      <w:pPr>
        <w:spacing w:after="0" w:line="333" w:lineRule="exact"/>
        <w:rPr>
          <w:sz w:val="20"/>
          <w:szCs w:val="20"/>
          <w:color w:val="auto"/>
        </w:rPr>
      </w:pPr>
    </w:p>
    <w:tbl>
      <w:tblPr>
        <w:tblLayout w:type="fixed"/>
        <w:tblInd w:w="238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2200" w:type="dxa"/>
            <w:vAlign w:val="bottom"/>
          </w:tcPr>
          <w:p>
            <w:pPr>
              <w:jc w:val="right"/>
              <w:ind w:right="732"/>
              <w:spacing w:after="0"/>
              <w:rPr>
                <w:sz w:val="20"/>
                <w:szCs w:val="20"/>
                <w:color w:val="auto"/>
              </w:rPr>
            </w:pPr>
            <w:r>
              <w:rPr>
                <w:rFonts w:ascii="Arial" w:cs="Arial" w:eastAsia="Arial" w:hAnsi="Arial"/>
                <w:sz w:val="16"/>
                <w:szCs w:val="16"/>
                <w:b w:val="1"/>
                <w:bCs w:val="1"/>
                <w:color w:val="auto"/>
              </w:rPr>
              <w:t>Amount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jc w:val="right"/>
              <w:ind w:right="3550"/>
              <w:spacing w:after="0"/>
              <w:rPr>
                <w:sz w:val="20"/>
                <w:szCs w:val="20"/>
                <w:color w:val="auto"/>
              </w:rPr>
            </w:pPr>
            <w:r>
              <w:rPr>
                <w:rFonts w:ascii="Arial" w:cs="Arial" w:eastAsia="Arial" w:hAnsi="Arial"/>
                <w:sz w:val="18"/>
                <w:szCs w:val="18"/>
                <w:color w:val="auto"/>
              </w:rPr>
              <w:t>2012</w:t>
            </w:r>
          </w:p>
        </w:tc>
        <w:tc>
          <w:tcPr>
            <w:tcW w:w="220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ind w:right="3550"/>
              <w:spacing w:after="0"/>
              <w:rPr>
                <w:sz w:val="20"/>
                <w:szCs w:val="20"/>
                <w:color w:val="auto"/>
              </w:rPr>
            </w:pPr>
            <w:r>
              <w:rPr>
                <w:rFonts w:ascii="Arial" w:cs="Arial" w:eastAsia="Arial" w:hAnsi="Arial"/>
                <w:sz w:val="18"/>
                <w:szCs w:val="18"/>
                <w:color w:val="auto"/>
              </w:rPr>
              <w:t>2013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43"/>
        </w:trPr>
        <w:tc>
          <w:tcPr>
            <w:tcW w:w="4480" w:type="dxa"/>
            <w:vAlign w:val="bottom"/>
          </w:tcPr>
          <w:p>
            <w:pPr>
              <w:jc w:val="right"/>
              <w:ind w:right="3550"/>
              <w:spacing w:after="0"/>
              <w:rPr>
                <w:sz w:val="20"/>
                <w:szCs w:val="20"/>
                <w:color w:val="auto"/>
              </w:rPr>
            </w:pPr>
            <w:r>
              <w:rPr>
                <w:rFonts w:ascii="Arial" w:cs="Arial" w:eastAsia="Arial" w:hAnsi="Arial"/>
                <w:sz w:val="18"/>
                <w:szCs w:val="18"/>
                <w:color w:val="auto"/>
              </w:rPr>
              <w:t>2014</w:t>
            </w:r>
          </w:p>
        </w:tc>
        <w:tc>
          <w:tcPr>
            <w:tcW w:w="22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PER SHARE</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Basic net income per share is computed by dividing net income attributable to common stockholders by the weighted-average number of common shares outstanding during the period. Diluted net income per share is computed by dividing net income attributable to common stockholders by the weighted-average number of common shares outstanding, plus the dilutive effects of stock options and warrants. Potentially dilutive common shares are determined by applying the treasury stock method to the assumed exercise of outstanding stock options.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income per share information for fiscal 2009 gives effect to the repurchase of convertible preferred shares (Note 10). The excess of the fair value of the consideration paid for such preferred stock over the carrying value of the preferred stock represents a return to the preferred stockholders and is treated in a manner similar to the treatment of dividends paid to the holders of preferred stock in the computation of income per share. As a result, the premium paid is subtracted from net income attributable to common stockholders in determining income per share.</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November 2009, all of our outstanding convertible preferred stock converted into common stock in connection with our initial public offering. For periods that ended prior to such conversion, net income per share information is computed using the two-class method. The convertible preferred shares were entitled to receive annual non-cumulative dividends of $0.02, $0.05, $0.12, $0.12 and $0.30 per share for Series A, B, C, D, and E, respectively, payable prior and in preference to holders of common stock. After the payment of such dividends, convertible preferred shares were further entitled to receive a proportionate amount of any dividends paid on common stock on an if-converted basis. As a result of such dividend rights,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convertible preferred shares are considered to be participating securities. Under the two-class method of computing income per share, net income attributable to common stockholders is computed by an adjustment to subtract from net income the portion of current year earnings that the preferred stockholders would have been entitled to receive pursuant to their dividend rights had all of the year’s earnings been distributed. No such adjustment to earnings is made during periods with a net loss, as the holders of the convertible preferred shares had no obligation to fund losses.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follows ($ and share amounts in 000's, except per share amounts):</w:t>
      </w:r>
    </w:p>
    <w:p>
      <w:pPr>
        <w:spacing w:after="0" w:line="306"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Fiscal Year</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14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4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1420" w:type="dxa"/>
            <w:vAlign w:val="bottom"/>
          </w:tcPr>
          <w:p>
            <w:pPr>
              <w:jc w:val="right"/>
              <w:ind w:right="45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62,492</w:t>
            </w:r>
          </w:p>
        </w:tc>
        <w:tc>
          <w:tcPr>
            <w:tcW w:w="12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41,245</w:t>
            </w:r>
          </w:p>
        </w:tc>
        <w:tc>
          <w:tcPr>
            <w:tcW w:w="1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60,179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Premium paid on repurchase of convertible preferred shares</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stockholders-basic and diluted</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62,492</w:t>
            </w:r>
          </w:p>
        </w:tc>
        <w:tc>
          <w:tcPr>
            <w:tcW w:w="1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41,245</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50,913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shares outstanding-basic</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152,581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140,726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52,668</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Diluted shares:</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Weighted-average common shares outstanding-basic</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152,581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140,726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52,668</w:t>
            </w:r>
          </w:p>
        </w:tc>
        <w:tc>
          <w:tcPr>
            <w:tcW w:w="0" w:type="dxa"/>
            <w:vAlign w:val="bottom"/>
          </w:tcPr>
          <w:p>
            <w:pPr>
              <w:spacing w:after="0"/>
              <w:rPr>
                <w:sz w:val="1"/>
                <w:szCs w:val="1"/>
                <w:color w:val="auto"/>
              </w:rPr>
            </w:pPr>
          </w:p>
        </w:tc>
      </w:tr>
      <w:tr>
        <w:trPr>
          <w:trHeight w:val="243"/>
        </w:trPr>
        <w:tc>
          <w:tcPr>
            <w:tcW w:w="6480" w:type="dxa"/>
            <w:vAlign w:val="bottom"/>
          </w:tcPr>
          <w:p>
            <w:pPr>
              <w:ind w:left="480"/>
              <w:spacing w:after="0"/>
              <w:rPr>
                <w:sz w:val="20"/>
                <w:szCs w:val="20"/>
                <w:color w:val="auto"/>
              </w:rPr>
            </w:pPr>
            <w:r>
              <w:rPr>
                <w:rFonts w:ascii="Arial" w:cs="Arial" w:eastAsia="Arial" w:hAnsi="Arial"/>
                <w:sz w:val="18"/>
                <w:szCs w:val="18"/>
                <w:color w:val="auto"/>
              </w:rPr>
              <w:t>Effect of potentially dilutive securities: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Employee stock options</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11,742</w:t>
            </w:r>
          </w:p>
        </w:tc>
        <w:tc>
          <w:tcPr>
            <w:tcW w:w="0" w:type="dxa"/>
            <w:vAlign w:val="bottom"/>
          </w:tcPr>
          <w:p>
            <w:pPr>
              <w:spacing w:after="0"/>
              <w:rPr>
                <w:sz w:val="1"/>
                <w:szCs w:val="1"/>
                <w:color w:val="auto"/>
              </w:rPr>
            </w:pPr>
          </w:p>
        </w:tc>
      </w:tr>
      <w:tr>
        <w:trPr>
          <w:trHeight w:val="243"/>
        </w:trPr>
        <w:tc>
          <w:tcPr>
            <w:tcW w:w="6480" w:type="dxa"/>
            <w:vAlign w:val="bottom"/>
          </w:tcPr>
          <w:p>
            <w:pPr>
              <w:ind w:left="900"/>
              <w:spacing w:after="0"/>
              <w:rPr>
                <w:sz w:val="20"/>
                <w:szCs w:val="20"/>
                <w:color w:val="auto"/>
              </w:rPr>
            </w:pPr>
            <w:r>
              <w:rPr>
                <w:rFonts w:ascii="Arial" w:cs="Arial" w:eastAsia="Arial" w:hAnsi="Arial"/>
                <w:sz w:val="18"/>
                <w:szCs w:val="18"/>
                <w:color w:val="auto"/>
              </w:rPr>
              <w:t>Employee stock purchase rights</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Warrants to purchase common stock</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480" w:type="dxa"/>
            <w:vAlign w:val="bottom"/>
          </w:tcPr>
          <w:p>
            <w:pPr>
              <w:ind w:left="900"/>
              <w:spacing w:after="0"/>
              <w:rPr>
                <w:sz w:val="20"/>
                <w:szCs w:val="20"/>
                <w:color w:val="auto"/>
              </w:rPr>
            </w:pPr>
            <w:r>
              <w:rPr>
                <w:rFonts w:ascii="Arial" w:cs="Arial" w:eastAsia="Arial" w:hAnsi="Arial"/>
                <w:sz w:val="18"/>
                <w:szCs w:val="18"/>
                <w:color w:val="auto"/>
              </w:rPr>
              <w:t>Convertible preferred stock</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65,990</w:t>
            </w:r>
          </w:p>
        </w:tc>
        <w:tc>
          <w:tcPr>
            <w:tcW w:w="0" w:type="dxa"/>
            <w:vAlign w:val="bottom"/>
          </w:tcPr>
          <w:p>
            <w:pPr>
              <w:spacing w:after="0"/>
              <w:rPr>
                <w:sz w:val="1"/>
                <w:szCs w:val="1"/>
                <w:color w:val="auto"/>
              </w:rPr>
            </w:pPr>
          </w:p>
        </w:tc>
      </w:tr>
      <w:tr>
        <w:trPr>
          <w:trHeight w:val="27"/>
        </w:trPr>
        <w:tc>
          <w:tcPr>
            <w:tcW w:w="64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163,781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156,406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130,438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per share attributable to common stockholders:</w:t>
      </w:r>
    </w:p>
    <w:p>
      <w:pPr>
        <w:spacing w:after="0" w:line="50" w:lineRule="exact"/>
        <w:rPr>
          <w:sz w:val="20"/>
          <w:szCs w:val="20"/>
          <w:color w:val="auto"/>
        </w:rPr>
      </w:pPr>
    </w:p>
    <w:tbl>
      <w:tblPr>
        <w:tblLayout w:type="fixed"/>
        <w:tblInd w:w="220" w:type="dxa"/>
        <w:tblCellMar>
          <w:top w:w="0" w:type="dxa"/>
          <w:left w:w="0" w:type="dxa"/>
          <w:bottom w:w="0" w:type="dxa"/>
          <w:right w:w="0" w:type="dxa"/>
        </w:tblCellMar>
      </w:tblPr>
      <w:tr>
        <w:trPr>
          <w:trHeight w:val="264"/>
        </w:trPr>
        <w:tc>
          <w:tcPr>
            <w:tcW w:w="3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3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20" w:type="dxa"/>
            <w:vAlign w:val="bottom"/>
          </w:tcPr>
          <w:p>
            <w:pPr>
              <w:ind w:left="480"/>
              <w:spacing w:after="0"/>
              <w:rPr>
                <w:sz w:val="20"/>
                <w:szCs w:val="20"/>
                <w:color w:val="auto"/>
              </w:rPr>
            </w:pPr>
            <w:r>
              <w:rPr>
                <w:rFonts w:ascii="Arial" w:cs="Arial" w:eastAsia="Arial" w:hAnsi="Arial"/>
                <w:sz w:val="18"/>
                <w:szCs w:val="18"/>
                <w:color w:val="auto"/>
              </w:rPr>
              <w:t>Diluted</w:t>
            </w:r>
          </w:p>
        </w:tc>
        <w:tc>
          <w:tcPr>
            <w:tcW w:w="4720" w:type="dxa"/>
            <w:vAlign w:val="bottom"/>
            <w:gridSpan w:val="2"/>
          </w:tcPr>
          <w:p>
            <w:pPr>
              <w:jc w:val="right"/>
              <w:ind w:right="3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60" w:type="dxa"/>
            <w:vAlign w:val="bottom"/>
            <w:vMerge w:val="restart"/>
          </w:tcPr>
          <w:p>
            <w:pPr>
              <w:jc w:val="right"/>
              <w:ind w:right="810"/>
              <w:spacing w:after="0"/>
              <w:rPr>
                <w:sz w:val="20"/>
                <w:szCs w:val="20"/>
                <w:color w:val="auto"/>
              </w:rPr>
            </w:pPr>
            <w:r>
              <w:rPr>
                <w:rFonts w:ascii="Arial" w:cs="Arial" w:eastAsia="Arial" w:hAnsi="Arial"/>
                <w:sz w:val="18"/>
                <w:szCs w:val="18"/>
                <w:color w:val="auto"/>
              </w:rPr>
              <w:t>81</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2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following weighted-average outstanding shares of options and employee stock purchase rights were excluded from the computation of diluted net income per common share applicable to common stockholders for the periods presented, as their effect would have been antidilutive (in 000's):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Fiscal Year</w:t>
            </w:r>
          </w:p>
        </w:tc>
        <w:tc>
          <w:tcPr>
            <w:tcW w:w="1500" w:type="dxa"/>
            <w:vAlign w:val="bottom"/>
          </w:tcPr>
          <w:p>
            <w:pPr>
              <w:spacing w:after="0"/>
              <w:rPr>
                <w:sz w:val="18"/>
                <w:szCs w:val="18"/>
                <w:color w:val="auto"/>
              </w:rPr>
            </w:pPr>
          </w:p>
        </w:tc>
      </w:tr>
      <w:tr>
        <w:trPr>
          <w:trHeight w:val="33"/>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554"/>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553"/>
              <w:spacing w:after="0"/>
              <w:rPr>
                <w:sz w:val="20"/>
                <w:szCs w:val="20"/>
                <w:color w:val="auto"/>
              </w:rPr>
            </w:pPr>
            <w:r>
              <w:rPr>
                <w:rFonts w:ascii="Arial" w:cs="Arial" w:eastAsia="Arial" w:hAnsi="Arial"/>
                <w:sz w:val="16"/>
                <w:szCs w:val="16"/>
                <w:b w:val="1"/>
                <w:bCs w:val="1"/>
                <w:color w:val="auto"/>
              </w:rPr>
              <w:t>2009</w:t>
            </w:r>
          </w:p>
        </w:tc>
      </w:tr>
      <w:tr>
        <w:trPr>
          <w:trHeight w:val="33"/>
        </w:trPr>
        <w:tc>
          <w:tcPr>
            <w:tcW w:w="40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9,168</w:t>
            </w:r>
          </w:p>
        </w:tc>
      </w:tr>
      <w:tr>
        <w:trPr>
          <w:trHeight w:val="243"/>
        </w:trPr>
        <w:tc>
          <w:tcPr>
            <w:tcW w:w="40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Employee stock purchase rights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459"/>
        </w:trPr>
        <w:tc>
          <w:tcPr>
            <w:tcW w:w="6040" w:type="dxa"/>
            <w:vAlign w:val="bottom"/>
            <w:gridSpan w:val="4"/>
          </w:tcPr>
          <w:p>
            <w:pPr>
              <w:spacing w:after="0"/>
              <w:rPr>
                <w:sz w:val="20"/>
                <w:szCs w:val="20"/>
                <w:color w:val="auto"/>
              </w:rPr>
            </w:pPr>
            <w:r>
              <w:rPr>
                <w:rFonts w:ascii="Arial" w:cs="Arial" w:eastAsia="Arial" w:hAnsi="Arial"/>
                <w:sz w:val="18"/>
                <w:szCs w:val="18"/>
                <w:b w:val="1"/>
                <w:bCs w:val="1"/>
                <w:color w:val="auto"/>
              </w:rPr>
              <w:t>8. DEFERRED REVENUES</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5640" w:type="dxa"/>
            <w:vAlign w:val="bottom"/>
            <w:gridSpan w:val="3"/>
          </w:tcPr>
          <w:p>
            <w:pPr>
              <w:ind w:left="260"/>
              <w:spacing w:after="0"/>
              <w:rPr>
                <w:sz w:val="20"/>
                <w:szCs w:val="20"/>
                <w:color w:val="auto"/>
              </w:rPr>
            </w:pPr>
            <w:r>
              <w:rPr>
                <w:rFonts w:ascii="Arial" w:cs="Arial" w:eastAsia="Arial" w:hAnsi="Arial"/>
                <w:sz w:val="18"/>
                <w:szCs w:val="18"/>
                <w:color w:val="auto"/>
              </w:rPr>
              <w:t>Deferred revenues consisted of the following ($ amounts in 000's):</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40"/>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3"/>
          </w:tcPr>
          <w:p>
            <w:pPr>
              <w:ind w:left="300"/>
              <w:spacing w:after="0"/>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24"/>
                <w:szCs w:val="24"/>
                <w:color w:val="auto"/>
              </w:rPr>
            </w:pPr>
          </w:p>
        </w:tc>
        <w:tc>
          <w:tcPr>
            <w:tcW w:w="17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December 31,</w:t>
            </w:r>
          </w:p>
        </w:tc>
        <w:tc>
          <w:tcPr>
            <w:tcW w:w="150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592"/>
              <w:spacing w:after="0"/>
              <w:rPr>
                <w:sz w:val="20"/>
                <w:szCs w:val="20"/>
                <w:color w:val="auto"/>
              </w:rPr>
            </w:pPr>
            <w:r>
              <w:rPr>
                <w:rFonts w:ascii="Arial" w:cs="Arial" w:eastAsia="Arial" w:hAnsi="Arial"/>
                <w:sz w:val="16"/>
                <w:szCs w:val="16"/>
                <w:b w:val="1"/>
                <w:bCs w:val="1"/>
                <w:color w:val="auto"/>
              </w:rPr>
              <w:t>2011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434"/>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500" w:type="dxa"/>
            <w:vAlign w:val="bottom"/>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4,466</w:t>
            </w:r>
          </w:p>
        </w:tc>
        <w:tc>
          <w:tcPr>
            <w:tcW w:w="15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1620" w:type="dxa"/>
            <w:vAlign w:val="bottom"/>
          </w:tcPr>
          <w:p>
            <w:pPr>
              <w:jc w:val="right"/>
              <w:spacing w:after="0"/>
              <w:rPr>
                <w:sz w:val="20"/>
                <w:szCs w:val="20"/>
                <w:color w:val="auto"/>
              </w:rPr>
            </w:pPr>
            <w:r>
              <w:rPr>
                <w:rFonts w:ascii="Arial" w:cs="Arial" w:eastAsia="Arial" w:hAnsi="Arial"/>
                <w:sz w:val="18"/>
                <w:szCs w:val="18"/>
                <w:color w:val="auto"/>
              </w:rPr>
              <w:t>272,843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219,022</w:t>
            </w:r>
          </w:p>
        </w:tc>
        <w:tc>
          <w:tcPr>
            <w:tcW w:w="150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29,143</w:t>
            </w:r>
          </w:p>
        </w:tc>
        <w:tc>
          <w:tcPr>
            <w:tcW w:w="1500" w:type="dxa"/>
            <w:vAlign w:val="bottom"/>
          </w:tcPr>
          <w:p>
            <w:pPr>
              <w:spacing w:after="0"/>
              <w:rPr>
                <w:sz w:val="23"/>
                <w:szCs w:val="23"/>
                <w:color w:val="auto"/>
              </w:rPr>
            </w:pPr>
          </w:p>
        </w:tc>
      </w:tr>
      <w:tr>
        <w:trPr>
          <w:trHeight w:val="297"/>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294,833</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252,631</w:t>
            </w:r>
          </w:p>
        </w:tc>
        <w:tc>
          <w:tcPr>
            <w:tcW w:w="150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gridSpan w:val="2"/>
          </w:tcPr>
          <w:p>
            <w:pPr>
              <w:ind w:left="500"/>
              <w:spacing w:after="0"/>
              <w:rPr>
                <w:sz w:val="20"/>
                <w:szCs w:val="20"/>
                <w:color w:val="auto"/>
              </w:rPr>
            </w:pPr>
            <w:r>
              <w:rPr>
                <w:rFonts w:ascii="Arial" w:cs="Arial" w:eastAsia="Arial" w:hAnsi="Arial"/>
                <w:sz w:val="18"/>
                <w:szCs w:val="18"/>
                <w:color w:val="auto"/>
              </w:rPr>
              <w:t>Short-term</w:t>
            </w:r>
          </w:p>
        </w:tc>
        <w:tc>
          <w:tcPr>
            <w:tcW w:w="1620" w:type="dxa"/>
            <w:vAlign w:val="bottom"/>
          </w:tcPr>
          <w:p>
            <w:pPr>
              <w:jc w:val="right"/>
              <w:spacing w:after="0"/>
              <w:rPr>
                <w:sz w:val="20"/>
                <w:szCs w:val="20"/>
                <w:color w:val="auto"/>
              </w:rPr>
            </w:pPr>
            <w:r>
              <w:rPr>
                <w:rFonts w:ascii="Arial" w:cs="Arial" w:eastAsia="Arial" w:hAnsi="Arial"/>
                <w:sz w:val="18"/>
                <w:szCs w:val="18"/>
                <w:color w:val="auto"/>
              </w:rPr>
              <w:t>206,928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color w:val="auto"/>
              </w:rPr>
              <w:t>169,648</w:t>
            </w:r>
          </w:p>
        </w:tc>
        <w:tc>
          <w:tcPr>
            <w:tcW w:w="150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82,983</w:t>
            </w:r>
          </w:p>
        </w:tc>
        <w:tc>
          <w:tcPr>
            <w:tcW w:w="1500" w:type="dxa"/>
            <w:vAlign w:val="bottom"/>
          </w:tcPr>
          <w:p>
            <w:pPr>
              <w:spacing w:after="0"/>
              <w:rPr>
                <w:sz w:val="23"/>
                <w:szCs w:val="23"/>
                <w:color w:val="auto"/>
              </w:rPr>
            </w:pPr>
          </w:p>
        </w:tc>
      </w:tr>
      <w:tr>
        <w:trPr>
          <w:trHeight w:val="257"/>
        </w:trPr>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8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294,833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252,631</w:t>
            </w:r>
          </w:p>
        </w:tc>
        <w:tc>
          <w:tcPr>
            <w:tcW w:w="1500" w:type="dxa"/>
            <w:vAlign w:val="bottom"/>
          </w:tcPr>
          <w:p>
            <w:pPr>
              <w:spacing w:after="0"/>
              <w:rPr>
                <w:sz w:val="22"/>
                <w:szCs w:val="22"/>
                <w:color w:val="auto"/>
              </w:rPr>
            </w:pPr>
          </w:p>
        </w:tc>
      </w:tr>
      <w:tr>
        <w:trPr>
          <w:trHeight w:val="20"/>
        </w:trPr>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Leases and Minimum Royalties</w:t>
      </w:r>
      <w:r>
        <w:rPr>
          <w:rFonts w:ascii="Arial" w:cs="Arial" w:eastAsia="Arial" w:hAnsi="Arial"/>
          <w:sz w:val="18"/>
          <w:szCs w:val="18"/>
          <w:color w:val="auto"/>
        </w:rPr>
        <w:t>—We lease our facilities under various noncancelable operating leases, which expire through the year 2015. Rent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was $8.2 million, $7.0 million and $6.1 million for fiscal 2011, 2010 and 2009, respectively. Rent expense is recognized using the straight-line method over the term of the lease. The aggregate future noncancelable minimum rental payments on operating leases as of December 31, 2011 are as follows ($ amounts in 000's):</w:t>
      </w:r>
    </w:p>
    <w:p>
      <w:pPr>
        <w:spacing w:after="0" w:line="320" w:lineRule="exact"/>
        <w:rPr>
          <w:sz w:val="20"/>
          <w:szCs w:val="20"/>
          <w:color w:val="auto"/>
        </w:rPr>
      </w:pPr>
    </w:p>
    <w:tbl>
      <w:tblPr>
        <w:tblLayout w:type="fixed"/>
        <w:tblInd w:w="238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0" w:type="dxa"/>
            <w:vAlign w:val="bottom"/>
          </w:tcPr>
          <w:p>
            <w:pPr>
              <w:jc w:val="right"/>
              <w:ind w:right="793"/>
              <w:spacing w:after="0"/>
              <w:rPr>
                <w:sz w:val="20"/>
                <w:szCs w:val="20"/>
                <w:color w:val="auto"/>
              </w:rPr>
            </w:pPr>
            <w:r>
              <w:rPr>
                <w:rFonts w:ascii="Arial" w:cs="Arial" w:eastAsia="Arial" w:hAnsi="Arial"/>
                <w:sz w:val="16"/>
                <w:szCs w:val="16"/>
                <w:b w:val="1"/>
                <w:bCs w:val="1"/>
                <w:color w:val="auto"/>
              </w:rPr>
              <w:t>Rental</w:t>
            </w:r>
          </w:p>
        </w:tc>
      </w:tr>
      <w:tr>
        <w:trPr>
          <w:trHeight w:val="210"/>
        </w:trPr>
        <w:tc>
          <w:tcPr>
            <w:tcW w:w="4480" w:type="dxa"/>
            <w:vAlign w:val="bottom"/>
          </w:tcPr>
          <w:p>
            <w:pPr>
              <w:spacing w:after="0"/>
              <w:rPr>
                <w:sz w:val="18"/>
                <w:szCs w:val="18"/>
                <w:color w:val="auto"/>
              </w:rPr>
            </w:pPr>
          </w:p>
        </w:tc>
        <w:tc>
          <w:tcPr>
            <w:tcW w:w="2200" w:type="dxa"/>
            <w:vAlign w:val="bottom"/>
          </w:tcPr>
          <w:p>
            <w:pPr>
              <w:jc w:val="right"/>
              <w:ind w:right="713"/>
              <w:spacing w:after="0"/>
              <w:rPr>
                <w:sz w:val="20"/>
                <w:szCs w:val="20"/>
                <w:color w:val="auto"/>
              </w:rPr>
            </w:pPr>
            <w:r>
              <w:rPr>
                <w:rFonts w:ascii="Arial" w:cs="Arial" w:eastAsia="Arial" w:hAnsi="Arial"/>
                <w:sz w:val="16"/>
                <w:szCs w:val="16"/>
                <w:b w:val="1"/>
                <w:bCs w:val="1"/>
                <w:color w:val="auto"/>
              </w:rPr>
              <w:t>Payment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2012</w:t>
            </w:r>
          </w:p>
        </w:tc>
        <w:tc>
          <w:tcPr>
            <w:tcW w:w="2200" w:type="dxa"/>
            <w:vAlign w:val="bottom"/>
          </w:tcPr>
          <w:p>
            <w:pPr>
              <w:jc w:val="right"/>
              <w:spacing w:after="0"/>
              <w:rPr>
                <w:sz w:val="20"/>
                <w:szCs w:val="20"/>
                <w:color w:val="auto"/>
              </w:rPr>
            </w:pPr>
            <w:r>
              <w:rPr>
                <w:rFonts w:ascii="Arial" w:cs="Arial" w:eastAsia="Arial" w:hAnsi="Arial"/>
                <w:sz w:val="18"/>
                <w:szCs w:val="18"/>
                <w:color w:val="auto"/>
              </w:rPr>
              <w:t>7,308</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r>
      <w:tr>
        <w:trPr>
          <w:trHeight w:val="243"/>
        </w:trPr>
        <w:tc>
          <w:tcPr>
            <w:tcW w:w="4480" w:type="dxa"/>
            <w:vAlign w:val="bottom"/>
          </w:tcPr>
          <w:p>
            <w:pPr>
              <w:jc w:val="right"/>
              <w:spacing w:after="0"/>
              <w:rPr>
                <w:sz w:val="20"/>
                <w:szCs w:val="20"/>
                <w:color w:val="auto"/>
              </w:rPr>
            </w:pPr>
            <w:r>
              <w:rPr>
                <w:rFonts w:ascii="Arial" w:cs="Arial" w:eastAsia="Arial" w:hAnsi="Arial"/>
                <w:sz w:val="18"/>
                <w:szCs w:val="18"/>
                <w:color w:val="auto"/>
              </w:rPr>
              <w:t>2014</w:t>
            </w:r>
          </w:p>
        </w:tc>
        <w:tc>
          <w:tcPr>
            <w:tcW w:w="2200" w:type="dxa"/>
            <w:vAlign w:val="bottom"/>
          </w:tcPr>
          <w:p>
            <w:pPr>
              <w:jc w:val="right"/>
              <w:spacing w:after="0"/>
              <w:rPr>
                <w:sz w:val="20"/>
                <w:szCs w:val="20"/>
                <w:color w:val="auto"/>
              </w:rPr>
            </w:pPr>
            <w:r>
              <w:rPr>
                <w:rFonts w:ascii="Arial" w:cs="Arial" w:eastAsia="Arial" w:hAnsi="Arial"/>
                <w:sz w:val="18"/>
                <w:szCs w:val="18"/>
                <w:color w:val="auto"/>
              </w:rPr>
              <w:t>3,041</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57"/>
        </w:trPr>
        <w:tc>
          <w:tcPr>
            <w:tcW w:w="448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16,665</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Contract Manufacturer Commitments</w:t>
      </w:r>
      <w:r>
        <w:rPr>
          <w:rFonts w:ascii="Arial" w:cs="Arial" w:eastAsia="Arial" w:hAnsi="Arial"/>
          <w:sz w:val="17"/>
          <w:szCs w:val="17"/>
          <w:color w:val="auto"/>
        </w:rPr>
        <w:t>—Our independent contract manufacturers procure components and build our products based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2011, we had $26.0 million of open purchase orders with our independent contract manufacturers that may not be cancelable.</w:t>
      </w:r>
    </w:p>
    <w:p>
      <w:pPr>
        <w:spacing w:after="0" w:line="141"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—In August 2009, Trend Micro filed a complaint against us in the Superior Court of the State of California for Santa Clara County</w:t>
      </w:r>
      <w:r>
        <w:rPr>
          <w:rFonts w:ascii="Arial" w:cs="Arial" w:eastAsia="Arial" w:hAnsi="Arial"/>
          <w:sz w:val="18"/>
          <w:szCs w:val="18"/>
          <w:b w:val="1"/>
          <w:bCs w:val="1"/>
          <w:color w:val="auto"/>
        </w:rPr>
        <w:t xml:space="preserve"> </w:t>
      </w:r>
      <w:r>
        <w:rPr>
          <w:rFonts w:ascii="Arial" w:cs="Arial" w:eastAsia="Arial" w:hAnsi="Arial"/>
          <w:sz w:val="18"/>
          <w:szCs w:val="18"/>
          <w:color w:val="auto"/>
        </w:rPr>
        <w:t>alleging breach of contract and seeking a declaratory judgment that we are obligated to make certain royalty payments to Trend Micro pursuant to a settlement and license agreement entered into in January 2006. In December 2011, we entered into a settlement agreement with Trend Micro resolving the dispute for a one-time payment of $9.0 million.</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settlement agreement includes a fully paid license to the patents subject to the prior patent license agreement with no continuing obligation to pay royalties for those patents. We had previously accrued a liability of $7.2 million as of the date of the settlement of our litigation with Trend Micro. The remaining $1.8 million was recorded as a prepaid asset as of December 31, 2011, which is being expensed as Cost of revenue over the remaining term of the related patents of four years.</w:t>
      </w:r>
    </w:p>
    <w:p>
      <w:pPr>
        <w:spacing w:after="0" w:line="18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on both asserted patents. The PTO has finally rejected all of the claims of the patents in the suit and ESR has appealed this result to the Board of Patent Appeals and Interferences (“BPAI”). We have determined that, as of this time, there is not a reasonable possibility that a loss may be incurred.</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April 2010, an individual, a former stockholder of Fortinet, filed a class action lawsuit against us claiming unspecified damages in the California Superior Court for the County of Los Angeles alleging violation of various California Corporations Code sections and related tort claims alleging misrepresentation and breach of fiduciary duty regarding the 2009 repurchase by Fortinet of shares of its stock while we were a privately-held company. The plaintiff is claiming unspecified damages. In September 2010, the Court granted our motion to transfer the case to the California Superior Court for Santa Clara County and the plaintiff has filed an amended complaint in the Superior Court to add individual defendants, among other amendments. Currently the case is in the early stages, and we have determined that, as of this time, there is not a reasonable possibility that a loss may be incurred.</w:t>
      </w:r>
    </w:p>
    <w:p>
      <w:pPr>
        <w:spacing w:after="0" w:line="16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in the United States District Court for the Eastern District of Texas ordered the case to be transferred to the Northern District of California. Currently the case is in the early stages, and we have determined that, as of this time, there is not a reasonable possibility that a loss may be incurred.</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Shares Reserved for Issuance</w:t>
      </w:r>
      <w:r>
        <w:rPr>
          <w:rFonts w:ascii="Arial" w:cs="Arial" w:eastAsia="Arial" w:hAnsi="Arial"/>
          <w:sz w:val="18"/>
          <w:szCs w:val="18"/>
          <w:color w:val="auto"/>
        </w:rPr>
        <w:t>—At December 31, 2011, we had reserved 46,789,659 common shares for issuance.</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Stock Repurchase</w:t>
      </w:r>
      <w:r>
        <w:rPr>
          <w:rFonts w:ascii="Arial" w:cs="Arial" w:eastAsia="Arial" w:hAnsi="Arial"/>
          <w:sz w:val="16"/>
          <w:szCs w:val="16"/>
          <w:color w:val="auto"/>
        </w:rPr>
        <w:t>—While we were a privately-held company, during the first six months of fiscal 2009, our Board of Directors approved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authorization. This repurchase authorization allowed us to repurchase up to $20.0 million of our convertible preferred and common stock at $4.25 per share through June 17, 2009. This repurchase authorization expressly excluded our board members and senior management. We repurchased 1,409,264 shares of common stock and 6,008,330 shares of convertible preferred stock for a total consideration of $15.7 million in fiscal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PLANS</w:t>
      </w:r>
    </w:p>
    <w:p>
      <w:pPr>
        <w:spacing w:after="0" w:line="22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b w:val="1"/>
          <w:bCs w:val="1"/>
          <w:color w:val="auto"/>
        </w:rPr>
        <w:t>2000 Stock Plan</w:t>
      </w:r>
      <w:r>
        <w:rPr>
          <w:rFonts w:ascii="Arial" w:cs="Arial" w:eastAsia="Arial" w:hAnsi="Arial"/>
          <w:sz w:val="18"/>
          <w:szCs w:val="18"/>
          <w:color w:val="auto"/>
        </w:rPr>
        <w:t>—During 2000, we adopted the 2000 Stock Option Plan (the Plan), which includes both incentive and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we may grant options to purchase up to 21,500,000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8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2008 Stock Plan</w:t>
      </w:r>
      <w:r>
        <w:rPr>
          <w:rFonts w:ascii="Arial" w:cs="Arial" w:eastAsia="Arial" w:hAnsi="Arial"/>
          <w:sz w:val="18"/>
          <w:szCs w:val="18"/>
          <w:color w:val="auto"/>
        </w:rPr>
        <w:t>—On January 28, 2008, our Board of Directors approved the 2008 Stock Plan (the 2008 Plan) and French Sub-Plan,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both incentive and non-statutory stock options. The maximum aggregate number of shares which may be subject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2009 Equity Incentive Plan</w:t>
      </w:r>
      <w:r>
        <w:rPr>
          <w:rFonts w:ascii="Arial" w:cs="Arial" w:eastAsia="Arial" w:hAnsi="Arial"/>
          <w:sz w:val="16"/>
          <w:szCs w:val="16"/>
          <w:color w:val="auto"/>
        </w:rPr>
        <w:t>—On November 17, 2009, our Board of Directors approved the 2009 Equity Incentive Plan (the 2009 Plan) and French</w:t>
      </w:r>
      <w:r>
        <w:rPr>
          <w:rFonts w:ascii="Arial" w:cs="Arial" w:eastAsia="Arial" w:hAnsi="Arial"/>
          <w:sz w:val="16"/>
          <w:szCs w:val="16"/>
          <w:b w:val="1"/>
          <w:bCs w:val="1"/>
          <w:color w:val="auto"/>
        </w:rPr>
        <w:t xml:space="preserve"> </w:t>
      </w:r>
      <w:r>
        <w:rPr>
          <w:rFonts w:ascii="Arial" w:cs="Arial" w:eastAsia="Arial" w:hAnsi="Arial"/>
          <w:sz w:val="16"/>
          <w:szCs w:val="16"/>
          <w:color w:val="auto"/>
        </w:rPr>
        <w:t>Sub-Plan, which includes awards of stock options, stock appreciation rights, restricted stock, restricted stock units, and performance units or performance shares. The maximum aggregate number of shares that may be issued under the Plan is 9,000,000 shares, plus any shares subject to stock options or similar awards granted under the 2008 Stock Plan and the Amended and Restated 2000 Stock Plan that expire or otherwise terminate without having been exercised in full and shares issued pursuant to awards granted under the 2008 Stock Plan and the Amended and Restated 2000 Stock Plan that are forfeited to or repurchased by the Company, with the maximum number of shares to be added to the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the 2011 fiscal year, in an amount equal to the lesser of (i) 7,000,000 shares, (ii) five percent (5%) of the outstanding shares on the last day of the immediately preceding fiscal year, or (iii) such number of shares determined by the Board.</w:t>
      </w:r>
    </w:p>
    <w:p>
      <w:pPr>
        <w:spacing w:after="0" w:line="16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total combined voting power of all classes of stock generally have a contractual term of seven years and options generally vest over four years.</w:t>
      </w:r>
    </w:p>
    <w:p>
      <w:pPr>
        <w:spacing w:after="0" w:line="23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Employee Stock Purchase Plan</w:t>
      </w:r>
      <w:r>
        <w:rPr>
          <w:rFonts w:ascii="Arial" w:cs="Arial" w:eastAsia="Arial" w:hAnsi="Arial"/>
          <w:sz w:val="18"/>
          <w:szCs w:val="18"/>
          <w:color w:val="auto"/>
        </w:rPr>
        <w:t>—In June 2011, our stockholders approved the ESPP. The purpose of the ESPP is to provide eligible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opportunity to purchase common stock through regular, systematic payroll deductions, up to a maximum of 15.0% of employees' compensation for each purchase period at purchase prices equal to 85.0% of the lesser of the fair market value of our common stock at the first trading date of the applicable offering period or the purchase date. The first offering period under the ESPP began on August 15, 2011 and ends on February 14, 2012. At December 31, 2011, 8,000,000 shares were authorized and available for issuance.</w:t>
      </w:r>
    </w:p>
    <w:p>
      <w:pPr>
        <w:spacing w:after="0" w:line="18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Stock-based compensation under ASC 718</w:t>
      </w:r>
      <w:r>
        <w:rPr>
          <w:rFonts w:ascii="Arial" w:cs="Arial" w:eastAsia="Arial" w:hAnsi="Arial"/>
          <w:sz w:val="18"/>
          <w:szCs w:val="18"/>
          <w:color w:val="auto"/>
        </w:rPr>
        <w:t>—Stock-based compensation is accounted for in accordance with ASC 718, which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costs related to share-based transactions, including employee stock options and stock purchase rights, to be recognized in the financial statements based on fair value. Under ASC 718, the fair value of each option award is estimated on the grant date using the Black-Scholes option pricing model. We determined weighted-average valuation assumptions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method</w:t>
      </w:r>
      <w:r>
        <w:rPr>
          <w:rFonts w:ascii="Arial" w:cs="Arial" w:eastAsia="Arial" w:hAnsi="Arial"/>
          <w:sz w:val="18"/>
          <w:szCs w:val="18"/>
          <w:color w:val="auto"/>
        </w:rPr>
        <w:t>—We estimate the fair value of stock options granted using the Black-Scholes valuation model.</w:t>
      </w:r>
    </w:p>
    <w:p>
      <w:pPr>
        <w:spacing w:after="0" w:line="19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experience for determining the expected term of the stock option awards granted, we have based our expected term on the simplified method available under ASC 718-10.</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computation of expected volatility for the periods presented includes the historical and implied stock volatility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companies from a representative peer group selected based on industry and market capitalization data and to a lesser extent, our weighted historical volatility following our IPO in November 2009.</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our common stock is the closing sales price of the Common Stock (or the closing bid, if no sales</w:t>
      </w:r>
      <w:r>
        <w:rPr>
          <w:rFonts w:ascii="Arial" w:cs="Arial" w:eastAsia="Arial" w:hAnsi="Arial"/>
          <w:sz w:val="18"/>
          <w:szCs w:val="18"/>
          <w:i w:val="1"/>
          <w:iCs w:val="1"/>
          <w:color w:val="auto"/>
        </w:rPr>
        <w:t xml:space="preserve"> </w:t>
      </w:r>
      <w:r>
        <w:rPr>
          <w:rFonts w:ascii="Arial" w:cs="Arial" w:eastAsia="Arial" w:hAnsi="Arial"/>
          <w:sz w:val="18"/>
          <w:szCs w:val="18"/>
          <w:color w:val="auto"/>
        </w:rPr>
        <w:t>were reported) on the effective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—We base the risk-free interest rate used in the Black-Scholes valuation model on the implied yield available 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zero-coupon issues with an equivalent remaining term.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weighted-average assumption is based on our current expectations about our anticipated dividend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stock options as follows:</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125" w:right="41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Fiscal Year</w:t>
            </w:r>
          </w:p>
        </w:tc>
        <w:tc>
          <w:tcPr>
            <w:tcW w:w="158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5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2009</w:t>
            </w:r>
          </w:p>
        </w:tc>
      </w:tr>
      <w:tr>
        <w:trPr>
          <w:trHeight w:val="3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 – 4.6</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 – 4.6</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Volatility (%)</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40 – 57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38 – 43</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 – 52</w:t>
            </w:r>
          </w:p>
        </w:tc>
      </w:tr>
      <w:tr>
        <w:trPr>
          <w:trHeight w:val="27"/>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Risk-free interest rate (%)</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 – 2.0</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 – 2.4</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 – 2.3</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Dividend rate (%)</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Arial" w:cs="Arial" w:eastAsia="Arial" w:hAnsi="Arial"/>
                <w:sz w:val="16"/>
                <w:szCs w:val="16"/>
                <w:b w:val="1"/>
                <w:bCs w:val="1"/>
                <w:color w:val="auto"/>
              </w:rPr>
              <w:t>Fiscal Year</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20" w:type="dxa"/>
            <w:vAlign w:val="bottom"/>
          </w:tcPr>
          <w:p>
            <w:pPr>
              <w:spacing w:after="0"/>
              <w:rPr>
                <w:sz w:val="20"/>
                <w:szCs w:val="20"/>
                <w:color w:val="auto"/>
              </w:rPr>
            </w:pPr>
          </w:p>
        </w:tc>
        <w:tc>
          <w:tcPr>
            <w:tcW w:w="392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42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Cost of services revenue</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39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3920" w:type="dxa"/>
            <w:vAlign w:val="bottom"/>
            <w:gridSpan w:val="2"/>
          </w:tcPr>
          <w:p>
            <w:pPr>
              <w:jc w:val="right"/>
              <w:ind w:right="30"/>
              <w:spacing w:after="0"/>
              <w:rPr>
                <w:sz w:val="20"/>
                <w:szCs w:val="20"/>
                <w:color w:val="auto"/>
              </w:rPr>
            </w:pPr>
            <w:r>
              <w:rPr>
                <w:rFonts w:ascii="Arial" w:cs="Arial" w:eastAsia="Arial" w:hAnsi="Arial"/>
                <w:sz w:val="18"/>
                <w:szCs w:val="18"/>
                <w:color w:val="auto"/>
              </w:rPr>
              <w:t>9,325</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4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57"/>
        </w:trPr>
        <w:tc>
          <w:tcPr>
            <w:tcW w:w="4220" w:type="dxa"/>
            <w:vAlign w:val="bottom"/>
          </w:tcPr>
          <w:p>
            <w:pPr>
              <w:ind w:left="500"/>
              <w:spacing w:after="0"/>
              <w:rPr>
                <w:sz w:val="20"/>
                <w:szCs w:val="20"/>
                <w:color w:val="auto"/>
              </w:rPr>
            </w:pPr>
            <w:r>
              <w:rPr>
                <w:rFonts w:ascii="Arial" w:cs="Arial" w:eastAsia="Arial" w:hAnsi="Arial"/>
                <w:sz w:val="18"/>
                <w:szCs w:val="18"/>
                <w:color w:val="auto"/>
              </w:rPr>
              <w:t>Total stock-based compensation</w:t>
            </w:r>
          </w:p>
        </w:tc>
        <w:tc>
          <w:tcPr>
            <w:tcW w:w="242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19,015</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9,315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20" w:type="dxa"/>
            <w:vAlign w:val="bottom"/>
            <w:vMerge w:val="restart"/>
          </w:tcPr>
          <w:p>
            <w:pPr>
              <w:jc w:val="right"/>
              <w:ind w:right="751"/>
              <w:spacing w:after="0"/>
              <w:rPr>
                <w:sz w:val="20"/>
                <w:szCs w:val="20"/>
                <w:color w:val="auto"/>
              </w:rPr>
            </w:pPr>
            <w:r>
              <w:rPr>
                <w:rFonts w:ascii="Arial" w:cs="Arial" w:eastAsia="Arial" w:hAnsi="Arial"/>
                <w:sz w:val="18"/>
                <w:szCs w:val="18"/>
                <w:color w:val="auto"/>
              </w:rPr>
              <w:t>86</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2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summary of the option activity under our stock plans and changes during the reporting periods are presented below (in 000's,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ind w:left="520"/>
              <w:spacing w:after="0"/>
              <w:rPr>
                <w:sz w:val="20"/>
                <w:szCs w:val="20"/>
                <w:color w:val="auto"/>
              </w:rPr>
            </w:pPr>
            <w:r>
              <w:rPr>
                <w:rFonts w:ascii="Arial" w:cs="Arial" w:eastAsia="Arial" w:hAnsi="Arial"/>
                <w:sz w:val="16"/>
                <w:szCs w:val="16"/>
                <w:b w:val="1"/>
                <w:bCs w:val="1"/>
                <w:color w:val="auto"/>
              </w:rPr>
              <w:t>Options Outstanding</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Available</w:t>
            </w:r>
          </w:p>
        </w:tc>
        <w:tc>
          <w:tcPr>
            <w:tcW w:w="1140" w:type="dxa"/>
            <w:vAlign w:val="bottom"/>
          </w:tcPr>
          <w:p>
            <w:pPr>
              <w:jc w:val="right"/>
              <w:ind w:right="191"/>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for Grant</w:t>
            </w:r>
          </w:p>
        </w:tc>
        <w:tc>
          <w:tcPr>
            <w:tcW w:w="1140" w:type="dxa"/>
            <w:vAlign w:val="bottom"/>
          </w:tcPr>
          <w:p>
            <w:pPr>
              <w:jc w:val="right"/>
              <w:ind w:right="151"/>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Price ($)</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Balance—December 28, 2008 (18,250 shares were vested at a</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exercise price of $1.13 per share)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10,095</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31,466</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Additional shares authorized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13,774</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Granted (weighted-average fair value of $1.43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8,406</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(2,634)</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Exercised (aggregate intrinsic value of $10,490)</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Balance—December 31, 2009 (20,504 shares were vested at a</w:t>
            </w: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exercise price of $1.66 per share)</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18,097</w:t>
            </w:r>
          </w:p>
        </w:tc>
        <w:tc>
          <w:tcPr>
            <w:tcW w:w="1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34,410</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Granted (weighted-average fair value of $3.59 per share)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1,825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(1,825)</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Exercised (aggregate intrinsic value of $117,934)</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(14,928)</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Balance—December 31, 2010</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15,090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22,489</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shares authorized</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Granted (weighted-average fair value of $8.10 per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(6,526)</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6,526</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Exercised (aggregate intrinsic value of $113,590)</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(6,229)</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2011</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17,399</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21,389</w:t>
            </w:r>
          </w:p>
        </w:tc>
        <w:tc>
          <w:tcPr>
            <w:tcW w:w="1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Options vested and expected to vest—December 31, 2011</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20,394</w:t>
            </w:r>
          </w:p>
        </w:tc>
        <w:tc>
          <w:tcPr>
            <w:tcW w:w="1240" w:type="dxa"/>
            <w:vAlign w:val="bottom"/>
            <w:gridSpan w:val="2"/>
          </w:tcPr>
          <w:p>
            <w:pPr>
              <w:jc w:val="right"/>
              <w:ind w:right="16"/>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265,552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2011</w:t>
            </w: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10,953</w:t>
            </w:r>
          </w:p>
        </w:tc>
        <w:tc>
          <w:tcPr>
            <w:tcW w:w="12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199,766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December 31, 2011, total compensation cost related to unvested stock-based awards granted to employees under our stock plans but not yet recognized was $53.0 million, net of estimated forfeitures. This cost is expected to be amortized on a straight-line basis over a weighted-average period of 3.0 years. Future option grants will increase the amount of compensation expense to be recorded in these periods.</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total fair value of awards vested under our stock plans was $11.8 million, $8.5 million and $5.5 million for fiscal 2011, 2010 and 2009,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regarding options outstanding as of December 31, 2011,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Options Outstanding</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8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9"/>
        </w:trPr>
        <w:tc>
          <w:tcPr>
            <w:tcW w:w="1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3"/>
        </w:trPr>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1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1840" w:type="dxa"/>
            <w:vAlign w:val="bottom"/>
          </w:tcPr>
          <w:p>
            <w:pPr>
              <w:spacing w:after="0"/>
              <w:rPr>
                <w:sz w:val="17"/>
                <w:szCs w:val="17"/>
                <w:color w:val="auto"/>
              </w:rPr>
            </w:pPr>
          </w:p>
        </w:tc>
        <w:tc>
          <w:tcPr>
            <w:tcW w:w="1840" w:type="dxa"/>
            <w:vAlign w:val="bottom"/>
          </w:tcPr>
          <w:p>
            <w:pPr>
              <w:jc w:val="right"/>
              <w:ind w:right="5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Contractual</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Exercise</w:t>
            </w:r>
          </w:p>
        </w:tc>
        <w:tc>
          <w:tcPr>
            <w:tcW w:w="1800" w:type="dxa"/>
            <w:vAlign w:val="bottom"/>
          </w:tcPr>
          <w:p>
            <w:pPr>
              <w:jc w:val="right"/>
              <w:ind w:right="5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40" w:type="dxa"/>
            <w:vAlign w:val="bottom"/>
          </w:tcPr>
          <w:p>
            <w:pPr>
              <w:jc w:val="right"/>
              <w:ind w:right="431"/>
              <w:spacing w:after="0"/>
              <w:rPr>
                <w:sz w:val="20"/>
                <w:szCs w:val="20"/>
                <w:color w:val="auto"/>
              </w:rPr>
            </w:pPr>
            <w:r>
              <w:rPr>
                <w:rFonts w:ascii="Arial" w:cs="Arial" w:eastAsia="Arial" w:hAnsi="Arial"/>
                <w:sz w:val="16"/>
                <w:szCs w:val="16"/>
                <w:b w:val="1"/>
                <w:bCs w:val="1"/>
                <w:color w:val="auto"/>
                <w:w w:val="91"/>
              </w:rPr>
              <w:t>Exercise Prices ($)</w:t>
            </w:r>
          </w:p>
        </w:tc>
        <w:tc>
          <w:tcPr>
            <w:tcW w:w="1840" w:type="dxa"/>
            <w:vAlign w:val="bottom"/>
          </w:tcPr>
          <w:p>
            <w:pPr>
              <w:jc w:val="right"/>
              <w:ind w:right="392"/>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Life (Years)</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Price ($)</w:t>
            </w:r>
          </w:p>
        </w:tc>
        <w:tc>
          <w:tcPr>
            <w:tcW w:w="1800" w:type="dxa"/>
            <w:vAlign w:val="bottom"/>
          </w:tcPr>
          <w:p>
            <w:pPr>
              <w:jc w:val="right"/>
              <w:ind w:right="413"/>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Price ($)</w:t>
            </w:r>
          </w:p>
        </w:tc>
      </w:tr>
      <w:tr>
        <w:trPr>
          <w:trHeight w:val="33"/>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0.08–1.20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3,064</w:t>
            </w:r>
          </w:p>
        </w:tc>
        <w:tc>
          <w:tcPr>
            <w:tcW w:w="1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3,064</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0.81</w:t>
            </w:r>
          </w:p>
        </w:tc>
      </w:tr>
      <w:tr>
        <w:trPr>
          <w:trHeight w:val="243"/>
        </w:trPr>
        <w:tc>
          <w:tcPr>
            <w:tcW w:w="1840" w:type="dxa"/>
            <w:vAlign w:val="bottom"/>
          </w:tcPr>
          <w:p>
            <w:pPr>
              <w:jc w:val="right"/>
              <w:ind w:right="51"/>
              <w:spacing w:after="0"/>
              <w:rPr>
                <w:sz w:val="20"/>
                <w:szCs w:val="20"/>
                <w:color w:val="auto"/>
              </w:rPr>
            </w:pPr>
            <w:r>
              <w:rPr>
                <w:rFonts w:ascii="Arial" w:cs="Arial" w:eastAsia="Arial" w:hAnsi="Arial"/>
                <w:sz w:val="18"/>
                <w:szCs w:val="18"/>
                <w:color w:val="auto"/>
              </w:rPr>
              <w:t>3.72–4.65</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8,724</w:t>
            </w:r>
          </w:p>
        </w:tc>
        <w:tc>
          <w:tcPr>
            <w:tcW w:w="1960" w:type="dxa"/>
            <w:vAlign w:val="bottom"/>
            <w:gridSpan w:val="2"/>
          </w:tcPr>
          <w:p>
            <w:pPr>
              <w:jc w:val="right"/>
              <w:ind w:right="39"/>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6,696</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3.75</w:t>
            </w: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5.50–6.25</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5.65</w:t>
            </w:r>
          </w:p>
        </w:tc>
      </w:tr>
      <w:tr>
        <w:trPr>
          <w:trHeight w:val="243"/>
        </w:trPr>
        <w:tc>
          <w:tcPr>
            <w:tcW w:w="1840" w:type="dxa"/>
            <w:vAlign w:val="bottom"/>
          </w:tcPr>
          <w:p>
            <w:pPr>
              <w:jc w:val="right"/>
              <w:ind w:right="51"/>
              <w:spacing w:after="0"/>
              <w:rPr>
                <w:sz w:val="20"/>
                <w:szCs w:val="20"/>
                <w:color w:val="auto"/>
              </w:rPr>
            </w:pPr>
            <w:r>
              <w:rPr>
                <w:rFonts w:ascii="Arial" w:cs="Arial" w:eastAsia="Arial" w:hAnsi="Arial"/>
                <w:sz w:val="18"/>
                <w:szCs w:val="18"/>
                <w:color w:val="auto"/>
              </w:rPr>
              <w:t>8.43–8.99</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2,770</w:t>
            </w:r>
          </w:p>
        </w:tc>
        <w:tc>
          <w:tcPr>
            <w:tcW w:w="1960" w:type="dxa"/>
            <w:vAlign w:val="bottom"/>
            <w:gridSpan w:val="2"/>
          </w:tcPr>
          <w:p>
            <w:pPr>
              <w:jc w:val="right"/>
              <w:ind w:right="39"/>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8.55</w:t>
            </w:r>
          </w:p>
        </w:tc>
      </w:tr>
      <w:tr>
        <w:trPr>
          <w:trHeight w:val="27"/>
        </w:trPr>
        <w:tc>
          <w:tcPr>
            <w:tcW w:w="18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15.28</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c>
          <w:tcPr>
            <w:tcW w:w="1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15.28</w:t>
            </w:r>
          </w:p>
        </w:tc>
      </w:tr>
      <w:tr>
        <w:trPr>
          <w:trHeight w:val="243"/>
        </w:trPr>
        <w:tc>
          <w:tcPr>
            <w:tcW w:w="1840" w:type="dxa"/>
            <w:vAlign w:val="bottom"/>
          </w:tcPr>
          <w:p>
            <w:pPr>
              <w:jc w:val="right"/>
              <w:ind w:right="51"/>
              <w:spacing w:after="0"/>
              <w:rPr>
                <w:sz w:val="20"/>
                <w:szCs w:val="20"/>
                <w:color w:val="auto"/>
              </w:rPr>
            </w:pPr>
            <w:r>
              <w:rPr>
                <w:rFonts w:ascii="Arial" w:cs="Arial" w:eastAsia="Arial" w:hAnsi="Arial"/>
                <w:sz w:val="18"/>
                <w:szCs w:val="18"/>
                <w:color w:val="auto"/>
              </w:rPr>
              <w:t>20.12–23.96</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5,988</w:t>
            </w:r>
          </w:p>
        </w:tc>
        <w:tc>
          <w:tcPr>
            <w:tcW w:w="1960" w:type="dxa"/>
            <w:vAlign w:val="bottom"/>
            <w:gridSpan w:val="2"/>
          </w:tcPr>
          <w:p>
            <w:pPr>
              <w:jc w:val="right"/>
              <w:ind w:right="39"/>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20.23</w:t>
            </w:r>
          </w:p>
        </w:tc>
      </w:tr>
      <w:tr>
        <w:trPr>
          <w:trHeight w:val="27"/>
        </w:trPr>
        <w:tc>
          <w:tcPr>
            <w:tcW w:w="18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r>
      <w:tr>
        <w:trPr>
          <w:trHeight w:val="269"/>
        </w:trPr>
        <w:tc>
          <w:tcPr>
            <w:tcW w:w="18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21,389</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10,953</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Employee Stock Purchase Plan</w:t>
      </w:r>
      <w:r>
        <w:rPr>
          <w:rFonts w:ascii="Arial" w:cs="Arial" w:eastAsia="Arial" w:hAnsi="Arial"/>
          <w:sz w:val="18"/>
          <w:szCs w:val="18"/>
          <w:color w:val="auto"/>
        </w:rPr>
        <w:t>—During fiscal 2011, compensation expense recognized in connection with the ESPP was $1.6 million.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table summarizes the weighted-average assumptions relating to our ESPP during fiscal 2011 as follows:</w:t>
      </w:r>
    </w:p>
    <w:p>
      <w:pPr>
        <w:spacing w:after="0" w:line="315" w:lineRule="exact"/>
        <w:rPr>
          <w:sz w:val="20"/>
          <w:szCs w:val="20"/>
          <w:color w:val="auto"/>
        </w:rPr>
      </w:pPr>
    </w:p>
    <w:tbl>
      <w:tblPr>
        <w:tblLayout w:type="fixed"/>
        <w:tblInd w:w="224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272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42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2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fair value ($)</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424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pre-tax income for the periods ended is as follows ($ amounts in 000's):</w:t>
      </w:r>
    </w:p>
    <w:p>
      <w:pPr>
        <w:spacing w:after="0" w:line="383"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27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Foreign</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6,662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5,785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Pre-Tax Income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92,073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88</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for the years ended is as follows ($ amounts in 000's):</w:t>
      </w:r>
    </w:p>
    <w:p>
      <w:pPr>
        <w:spacing w:after="0" w:line="361"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6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6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Pr>
          <w:p>
            <w:pPr>
              <w:jc w:val="right"/>
              <w:ind w:right="2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420" w:type="dxa"/>
            <w:vAlign w:val="bottom"/>
          </w:tcPr>
          <w:p>
            <w:pPr>
              <w:spacing w:after="0"/>
              <w:rPr>
                <w:sz w:val="18"/>
                <w:szCs w:val="18"/>
                <w:color w:val="auto"/>
              </w:rPr>
            </w:pPr>
          </w:p>
        </w:tc>
        <w:tc>
          <w:tcPr>
            <w:tcW w:w="15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2009</w:t>
            </w:r>
          </w:p>
        </w:tc>
      </w:tr>
      <w:tr>
        <w:trPr>
          <w:trHeight w:val="33"/>
        </w:trPr>
        <w:tc>
          <w:tcPr>
            <w:tcW w:w="54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80"/>
              <w:spacing w:after="0"/>
              <w:rPr>
                <w:sz w:val="20"/>
                <w:szCs w:val="20"/>
                <w:color w:val="auto"/>
              </w:rPr>
            </w:pPr>
            <w:r>
              <w:rPr>
                <w:rFonts w:ascii="Arial" w:cs="Arial" w:eastAsia="Arial" w:hAnsi="Arial"/>
                <w:sz w:val="18"/>
                <w:szCs w:val="18"/>
                <w:color w:val="auto"/>
              </w:rPr>
              <w:t>Federal</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34,856</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10,633</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4,882</w:t>
            </w:r>
          </w:p>
        </w:tc>
      </w:tr>
      <w:tr>
        <w:trPr>
          <w:trHeight w:val="27"/>
        </w:trPr>
        <w:tc>
          <w:tcPr>
            <w:tcW w:w="5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State</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w:t>
            </w:r>
          </w:p>
        </w:tc>
      </w:tr>
      <w:tr>
        <w:trPr>
          <w:trHeight w:val="243"/>
        </w:trPr>
        <w:tc>
          <w:tcPr>
            <w:tcW w:w="5420" w:type="dxa"/>
            <w:vAlign w:val="bottom"/>
          </w:tcPr>
          <w:p>
            <w:pPr>
              <w:ind w:left="480"/>
              <w:spacing w:after="0"/>
              <w:rPr>
                <w:sz w:val="20"/>
                <w:szCs w:val="20"/>
                <w:color w:val="auto"/>
              </w:rPr>
            </w:pPr>
            <w:r>
              <w:rPr>
                <w:rFonts w:ascii="Arial" w:cs="Arial" w:eastAsia="Arial" w:hAnsi="Arial"/>
                <w:sz w:val="18"/>
                <w:szCs w:val="18"/>
                <w:color w:val="auto"/>
              </w:rPr>
              <w:t>Foreign</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9,298</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1,173</w:t>
            </w:r>
          </w:p>
        </w:tc>
      </w:tr>
      <w:tr>
        <w:trPr>
          <w:trHeight w:val="27"/>
        </w:trPr>
        <w:tc>
          <w:tcPr>
            <w:tcW w:w="54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39,043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19,849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7,058</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Deferred:</w:t>
            </w: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Federal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(35,331)</w:t>
            </w:r>
          </w:p>
        </w:tc>
      </w:tr>
      <w:tr>
        <w:trPr>
          <w:trHeight w:val="243"/>
        </w:trPr>
        <w:tc>
          <w:tcPr>
            <w:tcW w:w="5420" w:type="dxa"/>
            <w:vAlign w:val="bottom"/>
          </w:tcPr>
          <w:p>
            <w:pPr>
              <w:ind w:left="480"/>
              <w:spacing w:after="0"/>
              <w:rPr>
                <w:sz w:val="20"/>
                <w:szCs w:val="20"/>
                <w:color w:val="auto"/>
              </w:rPr>
            </w:pPr>
            <w:r>
              <w:rPr>
                <w:rFonts w:ascii="Arial" w:cs="Arial" w:eastAsia="Arial" w:hAnsi="Arial"/>
                <w:sz w:val="18"/>
                <w:szCs w:val="18"/>
                <w:color w:val="auto"/>
              </w:rPr>
              <w:t>State</w:t>
            </w:r>
          </w:p>
        </w:tc>
        <w:tc>
          <w:tcPr>
            <w:tcW w:w="15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(3,850)</w:t>
            </w:r>
          </w:p>
        </w:tc>
      </w:tr>
      <w:tr>
        <w:trPr>
          <w:trHeight w:val="27"/>
        </w:trPr>
        <w:tc>
          <w:tcPr>
            <w:tcW w:w="5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Foreign</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7"/>
        </w:trPr>
        <w:tc>
          <w:tcPr>
            <w:tcW w:w="542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(39,724)</w:t>
            </w:r>
          </w:p>
        </w:tc>
      </w:tr>
      <w:tr>
        <w:trPr>
          <w:trHeight w:val="27"/>
        </w:trPr>
        <w:tc>
          <w:tcPr>
            <w:tcW w:w="54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29,581</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15,096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(32,666)</w:t>
            </w:r>
          </w:p>
        </w:tc>
      </w:tr>
      <w:tr>
        <w:trPr>
          <w:trHeight w:val="20"/>
        </w:trPr>
        <w:tc>
          <w:tcPr>
            <w:tcW w:w="5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provision for income taxes differs from the amount computed by applying the statutory federal income tax rate as follows ($ amounts in 000's):</w:t>
      </w:r>
    </w:p>
    <w:p>
      <w:pPr>
        <w:spacing w:after="0" w:line="195"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6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62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Pr>
          <w:p>
            <w:pPr>
              <w:jc w:val="right"/>
              <w:ind w:right="2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420" w:type="dxa"/>
            <w:vAlign w:val="bottom"/>
          </w:tcPr>
          <w:p>
            <w:pPr>
              <w:spacing w:after="0"/>
              <w:rPr>
                <w:sz w:val="18"/>
                <w:szCs w:val="18"/>
                <w:color w:val="auto"/>
              </w:rPr>
            </w:pPr>
          </w:p>
        </w:tc>
        <w:tc>
          <w:tcPr>
            <w:tcW w:w="15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2009</w:t>
            </w:r>
          </w:p>
        </w:tc>
      </w:tr>
      <w:tr>
        <w:trPr>
          <w:trHeight w:val="33"/>
        </w:trPr>
        <w:tc>
          <w:tcPr>
            <w:tcW w:w="54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at federal statutory tax rate</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9,629</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1,311</w:t>
            </w:r>
          </w:p>
        </w:tc>
      </w:tr>
      <w:tr>
        <w:trPr>
          <w:trHeight w:val="27"/>
        </w:trPr>
        <w:tc>
          <w:tcPr>
            <w:tcW w:w="5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taxes—net of federal benefit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154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5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income taxed at different rates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Other</w:t>
            </w:r>
          </w:p>
        </w:tc>
        <w:tc>
          <w:tcPr>
            <w:tcW w:w="15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1,202</w:t>
            </w:r>
          </w:p>
        </w:tc>
      </w:tr>
      <w:tr>
        <w:trPr>
          <w:trHeight w:val="27"/>
        </w:trPr>
        <w:tc>
          <w:tcPr>
            <w:tcW w:w="5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(44,209)</w:t>
            </w:r>
          </w:p>
        </w:tc>
      </w:tr>
      <w:tr>
        <w:trPr>
          <w:trHeight w:val="257"/>
        </w:trPr>
        <w:tc>
          <w:tcPr>
            <w:tcW w:w="542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29,581</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15,096</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(32,666)</w:t>
            </w:r>
          </w:p>
        </w:tc>
      </w:tr>
      <w:tr>
        <w:trPr>
          <w:trHeight w:val="20"/>
        </w:trPr>
        <w:tc>
          <w:tcPr>
            <w:tcW w:w="5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Significant permanent differences arise from the portion of stock-based compensation expense that is not expected to generate a tax deduction, such as stock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Due to this, our income taxes payable have been reduced by the tax benefits from employee stock plan awards. The income tax benefits for fiscal 2011, 2010 and 2009 associated with dispositions from employee stock transactions of $26.2 million, $9.3 million and $1.3 million, respectively, were recognized as additional paid-in capital.</w:t>
      </w:r>
    </w:p>
    <w:p>
      <w:pPr>
        <w:spacing w:after="0" w:line="138"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As of December 31, 2011, we did not recognize deferred tax assets relating to excess tax benefits for stock-based compensation deductions of $5.5 million and $1.1 million, which related to California net operating losses and California tax credits, respectively. Unrecognized deferred tax benefits will be accounted for as a credit to additional paid-in-capital when realized through a reduction in income taxes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each of the years ended are presented below ($ amount in 000's):</w:t>
      </w:r>
    </w:p>
    <w:p>
      <w:pPr>
        <w:spacing w:after="0" w:line="306"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6"/>
                <w:szCs w:val="16"/>
                <w:b w:val="1"/>
                <w:bCs w:val="1"/>
                <w:color w:val="auto"/>
              </w:rPr>
              <w:t>December 31,</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5560" w:type="dxa"/>
            <w:vAlign w:val="bottom"/>
          </w:tcPr>
          <w:p>
            <w:pPr>
              <w:spacing w:after="0"/>
              <w:rPr>
                <w:sz w:val="18"/>
                <w:szCs w:val="18"/>
                <w:color w:val="auto"/>
              </w:rPr>
            </w:pPr>
          </w:p>
        </w:tc>
        <w:tc>
          <w:tcPr>
            <w:tcW w:w="15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2010</w:t>
            </w:r>
          </w:p>
        </w:tc>
      </w:tr>
      <w:tr>
        <w:trPr>
          <w:trHeight w:val="33"/>
        </w:trPr>
        <w:tc>
          <w:tcPr>
            <w:tcW w:w="55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Net operating loss carryforward</w:t>
            </w:r>
          </w:p>
        </w:tc>
        <w:tc>
          <w:tcPr>
            <w:tcW w:w="1580" w:type="dxa"/>
            <w:vAlign w:val="bottom"/>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Nondeductible reserves and accruals</w:t>
            </w:r>
          </w:p>
        </w:tc>
        <w:tc>
          <w:tcPr>
            <w:tcW w:w="1580" w:type="dxa"/>
            <w:vAlign w:val="bottom"/>
          </w:tcPr>
          <w:p>
            <w:pPr>
              <w:jc w:val="right"/>
              <w:spacing w:after="0"/>
              <w:rPr>
                <w:sz w:val="20"/>
                <w:szCs w:val="20"/>
                <w:color w:val="auto"/>
              </w:rPr>
            </w:pPr>
            <w:r>
              <w:rPr>
                <w:rFonts w:ascii="Arial" w:cs="Arial" w:eastAsia="Arial" w:hAnsi="Arial"/>
                <w:sz w:val="18"/>
                <w:szCs w:val="18"/>
                <w:color w:val="auto"/>
              </w:rPr>
              <w:t>13,699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10,990</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15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1,243</w:t>
            </w:r>
          </w:p>
        </w:tc>
      </w:tr>
      <w:tr>
        <w:trPr>
          <w:trHeight w:val="27"/>
        </w:trPr>
        <w:tc>
          <w:tcPr>
            <w:tcW w:w="5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r>
      <w:tr>
        <w:trPr>
          <w:trHeight w:val="243"/>
        </w:trPr>
        <w:tc>
          <w:tcPr>
            <w:tcW w:w="5560" w:type="dxa"/>
            <w:vAlign w:val="bottom"/>
          </w:tcPr>
          <w:p>
            <w:pPr>
              <w:ind w:left="500"/>
              <w:spacing w:after="0"/>
              <w:rPr>
                <w:sz w:val="20"/>
                <w:szCs w:val="20"/>
                <w:color w:val="auto"/>
              </w:rPr>
            </w:pPr>
            <w:r>
              <w:rPr>
                <w:rFonts w:ascii="Arial" w:cs="Arial" w:eastAsia="Arial" w:hAnsi="Arial"/>
                <w:sz w:val="18"/>
                <w:szCs w:val="18"/>
                <w:color w:val="auto"/>
              </w:rPr>
              <w:t>Other</w:t>
            </w: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5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45,601</w:t>
            </w:r>
          </w:p>
        </w:tc>
      </w:tr>
      <w:tr>
        <w:trPr>
          <w:trHeight w:val="20"/>
        </w:trPr>
        <w:tc>
          <w:tcPr>
            <w:tcW w:w="55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Management concluded that it is more likely than not that we would be able to realize the benefit of our deferred tax assets in the future.</w:t>
      </w:r>
    </w:p>
    <w:p>
      <w:pPr>
        <w:spacing w:after="0" w:line="14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December 31, 2011, we had various state net operating loss carryforwards of approximately $37.3 million. These state net operating loss carryforwards begin to expire in the year 2012. The state tax authorities impose significant restrictions on the utilization of net operating loss tax credit carryforwards. Our ability to use our net operating loss carryforwards to offset any future taxable income may be subject to limitations if equity transactions occur that would result in a change of ownership. As of December 31, 2011, we have tax credit carryforwards available to offset our future state taxes of approximately $1.6 million. The state credits carry forward indefinitely.</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Company's policy with respect to its undistributed foreign subsidiaries' earnings is to consider those earnings to be indefinitely reinvested and, accordingly, no related provision of U.S. federal and state income taxes has been provided. Upon distribution of those earnings in the form of dividends or otherwise, we will be subject to both U.S. income taxes (subject to an adjustment for foreign tax credits) and withholding taxes in the various foreign countries. At December 31, 2011 we have not recorded U.S. income tax on approximately $24.3 million of foreign earnings that are deemed to be permanently reinvested overseas.</w:t>
      </w:r>
    </w:p>
    <w:p>
      <w:pPr>
        <w:spacing w:after="0" w:line="18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At December 31, 2011, we had $19.3 million of unrecognized tax benefits, of which, if recognized, $18.5 million would favorably affect our effective tax rate. Our policy is to include accrued interest and penalties related to uncertain tax benefits in income tax expense. As of December 31, 2011, accrued interest and penalties were $0.6 million. As of December 31, 2010, accrued interest and penalties were $0.2 million.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 amounts in 000's):</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Fiscal Year</w:t>
            </w:r>
          </w:p>
        </w:tc>
        <w:tc>
          <w:tcPr>
            <w:tcW w:w="1420" w:type="dxa"/>
            <w:vAlign w:val="bottom"/>
          </w:tcPr>
          <w:p>
            <w:pPr>
              <w:spacing w:after="0"/>
              <w:rPr>
                <w:sz w:val="18"/>
                <w:szCs w:val="18"/>
                <w:color w:val="auto"/>
              </w:rPr>
            </w:pPr>
          </w:p>
        </w:tc>
      </w:tr>
      <w:tr>
        <w:trPr>
          <w:trHeight w:val="33"/>
        </w:trPr>
        <w:tc>
          <w:tcPr>
            <w:tcW w:w="64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6480" w:type="dxa"/>
            <w:vAlign w:val="bottom"/>
          </w:tcPr>
          <w:p>
            <w:pPr>
              <w:spacing w:after="0"/>
              <w:rPr>
                <w:sz w:val="20"/>
                <w:szCs w:val="20"/>
                <w:color w:val="auto"/>
              </w:rPr>
            </w:pPr>
          </w:p>
        </w:tc>
        <w:tc>
          <w:tcPr>
            <w:tcW w:w="14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420" w:type="dxa"/>
            <w:vAlign w:val="bottom"/>
          </w:tcPr>
          <w:p>
            <w:pPr>
              <w:jc w:val="right"/>
              <w:ind w:right="45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1420" w:type="dxa"/>
            <w:vAlign w:val="bottom"/>
          </w:tcPr>
          <w:p>
            <w:pPr>
              <w:jc w:val="right"/>
              <w:ind w:right="452"/>
              <w:spacing w:after="0"/>
              <w:rPr>
                <w:sz w:val="20"/>
                <w:szCs w:val="20"/>
                <w:color w:val="auto"/>
              </w:rPr>
            </w:pPr>
            <w:r>
              <w:rPr>
                <w:rFonts w:ascii="Arial" w:cs="Arial" w:eastAsia="Arial" w:hAnsi="Arial"/>
                <w:sz w:val="16"/>
                <w:szCs w:val="16"/>
                <w:b w:val="1"/>
                <w:bCs w:val="1"/>
                <w:color w:val="auto"/>
              </w:rPr>
              <w:t>2009</w:t>
            </w:r>
          </w:p>
        </w:tc>
      </w:tr>
      <w:tr>
        <w:trPr>
          <w:trHeight w:val="33"/>
        </w:trPr>
        <w:tc>
          <w:tcPr>
            <w:tcW w:w="64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1,952</w:t>
            </w:r>
          </w:p>
        </w:tc>
      </w:tr>
      <w:tr>
        <w:trPr>
          <w:trHeight w:val="243"/>
        </w:trPr>
        <w:tc>
          <w:tcPr>
            <w:tcW w:w="6480" w:type="dxa"/>
            <w:vAlign w:val="bottom"/>
          </w:tcPr>
          <w:p>
            <w:pPr>
              <w:ind w:left="500"/>
              <w:spacing w:after="0"/>
              <w:rPr>
                <w:sz w:val="20"/>
                <w:szCs w:val="20"/>
                <w:color w:val="auto"/>
              </w:rPr>
            </w:pPr>
            <w:r>
              <w:rPr>
                <w:rFonts w:ascii="Arial" w:cs="Arial" w:eastAsia="Arial" w:hAnsi="Arial"/>
                <w:sz w:val="18"/>
                <w:szCs w:val="18"/>
                <w:color w:val="auto"/>
              </w:rPr>
              <w:t>Increases for tax positions related to the current year</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440</w:t>
            </w: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Increases (decreases) for tax positions related to the prior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r>
      <w:tr>
        <w:trPr>
          <w:trHeight w:val="257"/>
        </w:trPr>
        <w:tc>
          <w:tcPr>
            <w:tcW w:w="648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19,269</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12,083</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3,387</w:t>
            </w:r>
          </w:p>
        </w:tc>
      </w:tr>
      <w:tr>
        <w:trPr>
          <w:trHeight w:val="20"/>
        </w:trPr>
        <w:tc>
          <w:tcPr>
            <w:tcW w:w="6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December 31, 2011 and December 31, 2010, $19.1 million and $11.2 million, respectively, of the amounts reflected above were recorded as a liability and included in other non-current liabilities in our consolidated balance sheet.</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As of December 31, 2011, there were no unrecognized tax benefits that we expect would change significantly over the next 12 months.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file income tax returns in the U.S. federal jurisdiction, and various U.S. state and foreign jurisdictions. As we have net operating loss carryforwards for the U.S. Federal and state jurisdictions, the statute of limitations is open for all tax years. Generally, we are no longer subject to non-U.S. income tax examinations by tax authorities for tax years prior to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established a 401(k) tax-deferred savings plan (the “401(k) Plan”) which permits participants to make contributions by salary deduction pursuant to Section 401(k) of the Internal Revenue Code. Under the 401(k) Plan, participating employees may defer a portion of their pre-tax earnings, up to the IRS annual contribution limit ($16,500 for the calendar year 2011). In Canada, we have established a Group Registered Retirement Savings Plan program (the "RRSP Plan") which permits participants to make tax deductible contributions up to the maximum RRSP contribution limits under the Income Tax Act. As of January 1, 2011, our board of directors approved 50.0% matching contributions on employee contributions, up to 4.0% of the employee's eligible earnings. Our matching contributions to the RRSP and 401(k) Plans for fiscal 2011 was $1.5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CERTAIN RELATIONSHIPS AND 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fiscal 2009, we paid compensation of $166,000 to two employees who are directly related to a former board member. This individual ceased being a board member as of October 2009.</w:t>
      </w:r>
    </w:p>
    <w:p>
      <w:pPr>
        <w:spacing w:after="0" w:line="14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February 2008, we entered into a 23-month non-cancelable facility lease agreement, determined to be an arm's length transaction, with an entity affiliated with one of our former board members. During fiscal 2009, we paid $917,000 for office rent and operating expenses. The lease expired on December 31, 2009.</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125" w:right="31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2011, DECEMBER 31, 2010 AND DECEMBER 31, 2009</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ASC 280</w:t>
      </w:r>
      <w:r>
        <w:rPr>
          <w:rFonts w:ascii="Arial" w:cs="Arial" w:eastAsia="Arial" w:hAnsi="Arial"/>
          <w:sz w:val="16"/>
          <w:szCs w:val="16"/>
          <w:i w:val="1"/>
          <w:iCs w:val="1"/>
          <w:color w:val="auto"/>
        </w:rPr>
        <w:t>,</w:t>
      </w:r>
      <w:r>
        <w:rPr>
          <w:rFonts w:ascii="Arial" w:cs="Arial" w:eastAsia="Arial" w:hAnsi="Arial"/>
          <w:sz w:val="16"/>
          <w:szCs w:val="16"/>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are considered to be in a single reportable segment and operating unit structure.</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by geographic region ($ amounts in 000's):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Fiscal Year</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2960" w:type="dxa"/>
            <w:vAlign w:val="bottom"/>
            <w:gridSpan w:val="2"/>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2010</w:t>
            </w:r>
          </w:p>
        </w:tc>
        <w:tc>
          <w:tcPr>
            <w:tcW w:w="162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2960" w:type="dxa"/>
            <w:vAlign w:val="bottom"/>
            <w:gridSpan w:val="2"/>
          </w:tcPr>
          <w:p>
            <w:pPr>
              <w:jc w:val="right"/>
              <w:ind w:right="31"/>
              <w:spacing w:after="0"/>
              <w:rPr>
                <w:sz w:val="20"/>
                <w:szCs w:val="20"/>
                <w:color w:val="auto"/>
              </w:rPr>
            </w:pPr>
            <w:r>
              <w:rPr>
                <w:rFonts w:ascii="Arial" w:cs="Arial" w:eastAsia="Arial" w:hAnsi="Arial"/>
                <w:sz w:val="18"/>
                <w:szCs w:val="18"/>
                <w:color w:val="auto"/>
              </w:rPr>
              <w:t>120,456</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92,097</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73,172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52,038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31,864</w:t>
            </w:r>
          </w:p>
        </w:tc>
        <w:tc>
          <w:tcPr>
            <w:tcW w:w="1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172,494</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123,961</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EMEA</w:t>
            </w:r>
          </w:p>
        </w:tc>
        <w:tc>
          <w:tcPr>
            <w:tcW w:w="29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152,385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121,604</w:t>
            </w:r>
          </w:p>
        </w:tc>
        <w:tc>
          <w:tcPr>
            <w:tcW w:w="1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95,886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APAC</w:t>
            </w:r>
          </w:p>
        </w:tc>
        <w:tc>
          <w:tcPr>
            <w:tcW w:w="2960" w:type="dxa"/>
            <w:vAlign w:val="bottom"/>
            <w:gridSpan w:val="2"/>
          </w:tcPr>
          <w:p>
            <w:pPr>
              <w:jc w:val="right"/>
              <w:ind w:right="31"/>
              <w:spacing w:after="0"/>
              <w:rPr>
                <w:sz w:val="20"/>
                <w:szCs w:val="20"/>
                <w:color w:val="auto"/>
              </w:rPr>
            </w:pPr>
            <w:r>
              <w:rPr>
                <w:rFonts w:ascii="Arial" w:cs="Arial" w:eastAsia="Arial" w:hAnsi="Arial"/>
                <w:sz w:val="18"/>
                <w:szCs w:val="18"/>
                <w:color w:val="auto"/>
              </w:rPr>
              <w:t>108,697</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79,131</w:t>
            </w:r>
          </w:p>
        </w:tc>
        <w:tc>
          <w:tcPr>
            <w:tcW w:w="1620" w:type="dxa"/>
            <w:vAlign w:val="bottom"/>
            <w:gridSpan w:val="2"/>
          </w:tcPr>
          <w:p>
            <w:pPr>
              <w:jc w:val="right"/>
              <w:ind w:right="10"/>
              <w:spacing w:after="0"/>
              <w:rPr>
                <w:sz w:val="20"/>
                <w:szCs w:val="20"/>
                <w:color w:val="auto"/>
              </w:rPr>
            </w:pPr>
            <w:r>
              <w:rPr>
                <w:rFonts w:ascii="Arial" w:cs="Arial" w:eastAsia="Arial" w:hAnsi="Arial"/>
                <w:sz w:val="18"/>
                <w:szCs w:val="18"/>
                <w:color w:val="auto"/>
              </w:rPr>
              <w:t>63,608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4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433,576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324,696</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Property and Equipment</w:t>
            </w:r>
          </w:p>
        </w:tc>
        <w:tc>
          <w:tcPr>
            <w:tcW w:w="2960" w:type="dxa"/>
            <w:vAlign w:val="bottom"/>
            <w:gridSpan w:val="2"/>
          </w:tcPr>
          <w:p>
            <w:pPr>
              <w:jc w:val="right"/>
              <w:ind w:right="531"/>
              <w:spacing w:after="0" w:line="176" w:lineRule="exact"/>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4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2960" w:type="dxa"/>
            <w:vAlign w:val="bottom"/>
            <w:gridSpan w:val="2"/>
          </w:tcPr>
          <w:p>
            <w:pPr>
              <w:jc w:val="right"/>
              <w:ind w:right="31"/>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9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ind w:left="240"/>
              <w:spacing w:after="0"/>
              <w:rPr>
                <w:sz w:val="20"/>
                <w:szCs w:val="20"/>
                <w:color w:val="auto"/>
              </w:rPr>
            </w:pPr>
            <w:r>
              <w:rPr>
                <w:rFonts w:ascii="Arial" w:cs="Arial" w:eastAsia="Arial" w:hAnsi="Arial"/>
                <w:sz w:val="18"/>
                <w:szCs w:val="18"/>
                <w:color w:val="auto"/>
              </w:rPr>
              <w:t>Other Americas</w:t>
            </w:r>
          </w:p>
        </w:tc>
        <w:tc>
          <w:tcPr>
            <w:tcW w:w="2960" w:type="dxa"/>
            <w:vAlign w:val="bottom"/>
            <w:gridSpan w:val="2"/>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EMEA</w:t>
            </w:r>
          </w:p>
        </w:tc>
        <w:tc>
          <w:tcPr>
            <w:tcW w:w="2960" w:type="dxa"/>
            <w:vAlign w:val="bottom"/>
            <w:gridSpan w:val="2"/>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APAC</w:t>
            </w:r>
          </w:p>
        </w:tc>
        <w:tc>
          <w:tcPr>
            <w:tcW w:w="1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gridSpan w:val="3"/>
          </w:tcPr>
          <w:p>
            <w:pPr>
              <w:ind w:left="460"/>
              <w:spacing w:after="0"/>
              <w:rPr>
                <w:sz w:val="20"/>
                <w:szCs w:val="20"/>
                <w:color w:val="auto"/>
              </w:rPr>
            </w:pPr>
            <w:r>
              <w:rPr>
                <w:rFonts w:ascii="Arial" w:cs="Arial" w:eastAsia="Arial" w:hAnsi="Arial"/>
                <w:sz w:val="18"/>
                <w:szCs w:val="18"/>
                <w:color w:val="auto"/>
              </w:rPr>
              <w:t>Total property and equipment—net</w:t>
            </w:r>
          </w:p>
        </w:tc>
        <w:tc>
          <w:tcPr>
            <w:tcW w:w="142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7,966</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vMerge w:val="restart"/>
          </w:tcPr>
          <w:p>
            <w:pPr>
              <w:jc w:val="right"/>
              <w:ind w:right="152"/>
              <w:spacing w:after="0"/>
              <w:rPr>
                <w:sz w:val="20"/>
                <w:szCs w:val="20"/>
                <w:color w:val="auto"/>
              </w:rPr>
            </w:pPr>
            <w:r>
              <w:rPr>
                <w:rFonts w:ascii="Arial" w:cs="Arial" w:eastAsia="Arial" w:hAnsi="Arial"/>
                <w:sz w:val="18"/>
                <w:szCs w:val="18"/>
                <w:color w:val="auto"/>
              </w:rPr>
              <w:t>92</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and 15d-15(f). Management conducted an evaluation of the effectiveness of our internal control over financial reporting based on the framework in Internal Control—Integrated Framework issued by the Committee of Sponsoring Organizations of the Treadway Commission. Based on this evaluation, management concluded that our internal control over financial reporting was effective as of December 31, 2011. Management reviewed the results of its assessment with our Audit Committee. The effectiveness of our internal control over financial reporting as of December 31, 2011 has been audited by Deloitte</w:t>
      </w:r>
    </w:p>
    <w:p>
      <w:pPr>
        <w:spacing w:after="0" w:line="2" w:lineRule="exact"/>
        <w:rPr>
          <w:sz w:val="20"/>
          <w:szCs w:val="20"/>
          <w:color w:val="auto"/>
        </w:rPr>
      </w:pPr>
    </w:p>
    <w:p>
      <w:pPr>
        <w:ind w:right="80" w:firstLine="8"/>
        <w:spacing w:after="0" w:line="261"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Touche LLP, an independent registered public accounting firm, as stated in its report, which appears in this Item under the heading “Report of Independent Registered Public Accounting Firm.”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or 15d-15(e) under the Securities Exchange Act of 1934, as amended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2011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13a-15(f) or 15d-15(f) under the Exchange Act) during our fourth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California</w:t>
      </w:r>
    </w:p>
    <w:p>
      <w:pPr>
        <w:spacing w:after="0" w:line="224"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Fortinet, Inc. and subsidiaries (collectively, the “Company”) as of December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ind w:right="520" w:firstLine="648"/>
        <w:spacing w:after="0" w:line="30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consolidated financial statement schedule listed in the Index at Item 15 as of and for the year ended December 31, 2011, of the Company and our report dated February 27, 2012 expressed an unqualified opinion on those financial statements and financial statement schedule and included an explanatory paragraph relating to the change in the Company's method for recognizing revenue for multiple element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2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Information responsive to this item is incorporated herein by reference to Fortinet’s definitive proxy statement with respect to our 2012 Annual Meeting of Stockholders to be filed with the SEC within 120 days after the end of the fiscal year covered by this annual report on Form 10-K.</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the Company, with regard to their Fortinet-related activities. Our code of business conduct and ethics is available on our website at www.fortinet.com under “About Us—Investor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3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Information responsive to this item is incorporated herein by reference to Fortinet’s definitive proxy statement with respect to our 2012 Annual Meeting of Stockholders to be filed with the SEC within 120 days after the end of the fiscal year covered by this annual report on Form 10-K.</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Information responsive to this item is incorporated herein by reference to Fortinet’s definitive proxy statement with respect to our 2012 Annual Meeting of Stockholders to be filed with the SEC within 120 days after the end of the fiscal year covered by this annual report on Form 10-K.</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Information responsive to this item is incorporated herein by reference to Fortinet’s definitive proxy statement with respect to our 2012 Annual Meeting of Stockholders to be filed with the SEC within 120 days after the end of the fiscal year covered by this annual report on Form 10-K.</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Information responsive to this item is incorporated herein by reference to Fortinet’s definitive proxy statement with respect to our 2012 Annual Meeting of Stockholders to be filed with the SEC within 120 days after the end of the fiscal year covered by this annual report on Form 10-K.</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Form 10-K:</w:t>
      </w:r>
    </w:p>
    <w:p>
      <w:pPr>
        <w:spacing w:after="0" w:line="225" w:lineRule="exact"/>
        <w:rPr>
          <w:sz w:val="20"/>
          <w:szCs w:val="20"/>
          <w:color w:val="auto"/>
        </w:rPr>
      </w:pPr>
    </w:p>
    <w:p>
      <w:pPr>
        <w:ind w:left="1300" w:right="64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Form 10-K in Item 8, titled “Financial Statements and Supplementary Data.”</w:t>
      </w:r>
    </w:p>
    <w:p>
      <w:pPr>
        <w:spacing w:after="0" w:line="181" w:lineRule="exact"/>
        <w:rPr>
          <w:rFonts w:ascii="Arial" w:cs="Arial" w:eastAsia="Arial" w:hAnsi="Arial"/>
          <w:sz w:val="18"/>
          <w:szCs w:val="18"/>
          <w:color w:val="auto"/>
        </w:rPr>
      </w:pPr>
    </w:p>
    <w:p>
      <w:pPr>
        <w:ind w:left="1300" w:right="640" w:hanging="644"/>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Financial Statement Schedule</w:t>
      </w:r>
      <w:r>
        <w:rPr>
          <w:rFonts w:ascii="Arial" w:cs="Arial" w:eastAsia="Arial" w:hAnsi="Arial"/>
          <w:sz w:val="18"/>
          <w:szCs w:val="18"/>
          <w:color w:val="auto"/>
        </w:rPr>
        <w:t>: The following financial statement schedule of Fortinet, Inc., for the fiscal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December 31, 2010 and December 31, 2009, is filed as part of this Form 10-K and should be read in conjunction with the Consolidated Financial Statements of Fortinet,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gridSpan w:val="2"/>
          </w:tcPr>
          <w:p>
            <w:pPr>
              <w:ind w:left="7060"/>
              <w:spacing w:after="0"/>
              <w:rPr>
                <w:sz w:val="20"/>
                <w:szCs w:val="20"/>
                <w:color w:val="auto"/>
              </w:rPr>
            </w:pPr>
            <w:r>
              <w:rPr>
                <w:rFonts w:ascii="Arial" w:cs="Arial" w:eastAsia="Arial" w:hAnsi="Arial"/>
                <w:sz w:val="16"/>
                <w:szCs w:val="16"/>
                <w:b w:val="1"/>
                <w:bCs w:val="1"/>
                <w:color w:val="auto"/>
              </w:rPr>
              <w:t>2011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53"/>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2009</w:t>
            </w:r>
          </w:p>
        </w:tc>
      </w:tr>
      <w:tr>
        <w:trPr>
          <w:trHeight w:val="33"/>
        </w:trPr>
        <w:tc>
          <w:tcPr>
            <w:tcW w:w="6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6"/>
                <w:szCs w:val="16"/>
                <w:b w:val="1"/>
                <w:bCs w:val="1"/>
                <w:color w:val="auto"/>
              </w:rPr>
              <w:t>($ amounts in 000's)</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Beginning balance</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318</w:t>
            </w:r>
          </w:p>
        </w:tc>
      </w:tr>
      <w:tr>
        <w:trPr>
          <w:trHeight w:val="27"/>
        </w:trPr>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Charged to costs and expenses</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Bad debt write-offs</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4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right="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10-K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following the signature page of this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exhibit list in the Index to Exhibits immediately following the signature page of this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2012.</w:t>
      </w: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5740"/>
        <w:spacing w:after="0"/>
        <w:tabs>
          <w:tab w:leader="none" w:pos="8020" w:val="left"/>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730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Ken Goldman, Chief Financial Officer</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Ken Xie and Ken Goldman,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280" w:type="dxa"/>
            <w:vAlign w:val="bottom"/>
            <w:gridSpan w:val="3"/>
          </w:tcPr>
          <w:p>
            <w:pPr>
              <w:ind w:left="1160"/>
              <w:spacing w:after="0"/>
              <w:rPr>
                <w:sz w:val="20"/>
                <w:szCs w:val="20"/>
                <w:color w:val="auto"/>
              </w:rPr>
            </w:pPr>
            <w:r>
              <w:rPr>
                <w:rFonts w:ascii="Arial" w:cs="Arial" w:eastAsia="Arial" w:hAnsi="Arial"/>
                <w:sz w:val="18"/>
                <w:szCs w:val="18"/>
                <w:b w:val="1"/>
                <w:bCs w:val="1"/>
                <w:color w:val="auto"/>
              </w:rPr>
              <w:t>Date</w:t>
            </w:r>
          </w:p>
        </w:tc>
      </w:tr>
      <w:tr>
        <w:trPr>
          <w:trHeight w:val="20"/>
        </w:trPr>
        <w:tc>
          <w:tcPr>
            <w:tcW w:w="162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4000" w:type="dxa"/>
            <w:vAlign w:val="bottom"/>
            <w:gridSpan w:val="4"/>
          </w:tcPr>
          <w:p>
            <w:pPr>
              <w:ind w:left="1340"/>
              <w:spacing w:after="0"/>
              <w:rPr>
                <w:sz w:val="20"/>
                <w:szCs w:val="20"/>
                <w:color w:val="auto"/>
              </w:rPr>
            </w:pPr>
            <w:r>
              <w:rPr>
                <w:rFonts w:ascii="Arial" w:cs="Arial" w:eastAsia="Arial" w:hAnsi="Arial"/>
                <w:sz w:val="18"/>
                <w:szCs w:val="18"/>
                <w:color w:val="auto"/>
              </w:rPr>
              <w:t>/s/  Ken Xie</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43"/>
        </w:trPr>
        <w:tc>
          <w:tcPr>
            <w:tcW w:w="1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4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420"/>
              <w:spacing w:after="0"/>
              <w:rPr>
                <w:sz w:val="20"/>
                <w:szCs w:val="20"/>
                <w:color w:val="auto"/>
              </w:rPr>
            </w:pPr>
            <w:r>
              <w:rPr>
                <w:rFonts w:ascii="Arial" w:cs="Arial" w:eastAsia="Arial" w:hAnsi="Arial"/>
                <w:sz w:val="18"/>
                <w:szCs w:val="18"/>
                <w:color w:val="auto"/>
                <w:w w:val="92"/>
              </w:rPr>
              <w:t>Ken Goldman</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43"/>
        </w:trPr>
        <w:tc>
          <w:tcPr>
            <w:tcW w:w="1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2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37"/>
        </w:trPr>
        <w:tc>
          <w:tcPr>
            <w:tcW w:w="1400" w:type="dxa"/>
            <w:vAlign w:val="bottom"/>
          </w:tcPr>
          <w:p>
            <w:pPr>
              <w:spacing w:after="0"/>
              <w:rPr>
                <w:sz w:val="20"/>
                <w:szCs w:val="20"/>
                <w:color w:val="auto"/>
              </w:rPr>
            </w:pP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2"/>
              </w:rPr>
              <w:t>Ken Goldman</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200"/>
              <w:spacing w:after="0"/>
              <w:rPr>
                <w:sz w:val="20"/>
                <w:szCs w:val="20"/>
                <w:color w:val="auto"/>
              </w:rPr>
            </w:pPr>
            <w:r>
              <w:rPr>
                <w:rFonts w:ascii="Arial" w:cs="Arial" w:eastAsia="Arial" w:hAnsi="Arial"/>
                <w:sz w:val="18"/>
                <w:szCs w:val="18"/>
                <w:color w:val="auto"/>
                <w:w w:val="94"/>
              </w:rPr>
              <w:t>/s/</w:t>
            </w:r>
          </w:p>
        </w:tc>
        <w:tc>
          <w:tcPr>
            <w:tcW w:w="2600" w:type="dxa"/>
            <w:vAlign w:val="bottom"/>
            <w:gridSpan w:val="3"/>
          </w:tcPr>
          <w:p>
            <w:pPr>
              <w:jc w:val="center"/>
              <w:ind w:right="1420"/>
              <w:spacing w:after="0"/>
              <w:rPr>
                <w:sz w:val="20"/>
                <w:szCs w:val="20"/>
                <w:color w:val="auto"/>
              </w:rPr>
            </w:pPr>
            <w:r>
              <w:rPr>
                <w:rFonts w:ascii="Arial" w:cs="Arial" w:eastAsia="Arial" w:hAnsi="Arial"/>
                <w:sz w:val="18"/>
                <w:szCs w:val="18"/>
                <w:color w:val="auto"/>
                <w:w w:val="96"/>
              </w:rPr>
              <w:t>Michael Xie</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Chief Technical Officer and 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6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color w:val="auto"/>
                <w:w w:val="87"/>
              </w:rPr>
              <w:t>Pehong Chen</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89"/>
              </w:rPr>
              <w:t>Pehong Chen</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0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color w:val="auto"/>
                <w:w w:val="95"/>
              </w:rPr>
              <w:t>Hong Liang Lu</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5"/>
              </w:rPr>
              <w:t>Hong Liang Lu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220"/>
              <w:spacing w:after="0"/>
              <w:rPr>
                <w:sz w:val="20"/>
                <w:szCs w:val="20"/>
                <w:color w:val="auto"/>
              </w:rPr>
            </w:pPr>
            <w:r>
              <w:rPr>
                <w:rFonts w:ascii="Arial" w:cs="Arial" w:eastAsia="Arial" w:hAnsi="Arial"/>
                <w:sz w:val="18"/>
                <w:szCs w:val="18"/>
                <w:color w:val="auto"/>
                <w:w w:val="83"/>
              </w:rPr>
              <w:t>/s/</w:t>
            </w:r>
          </w:p>
        </w:tc>
        <w:tc>
          <w:tcPr>
            <w:tcW w:w="2600" w:type="dxa"/>
            <w:vAlign w:val="bottom"/>
            <w:gridSpan w:val="3"/>
          </w:tcPr>
          <w:p>
            <w:pPr>
              <w:jc w:val="center"/>
              <w:ind w:right="1420"/>
              <w:spacing w:after="0"/>
              <w:rPr>
                <w:sz w:val="20"/>
                <w:szCs w:val="20"/>
                <w:color w:val="auto"/>
              </w:rPr>
            </w:pPr>
            <w:r>
              <w:rPr>
                <w:rFonts w:ascii="Arial" w:cs="Arial" w:eastAsia="Arial" w:hAnsi="Arial"/>
                <w:sz w:val="18"/>
                <w:szCs w:val="18"/>
                <w:color w:val="auto"/>
                <w:w w:val="91"/>
              </w:rPr>
              <w:t>Greg Myers</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92"/>
              </w:rPr>
              <w:t>Greg Myers</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4000" w:type="dxa"/>
            <w:vAlign w:val="bottom"/>
            <w:gridSpan w:val="4"/>
          </w:tcPr>
          <w:p>
            <w:pPr>
              <w:ind w:left="840"/>
              <w:spacing w:after="0"/>
              <w:rPr>
                <w:sz w:val="20"/>
                <w:szCs w:val="20"/>
                <w:color w:val="auto"/>
              </w:rPr>
            </w:pPr>
            <w:r>
              <w:rPr>
                <w:rFonts w:ascii="Arial" w:cs="Arial" w:eastAsia="Arial" w:hAnsi="Arial"/>
                <w:sz w:val="18"/>
                <w:szCs w:val="18"/>
                <w:color w:val="auto"/>
              </w:rPr>
              <w:t>/s/  Christopher B. Paisley</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7"/>
        </w:trPr>
        <w:tc>
          <w:tcPr>
            <w:tcW w:w="16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40"/>
              <w:spacing w:after="0"/>
              <w:rPr>
                <w:sz w:val="20"/>
                <w:szCs w:val="20"/>
                <w:color w:val="auto"/>
              </w:rPr>
            </w:pPr>
            <w:r>
              <w:rPr>
                <w:rFonts w:ascii="Arial" w:cs="Arial" w:eastAsia="Arial" w:hAnsi="Arial"/>
                <w:sz w:val="18"/>
                <w:szCs w:val="18"/>
                <w:color w:val="auto"/>
              </w:rPr>
              <w:t>/s/</w:t>
            </w: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color w:val="auto"/>
                <w:w w:val="88"/>
              </w:rPr>
              <w:t>John Walecka</w:t>
            </w:r>
          </w:p>
        </w:tc>
        <w:tc>
          <w:tcPr>
            <w:tcW w:w="5060" w:type="dxa"/>
            <w:vAlign w:val="bottom"/>
            <w:gridSpan w:val="3"/>
          </w:tcPr>
          <w:p>
            <w:pPr>
              <w:ind w:left="380"/>
              <w:spacing w:after="0"/>
              <w:rPr>
                <w:sz w:val="20"/>
                <w:szCs w:val="20"/>
                <w:color w:val="auto"/>
              </w:rPr>
            </w:pPr>
            <w:r>
              <w:rPr>
                <w:rFonts w:ascii="Arial" w:cs="Arial" w:eastAsia="Arial" w:hAnsi="Arial"/>
                <w:sz w:val="18"/>
                <w:szCs w:val="18"/>
                <w:color w:val="auto"/>
              </w:rPr>
              <w:t>Non-Executive Chairman of the Board and Director</w:t>
            </w:r>
          </w:p>
        </w:tc>
        <w:tc>
          <w:tcPr>
            <w:tcW w:w="2280" w:type="dxa"/>
            <w:vAlign w:val="bottom"/>
            <w:gridSpan w:val="3"/>
          </w:tcPr>
          <w:p>
            <w:pPr>
              <w:ind w:left="960"/>
              <w:spacing w:after="0"/>
              <w:rPr>
                <w:sz w:val="20"/>
                <w:szCs w:val="20"/>
                <w:color w:val="auto"/>
              </w:rPr>
            </w:pPr>
            <w:r>
              <w:rPr>
                <w:rFonts w:ascii="Arial" w:cs="Arial" w:eastAsia="Arial" w:hAnsi="Arial"/>
                <w:sz w:val="18"/>
                <w:szCs w:val="18"/>
                <w:color w:val="auto"/>
                <w:w w:val="88"/>
              </w:rPr>
              <w:t>February 27, 2012</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3"/>
          </w:tcPr>
          <w:p>
            <w:pPr>
              <w:jc w:val="center"/>
              <w:ind w:right="1400"/>
              <w:spacing w:after="0"/>
              <w:rPr>
                <w:sz w:val="20"/>
                <w:szCs w:val="20"/>
                <w:color w:val="auto"/>
              </w:rPr>
            </w:pPr>
            <w:r>
              <w:rPr>
                <w:rFonts w:ascii="Arial" w:cs="Arial" w:eastAsia="Arial" w:hAnsi="Arial"/>
                <w:sz w:val="18"/>
                <w:szCs w:val="18"/>
                <w:b w:val="1"/>
                <w:bCs w:val="1"/>
                <w:color w:val="auto"/>
                <w:w w:val="89"/>
              </w:rPr>
              <w:t>John Walecka</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80"/>
          </w:cols>
          <w:pgMar w:left="240" w:top="122" w:right="27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00"/>
          </w:cols>
          <w:pgMar w:left="240" w:top="121" w:right="35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1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2"/>
        </w:trPr>
        <w:tc>
          <w:tcPr>
            <w:tcW w:w="10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24"/>
                <w:szCs w:val="24"/>
                <w:color w:val="auto"/>
              </w:rPr>
            </w:pPr>
          </w:p>
        </w:tc>
        <w:tc>
          <w:tcPr>
            <w:tcW w:w="4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Amended and Restated Certificate of Incorporation</w:t>
            </w:r>
          </w:p>
        </w:tc>
        <w:tc>
          <w:tcPr>
            <w:tcW w:w="0" w:type="dxa"/>
            <w:vAlign w:val="bottom"/>
          </w:tcPr>
          <w:p>
            <w:pPr>
              <w:spacing w:after="0"/>
              <w:rPr>
                <w:sz w:val="1"/>
                <w:szCs w:val="1"/>
                <w:color w:val="auto"/>
              </w:rPr>
            </w:pPr>
          </w:p>
        </w:tc>
      </w:tr>
      <w:tr>
        <w:trPr>
          <w:trHeight w:val="473"/>
        </w:trPr>
        <w:tc>
          <w:tcPr>
            <w:tcW w:w="1000" w:type="dxa"/>
            <w:vAlign w:val="bottom"/>
          </w:tcPr>
          <w:p>
            <w:pPr>
              <w:ind w:left="4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Amended and Restated Bylaws</w:t>
            </w:r>
          </w:p>
        </w:tc>
        <w:tc>
          <w:tcPr>
            <w:tcW w:w="0" w:type="dxa"/>
            <w:vAlign w:val="bottom"/>
          </w:tcPr>
          <w:p>
            <w:pPr>
              <w:spacing w:after="0"/>
              <w:rPr>
                <w:sz w:val="1"/>
                <w:szCs w:val="1"/>
                <w:color w:val="auto"/>
              </w:rPr>
            </w:pPr>
          </w:p>
        </w:tc>
      </w:tr>
      <w:tr>
        <w:trPr>
          <w:trHeight w:val="324"/>
        </w:trPr>
        <w:tc>
          <w:tcPr>
            <w:tcW w:w="1000" w:type="dxa"/>
            <w:vAlign w:val="bottom"/>
          </w:tcPr>
          <w:p>
            <w:pPr>
              <w:ind w:left="4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Specimen common stock certificate of the Company</w:t>
            </w:r>
          </w:p>
        </w:tc>
        <w:tc>
          <w:tcPr>
            <w:tcW w:w="0" w:type="dxa"/>
            <w:vAlign w:val="bottom"/>
          </w:tcPr>
          <w:p>
            <w:pPr>
              <w:spacing w:after="0"/>
              <w:rPr>
                <w:sz w:val="1"/>
                <w:szCs w:val="1"/>
                <w:color w:val="auto"/>
              </w:rPr>
            </w:pPr>
          </w:p>
        </w:tc>
      </w:tr>
      <w:tr>
        <w:trPr>
          <w:trHeight w:val="439"/>
        </w:trPr>
        <w:tc>
          <w:tcPr>
            <w:tcW w:w="1000" w:type="dxa"/>
            <w:vAlign w:val="bottom"/>
          </w:tcPr>
          <w:p>
            <w:pPr>
              <w:ind w:left="40"/>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w w:val="93"/>
              </w:rPr>
              <w:t>Third Amended and Restated Investors Rights Agreement, dated as of</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40" w:type="dxa"/>
            <w:vAlign w:val="bottom"/>
          </w:tcPr>
          <w:p>
            <w:pPr>
              <w:ind w:left="20"/>
              <w:spacing w:after="0" w:line="149" w:lineRule="exact"/>
              <w:rPr>
                <w:sz w:val="20"/>
                <w:szCs w:val="20"/>
                <w:color w:val="auto"/>
              </w:rPr>
            </w:pPr>
            <w:r>
              <w:rPr>
                <w:rFonts w:ascii="Arial" w:cs="Arial" w:eastAsia="Arial" w:hAnsi="Arial"/>
                <w:sz w:val="14"/>
                <w:szCs w:val="14"/>
                <w:color w:val="auto"/>
                <w:w w:val="96"/>
              </w:rPr>
              <w:t>February 24, 2004, between the Company and certain holders of the</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Company’s capital stock named therein</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10.1</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8"/>
              </w:rPr>
              <w:t>Forms of Indemnification Agreement between the Company and its</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directors and officers</w:t>
            </w:r>
          </w:p>
        </w:tc>
        <w:tc>
          <w:tcPr>
            <w:tcW w:w="0" w:type="dxa"/>
            <w:vAlign w:val="bottom"/>
          </w:tcPr>
          <w:p>
            <w:pPr>
              <w:spacing w:after="0"/>
              <w:rPr>
                <w:sz w:val="1"/>
                <w:szCs w:val="1"/>
                <w:color w:val="auto"/>
              </w:rPr>
            </w:pPr>
          </w:p>
        </w:tc>
      </w:tr>
      <w:tr>
        <w:trPr>
          <w:trHeight w:val="324"/>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10.2</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rPr>
              <w:t>2000 Stock Plan and forms of agreement thereunder</w:t>
            </w:r>
          </w:p>
        </w:tc>
        <w:tc>
          <w:tcPr>
            <w:tcW w:w="0" w:type="dxa"/>
            <w:vAlign w:val="bottom"/>
          </w:tcPr>
          <w:p>
            <w:pPr>
              <w:spacing w:after="0"/>
              <w:rPr>
                <w:sz w:val="1"/>
                <w:szCs w:val="1"/>
                <w:color w:val="auto"/>
              </w:rPr>
            </w:pPr>
          </w:p>
        </w:tc>
      </w:tr>
      <w:tr>
        <w:trPr>
          <w:trHeight w:val="473"/>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10.3</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rPr>
              <w:t>2008 Stock Plan and forms of agreement thereunder</w:t>
            </w:r>
          </w:p>
        </w:tc>
        <w:tc>
          <w:tcPr>
            <w:tcW w:w="0" w:type="dxa"/>
            <w:vAlign w:val="bottom"/>
          </w:tcPr>
          <w:p>
            <w:pPr>
              <w:spacing w:after="0"/>
              <w:rPr>
                <w:sz w:val="1"/>
                <w:szCs w:val="1"/>
                <w:color w:val="auto"/>
              </w:rPr>
            </w:pPr>
          </w:p>
        </w:tc>
      </w:tr>
      <w:tr>
        <w:trPr>
          <w:trHeight w:val="439"/>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10.4</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9"/>
              </w:rPr>
              <w:t>2009 Equity Incentive Plan and forms of restricted stock unit award</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and restricted stock agreement thereunder</w:t>
            </w:r>
          </w:p>
        </w:tc>
        <w:tc>
          <w:tcPr>
            <w:tcW w:w="0" w:type="dxa"/>
            <w:vAlign w:val="bottom"/>
          </w:tcPr>
          <w:p>
            <w:pPr>
              <w:spacing w:after="0"/>
              <w:rPr>
                <w:sz w:val="1"/>
                <w:szCs w:val="1"/>
                <w:color w:val="auto"/>
              </w:rPr>
            </w:pPr>
          </w:p>
        </w:tc>
      </w:tr>
      <w:tr>
        <w:trPr>
          <w:trHeight w:val="324"/>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10.5</w:t>
            </w:r>
            <w:r>
              <w:rPr>
                <w:rFonts w:ascii="Arial" w:cs="Arial" w:eastAsia="Arial" w:hAnsi="Arial"/>
                <w:sz w:val="8"/>
                <w:szCs w:val="8"/>
                <w:color w:val="auto"/>
              </w:rPr>
              <w:t>†*</w:t>
            </w:r>
          </w:p>
        </w:tc>
        <w:tc>
          <w:tcPr>
            <w:tcW w:w="4140" w:type="dxa"/>
            <w:vAlign w:val="bottom"/>
            <w:vMerge w:val="restart"/>
          </w:tcPr>
          <w:p>
            <w:pPr>
              <w:ind w:left="20"/>
              <w:spacing w:after="0"/>
              <w:rPr>
                <w:sz w:val="20"/>
                <w:szCs w:val="20"/>
                <w:color w:val="auto"/>
              </w:rPr>
            </w:pPr>
            <w:r>
              <w:rPr>
                <w:rFonts w:ascii="Arial" w:cs="Arial" w:eastAsia="Arial" w:hAnsi="Arial"/>
                <w:sz w:val="14"/>
                <w:szCs w:val="14"/>
                <w:color w:val="auto"/>
                <w:w w:val="99"/>
              </w:rPr>
              <w:t>Forms of stock option agreement under 2009 Equity Incentive Plan</w:t>
            </w: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10.6</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6"/>
              </w:rPr>
              <w:t>Separation and Change of Control Agreement, dated as of August 7,</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2009, between the Company and Ken Xie</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10.7</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6"/>
              </w:rPr>
              <w:t>Separation and Change of Control Agreement, dated as of August 7,</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2009, between the Company and Michael Xie</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10.8</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6"/>
              </w:rPr>
              <w:t>Separation and Change of Control Agreement, dated as of August 7,</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2009, between the Company and Ken Goldman</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10.9</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6"/>
              </w:rPr>
              <w:t>Separation and Change of Control Agreement, dated as of August 7,</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2009, between the Company and John Whittle</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10.10</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rPr>
              <w:t>Offer Letter, dated as of August 31, 2007, by and between the</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Company and Ken Goldman</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10.11</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rPr>
              <w:t>Offer Letter, dated as of August 31, 2007, by and between the</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Company and John Whittle</w:t>
            </w:r>
          </w:p>
        </w:tc>
        <w:tc>
          <w:tcPr>
            <w:tcW w:w="0" w:type="dxa"/>
            <w:vAlign w:val="bottom"/>
          </w:tcPr>
          <w:p>
            <w:pPr>
              <w:spacing w:after="0"/>
              <w:rPr>
                <w:sz w:val="1"/>
                <w:szCs w:val="1"/>
                <w:color w:val="auto"/>
              </w:rPr>
            </w:pPr>
          </w:p>
        </w:tc>
      </w:tr>
      <w:tr>
        <w:trPr>
          <w:trHeight w:val="290"/>
        </w:trPr>
        <w:tc>
          <w:tcPr>
            <w:tcW w:w="1140" w:type="dxa"/>
            <w:vAlign w:val="bottom"/>
            <w:gridSpan w:val="2"/>
          </w:tcPr>
          <w:p>
            <w:pPr>
              <w:ind w:left="40"/>
              <w:spacing w:after="0"/>
              <w:rPr>
                <w:sz w:val="20"/>
                <w:szCs w:val="20"/>
                <w:color w:val="auto"/>
              </w:rPr>
            </w:pPr>
            <w:r>
              <w:rPr>
                <w:rFonts w:ascii="Arial" w:cs="Arial" w:eastAsia="Arial" w:hAnsi="Arial"/>
                <w:sz w:val="14"/>
                <w:szCs w:val="14"/>
                <w:color w:val="auto"/>
              </w:rPr>
              <w:t>10.12</w:t>
            </w:r>
            <w:r>
              <w:rPr>
                <w:rFonts w:ascii="Arial" w:cs="Arial" w:eastAsia="Arial" w:hAnsi="Arial"/>
                <w:sz w:val="8"/>
                <w:szCs w:val="8"/>
                <w:color w:val="auto"/>
              </w:rPr>
              <w:t>†</w:t>
            </w:r>
          </w:p>
        </w:tc>
        <w:tc>
          <w:tcPr>
            <w:tcW w:w="4140" w:type="dxa"/>
            <w:vAlign w:val="bottom"/>
          </w:tcPr>
          <w:p>
            <w:pPr>
              <w:ind w:left="20"/>
              <w:spacing w:after="0"/>
              <w:rPr>
                <w:sz w:val="20"/>
                <w:szCs w:val="20"/>
                <w:color w:val="auto"/>
              </w:rPr>
            </w:pPr>
            <w:r>
              <w:rPr>
                <w:rFonts w:ascii="Arial" w:cs="Arial" w:eastAsia="Arial" w:hAnsi="Arial"/>
                <w:sz w:val="14"/>
                <w:szCs w:val="14"/>
                <w:color w:val="auto"/>
                <w:w w:val="95"/>
              </w:rPr>
              <w:t>Form of Change of Control Agreement between the Company and its</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non-executive officers</w:t>
            </w:r>
          </w:p>
        </w:tc>
        <w:tc>
          <w:tcPr>
            <w:tcW w:w="0" w:type="dxa"/>
            <w:vAlign w:val="bottom"/>
          </w:tcPr>
          <w:p>
            <w:pPr>
              <w:spacing w:after="0"/>
              <w:rPr>
                <w:sz w:val="1"/>
                <w:szCs w:val="1"/>
                <w:color w:val="auto"/>
              </w:rPr>
            </w:pPr>
          </w:p>
        </w:tc>
      </w:tr>
      <w:tr>
        <w:trPr>
          <w:trHeight w:val="324"/>
        </w:trPr>
        <w:tc>
          <w:tcPr>
            <w:tcW w:w="1000" w:type="dxa"/>
            <w:vAlign w:val="bottom"/>
          </w:tcPr>
          <w:p>
            <w:pPr>
              <w:ind w:left="40"/>
              <w:spacing w:after="0"/>
              <w:rPr>
                <w:sz w:val="20"/>
                <w:szCs w:val="20"/>
                <w:color w:val="auto"/>
              </w:rPr>
            </w:pPr>
            <w:r>
              <w:rPr>
                <w:rFonts w:ascii="Arial" w:cs="Arial" w:eastAsia="Arial" w:hAnsi="Arial"/>
                <w:sz w:val="14"/>
                <w:szCs w:val="14"/>
                <w:color w:val="auto"/>
              </w:rPr>
              <w:t>10.13</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Fortinet, Inc. Bonus Plan</w:t>
            </w:r>
          </w:p>
        </w:tc>
        <w:tc>
          <w:tcPr>
            <w:tcW w:w="0" w:type="dxa"/>
            <w:vAlign w:val="bottom"/>
          </w:tcPr>
          <w:p>
            <w:pPr>
              <w:spacing w:after="0"/>
              <w:rPr>
                <w:sz w:val="1"/>
                <w:szCs w:val="1"/>
                <w:color w:val="auto"/>
              </w:rPr>
            </w:pPr>
          </w:p>
        </w:tc>
      </w:tr>
      <w:tr>
        <w:trPr>
          <w:trHeight w:val="324"/>
        </w:trPr>
        <w:tc>
          <w:tcPr>
            <w:tcW w:w="1000" w:type="dxa"/>
            <w:vAlign w:val="bottom"/>
          </w:tcPr>
          <w:p>
            <w:pPr>
              <w:ind w:left="40"/>
              <w:spacing w:after="0"/>
              <w:rPr>
                <w:sz w:val="20"/>
                <w:szCs w:val="20"/>
                <w:color w:val="auto"/>
              </w:rPr>
            </w:pPr>
            <w:r>
              <w:rPr>
                <w:rFonts w:ascii="Arial" w:cs="Arial" w:eastAsia="Arial" w:hAnsi="Arial"/>
                <w:sz w:val="14"/>
                <w:szCs w:val="14"/>
                <w:color w:val="auto"/>
              </w:rPr>
              <w:t>10.14</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Fortinet, Inc. 2011 Employee Stock Purchase Plan</w:t>
            </w:r>
          </w:p>
        </w:tc>
        <w:tc>
          <w:tcPr>
            <w:tcW w:w="0" w:type="dxa"/>
            <w:vAlign w:val="bottom"/>
          </w:tcPr>
          <w:p>
            <w:pPr>
              <w:spacing w:after="0"/>
              <w:rPr>
                <w:sz w:val="1"/>
                <w:szCs w:val="1"/>
                <w:color w:val="auto"/>
              </w:rPr>
            </w:pPr>
          </w:p>
        </w:tc>
      </w:tr>
      <w:tr>
        <w:trPr>
          <w:trHeight w:val="392"/>
        </w:trPr>
        <w:tc>
          <w:tcPr>
            <w:tcW w:w="1000" w:type="dxa"/>
            <w:vAlign w:val="bottom"/>
          </w:tcPr>
          <w:p>
            <w:pPr>
              <w:ind w:left="40"/>
              <w:spacing w:after="0"/>
              <w:rPr>
                <w:sz w:val="20"/>
                <w:szCs w:val="20"/>
                <w:color w:val="auto"/>
              </w:rPr>
            </w:pPr>
            <w:r>
              <w:rPr>
                <w:rFonts w:ascii="Arial" w:cs="Arial" w:eastAsia="Arial" w:hAnsi="Arial"/>
                <w:sz w:val="14"/>
                <w:szCs w:val="14"/>
                <w:color w:val="auto"/>
              </w:rPr>
              <w:t>21.1</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List of subsidiaries</w:t>
            </w:r>
          </w:p>
        </w:tc>
        <w:tc>
          <w:tcPr>
            <w:tcW w:w="0" w:type="dxa"/>
            <w:vAlign w:val="bottom"/>
          </w:tcPr>
          <w:p>
            <w:pPr>
              <w:spacing w:after="0"/>
              <w:rPr>
                <w:sz w:val="1"/>
                <w:szCs w:val="1"/>
                <w:color w:val="auto"/>
              </w:rPr>
            </w:pPr>
          </w:p>
        </w:tc>
      </w:tr>
      <w:tr>
        <w:trPr>
          <w:trHeight w:val="324"/>
        </w:trPr>
        <w:tc>
          <w:tcPr>
            <w:tcW w:w="1000" w:type="dxa"/>
            <w:vAlign w:val="bottom"/>
          </w:tcPr>
          <w:p>
            <w:pPr>
              <w:ind w:left="40"/>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Consent of Independent Registered Public Accounting Firm</w:t>
            </w:r>
          </w:p>
        </w:tc>
        <w:tc>
          <w:tcPr>
            <w:tcW w:w="0" w:type="dxa"/>
            <w:vAlign w:val="bottom"/>
          </w:tcPr>
          <w:p>
            <w:pPr>
              <w:spacing w:after="0"/>
              <w:rPr>
                <w:sz w:val="1"/>
                <w:szCs w:val="1"/>
                <w:color w:val="auto"/>
              </w:rPr>
            </w:pPr>
          </w:p>
        </w:tc>
      </w:tr>
      <w:tr>
        <w:trPr>
          <w:trHeight w:val="358"/>
        </w:trPr>
        <w:tc>
          <w:tcPr>
            <w:tcW w:w="1000" w:type="dxa"/>
            <w:vAlign w:val="bottom"/>
          </w:tcPr>
          <w:p>
            <w:pPr>
              <w:ind w:left="40"/>
              <w:spacing w:after="0"/>
              <w:rPr>
                <w:sz w:val="20"/>
                <w:szCs w:val="20"/>
                <w:color w:val="auto"/>
              </w:rPr>
            </w:pPr>
            <w:r>
              <w:rPr>
                <w:rFonts w:ascii="Arial" w:cs="Arial" w:eastAsia="Arial" w:hAnsi="Arial"/>
                <w:sz w:val="14"/>
                <w:szCs w:val="14"/>
                <w:color w:val="auto"/>
              </w:rPr>
              <w:t>24.1*</w:t>
            </w:r>
          </w:p>
        </w:tc>
        <w:tc>
          <w:tcPr>
            <w:tcW w:w="14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w w:val="95"/>
              </w:rPr>
              <w:t>Power of Attorney (incorporated by reference to the signature page of</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this Annual Report on Form 10-K)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Incorporated by reference herein</w:t>
            </w:r>
          </w:p>
        </w:tc>
        <w:tc>
          <w:tcPr>
            <w:tcW w:w="1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258"/>
        </w:trPr>
        <w:tc>
          <w:tcPr>
            <w:tcW w:w="4300" w:type="dxa"/>
            <w:vAlign w:val="bottom"/>
            <w:gridSpan w:val="2"/>
          </w:tcPr>
          <w:p>
            <w:pPr>
              <w:ind w:left="1920"/>
              <w:spacing w:after="0"/>
              <w:rPr>
                <w:sz w:val="20"/>
                <w:szCs w:val="20"/>
                <w:color w:val="auto"/>
              </w:rPr>
            </w:pPr>
            <w:r>
              <w:rPr>
                <w:rFonts w:ascii="Arial" w:cs="Arial" w:eastAsia="Arial" w:hAnsi="Arial"/>
                <w:sz w:val="14"/>
                <w:szCs w:val="14"/>
                <w:b w:val="1"/>
                <w:bCs w:val="1"/>
                <w:color w:val="auto"/>
              </w:rPr>
              <w:t>Form</w:t>
            </w:r>
          </w:p>
        </w:tc>
        <w:tc>
          <w:tcPr>
            <w:tcW w:w="1580" w:type="dxa"/>
            <w:vAlign w:val="bottom"/>
          </w:tcPr>
          <w:p>
            <w:pPr>
              <w:ind w:left="640"/>
              <w:spacing w:after="0"/>
              <w:rPr>
                <w:sz w:val="20"/>
                <w:szCs w:val="20"/>
                <w:color w:val="auto"/>
              </w:rPr>
            </w:pPr>
            <w:r>
              <w:rPr>
                <w:rFonts w:ascii="Arial" w:cs="Arial" w:eastAsia="Arial" w:hAnsi="Arial"/>
                <w:sz w:val="14"/>
                <w:szCs w:val="14"/>
                <w:b w:val="1"/>
                <w:bCs w:val="1"/>
                <w:color w:val="auto"/>
              </w:rPr>
              <w:t>Date</w:t>
            </w: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4"/>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Current Report on Form 8-K</w:t>
            </w:r>
          </w:p>
        </w:tc>
        <w:tc>
          <w:tcPr>
            <w:tcW w:w="1580" w:type="dxa"/>
            <w:vAlign w:val="bottom"/>
          </w:tcPr>
          <w:p>
            <w:pPr>
              <w:ind w:left="20"/>
              <w:spacing w:after="0"/>
              <w:rPr>
                <w:sz w:val="20"/>
                <w:szCs w:val="20"/>
                <w:color w:val="auto"/>
              </w:rPr>
            </w:pPr>
            <w:r>
              <w:rPr>
                <w:rFonts w:ascii="Arial" w:cs="Arial" w:eastAsia="Arial" w:hAnsi="Arial"/>
                <w:sz w:val="14"/>
                <w:szCs w:val="14"/>
                <w:color w:val="auto"/>
              </w:rPr>
              <w:t>January 25, 2012</w:t>
            </w: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November 2,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439"/>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682"/>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90"/>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Registration Statement on Form S-l, as amended (File No. 333-</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r>
        <w:trPr>
          <w:trHeight w:val="182"/>
        </w:trPr>
        <w:tc>
          <w:tcPr>
            <w:tcW w:w="4160" w:type="dxa"/>
            <w:vAlign w:val="bottom"/>
          </w:tcPr>
          <w:p>
            <w:pPr>
              <w:ind w:left="40"/>
              <w:spacing w:after="0"/>
              <w:rPr>
                <w:sz w:val="20"/>
                <w:szCs w:val="20"/>
                <w:color w:val="auto"/>
              </w:rPr>
            </w:pPr>
            <w:r>
              <w:rPr>
                <w:rFonts w:ascii="Arial" w:cs="Arial" w:eastAsia="Arial" w:hAnsi="Arial"/>
                <w:sz w:val="14"/>
                <w:szCs w:val="14"/>
                <w:color w:val="auto"/>
              </w:rPr>
              <w:t>161190)</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24"/>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Current Report on Form 8-K</w:t>
            </w:r>
          </w:p>
        </w:tc>
        <w:tc>
          <w:tcPr>
            <w:tcW w:w="1580" w:type="dxa"/>
            <w:vAlign w:val="bottom"/>
          </w:tcPr>
          <w:p>
            <w:pPr>
              <w:ind w:left="20"/>
              <w:spacing w:after="0"/>
              <w:rPr>
                <w:sz w:val="20"/>
                <w:szCs w:val="20"/>
                <w:color w:val="auto"/>
              </w:rPr>
            </w:pPr>
            <w:r>
              <w:rPr>
                <w:rFonts w:ascii="Arial" w:cs="Arial" w:eastAsia="Arial" w:hAnsi="Arial"/>
                <w:sz w:val="14"/>
                <w:szCs w:val="14"/>
                <w:color w:val="auto"/>
              </w:rPr>
              <w:t>January 26, 2010</w:t>
            </w:r>
          </w:p>
        </w:tc>
      </w:tr>
      <w:tr>
        <w:trPr>
          <w:trHeight w:val="324"/>
        </w:trPr>
        <w:tc>
          <w:tcPr>
            <w:tcW w:w="4300" w:type="dxa"/>
            <w:vAlign w:val="bottom"/>
            <w:gridSpan w:val="2"/>
          </w:tcPr>
          <w:p>
            <w:pPr>
              <w:ind w:left="40"/>
              <w:spacing w:after="0"/>
              <w:rPr>
                <w:sz w:val="20"/>
                <w:szCs w:val="20"/>
                <w:color w:val="auto"/>
              </w:rPr>
            </w:pPr>
            <w:r>
              <w:rPr>
                <w:rFonts w:ascii="Arial" w:cs="Arial" w:eastAsia="Arial" w:hAnsi="Arial"/>
                <w:sz w:val="14"/>
                <w:szCs w:val="14"/>
                <w:color w:val="auto"/>
              </w:rPr>
              <w:t>Current Report on Form 8-K</w:t>
            </w:r>
          </w:p>
        </w:tc>
        <w:tc>
          <w:tcPr>
            <w:tcW w:w="1580" w:type="dxa"/>
            <w:vAlign w:val="bottom"/>
          </w:tcPr>
          <w:p>
            <w:pPr>
              <w:ind w:left="20"/>
              <w:spacing w:after="0"/>
              <w:rPr>
                <w:sz w:val="20"/>
                <w:szCs w:val="20"/>
                <w:color w:val="auto"/>
              </w:rPr>
            </w:pPr>
            <w:r>
              <w:rPr>
                <w:rFonts w:ascii="Arial" w:cs="Arial" w:eastAsia="Arial" w:hAnsi="Arial"/>
                <w:sz w:val="14"/>
                <w:szCs w:val="14"/>
                <w:color w:val="auto"/>
              </w:rPr>
              <w:t>June 23, 2011</w:t>
            </w:r>
          </w:p>
        </w:tc>
      </w:tr>
      <w:tr>
        <w:trPr>
          <w:trHeight w:val="392"/>
        </w:trPr>
        <w:tc>
          <w:tcPr>
            <w:tcW w:w="4300" w:type="dxa"/>
            <w:vAlign w:val="bottom"/>
            <w:gridSpan w:val="2"/>
          </w:tcPr>
          <w:p>
            <w:pPr>
              <w:ind w:left="40"/>
              <w:spacing w:after="0"/>
              <w:rPr>
                <w:sz w:val="20"/>
                <w:szCs w:val="20"/>
                <w:color w:val="auto"/>
              </w:rPr>
            </w:pPr>
            <w:r>
              <w:rPr>
                <w:rFonts w:ascii="Arial" w:cs="Arial" w:eastAsia="Arial" w:hAnsi="Arial"/>
                <w:sz w:val="14"/>
                <w:szCs w:val="14"/>
                <w:color w:val="auto"/>
                <w:w w:val="97"/>
              </w:rPr>
              <w:t>Registration Statement on Form S-l, as amended (File No. 001-34511)</w:t>
            </w:r>
          </w:p>
        </w:tc>
        <w:tc>
          <w:tcPr>
            <w:tcW w:w="1580" w:type="dxa"/>
            <w:vAlign w:val="bottom"/>
          </w:tcPr>
          <w:p>
            <w:pPr>
              <w:ind w:left="20"/>
              <w:spacing w:after="0"/>
              <w:rPr>
                <w:sz w:val="20"/>
                <w:szCs w:val="20"/>
                <w:color w:val="auto"/>
              </w:rPr>
            </w:pPr>
            <w:r>
              <w:rPr>
                <w:rFonts w:ascii="Arial" w:cs="Arial" w:eastAsia="Arial" w:hAnsi="Arial"/>
                <w:sz w:val="14"/>
                <w:szCs w:val="14"/>
                <w:color w:val="auto"/>
              </w:rPr>
              <w:t>August 10, 2009</w:t>
            </w:r>
          </w:p>
        </w:tc>
      </w:tr>
    </w:tbl>
    <w:p>
      <w:pPr>
        <w:spacing w:after="0" w:line="1019" w:lineRule="exact"/>
        <w:rPr>
          <w:sz w:val="20"/>
          <w:szCs w:val="20"/>
          <w:color w:val="auto"/>
        </w:rPr>
      </w:pPr>
    </w:p>
    <w:p>
      <w:pPr>
        <w:sectPr>
          <w:pgSz w:w="11900" w:h="16838" w:orient="portrait"/>
          <w:cols w:equalWidth="0" w:num="2">
            <w:col w:w="5280" w:space="140"/>
            <w:col w:w="5880"/>
          </w:cols>
          <w:pgMar w:left="24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182"/>
        </w:trPr>
        <w:tc>
          <w:tcPr>
            <w:tcW w:w="720" w:type="dxa"/>
            <w:vAlign w:val="bottom"/>
          </w:tcPr>
          <w:p>
            <w:pPr>
              <w:jc w:val="right"/>
              <w:ind w:right="328"/>
              <w:spacing w:after="0"/>
              <w:rPr>
                <w:sz w:val="20"/>
                <w:szCs w:val="20"/>
                <w:color w:val="auto"/>
              </w:rPr>
            </w:pPr>
            <w:r>
              <w:rPr>
                <w:rFonts w:ascii="Arial" w:cs="Arial" w:eastAsia="Arial" w:hAnsi="Arial"/>
                <w:sz w:val="14"/>
                <w:szCs w:val="14"/>
                <w:color w:val="auto"/>
                <w:w w:val="91"/>
              </w:rPr>
              <w:t>31.1*</w:t>
            </w:r>
          </w:p>
        </w:tc>
        <w:tc>
          <w:tcPr>
            <w:tcW w:w="10260" w:type="dxa"/>
            <w:vAlign w:val="bottom"/>
          </w:tcPr>
          <w:p>
            <w:pPr>
              <w:ind w:left="400"/>
              <w:spacing w:after="0"/>
              <w:rPr>
                <w:sz w:val="20"/>
                <w:szCs w:val="20"/>
                <w:color w:val="auto"/>
              </w:rPr>
            </w:pPr>
            <w:r>
              <w:rPr>
                <w:rFonts w:ascii="Arial" w:cs="Arial" w:eastAsia="Arial" w:hAnsi="Arial"/>
                <w:sz w:val="14"/>
                <w:szCs w:val="14"/>
                <w:color w:val="auto"/>
                <w:w w:val="94"/>
              </w:rPr>
              <w:t>Certification of Chief Executive Officer pursuant to Exchange Act Rules 13a-14(a) and 15d-14(a), as adopted pursuant to Section 302 of the Sarbanes-Oxley Act of 2002</w:t>
            </w:r>
          </w:p>
        </w:tc>
      </w:tr>
      <w:tr>
        <w:trPr>
          <w:trHeight w:val="392"/>
        </w:trPr>
        <w:tc>
          <w:tcPr>
            <w:tcW w:w="720" w:type="dxa"/>
            <w:vAlign w:val="bottom"/>
          </w:tcPr>
          <w:p>
            <w:pPr>
              <w:jc w:val="right"/>
              <w:ind w:right="328"/>
              <w:spacing w:after="0"/>
              <w:rPr>
                <w:sz w:val="20"/>
                <w:szCs w:val="20"/>
                <w:color w:val="auto"/>
              </w:rPr>
            </w:pPr>
            <w:r>
              <w:rPr>
                <w:rFonts w:ascii="Arial" w:cs="Arial" w:eastAsia="Arial" w:hAnsi="Arial"/>
                <w:sz w:val="14"/>
                <w:szCs w:val="14"/>
                <w:color w:val="auto"/>
                <w:w w:val="91"/>
              </w:rPr>
              <w:t>31.2*</w:t>
            </w:r>
          </w:p>
        </w:tc>
        <w:tc>
          <w:tcPr>
            <w:tcW w:w="10260" w:type="dxa"/>
            <w:vAlign w:val="bottom"/>
          </w:tcPr>
          <w:p>
            <w:pPr>
              <w:ind w:left="400"/>
              <w:spacing w:after="0"/>
              <w:rPr>
                <w:sz w:val="20"/>
                <w:szCs w:val="20"/>
                <w:color w:val="auto"/>
              </w:rPr>
            </w:pPr>
            <w:r>
              <w:rPr>
                <w:rFonts w:ascii="Arial" w:cs="Arial" w:eastAsia="Arial" w:hAnsi="Arial"/>
                <w:sz w:val="14"/>
                <w:szCs w:val="14"/>
                <w:color w:val="auto"/>
                <w:w w:val="94"/>
              </w:rPr>
              <w:t>Certification of Chief Financial Officer pursuant to Exchange Act Rules 13a-14(a) and 15d-14(a), as adopted pursuant to Section 302 of the Sarbanes-Oxley Act of 2002</w:t>
            </w:r>
          </w:p>
        </w:tc>
      </w:tr>
      <w:tr>
        <w:trPr>
          <w:trHeight w:val="358"/>
        </w:trPr>
        <w:tc>
          <w:tcPr>
            <w:tcW w:w="720" w:type="dxa"/>
            <w:vAlign w:val="bottom"/>
          </w:tcPr>
          <w:p>
            <w:pPr>
              <w:jc w:val="right"/>
              <w:ind w:right="328"/>
              <w:spacing w:after="0"/>
              <w:rPr>
                <w:sz w:val="20"/>
                <w:szCs w:val="20"/>
                <w:color w:val="auto"/>
              </w:rPr>
            </w:pPr>
            <w:r>
              <w:rPr>
                <w:rFonts w:ascii="Arial" w:cs="Arial" w:eastAsia="Arial" w:hAnsi="Arial"/>
                <w:sz w:val="14"/>
                <w:szCs w:val="14"/>
                <w:color w:val="auto"/>
                <w:w w:val="91"/>
              </w:rPr>
              <w:t>32.1*</w:t>
            </w:r>
          </w:p>
        </w:tc>
        <w:tc>
          <w:tcPr>
            <w:tcW w:w="10260" w:type="dxa"/>
            <w:vAlign w:val="bottom"/>
          </w:tcPr>
          <w:p>
            <w:pPr>
              <w:ind w:left="40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w:t>
            </w:r>
          </w:p>
        </w:tc>
      </w:tr>
      <w:tr>
        <w:trPr>
          <w:trHeight w:val="182"/>
        </w:trPr>
        <w:tc>
          <w:tcPr>
            <w:tcW w:w="720" w:type="dxa"/>
            <w:vAlign w:val="bottom"/>
          </w:tcPr>
          <w:p>
            <w:pPr>
              <w:spacing w:after="0"/>
              <w:rPr>
                <w:sz w:val="15"/>
                <w:szCs w:val="15"/>
                <w:color w:val="auto"/>
              </w:rPr>
            </w:pPr>
          </w:p>
        </w:tc>
        <w:tc>
          <w:tcPr>
            <w:tcW w:w="10260" w:type="dxa"/>
            <w:vAlign w:val="bottom"/>
          </w:tcPr>
          <w:p>
            <w:pPr>
              <w:ind w:left="400"/>
              <w:spacing w:after="0"/>
              <w:rPr>
                <w:sz w:val="20"/>
                <w:szCs w:val="20"/>
                <w:color w:val="auto"/>
              </w:rPr>
            </w:pPr>
            <w:r>
              <w:rPr>
                <w:rFonts w:ascii="Arial" w:cs="Arial" w:eastAsia="Arial" w:hAnsi="Arial"/>
                <w:sz w:val="14"/>
                <w:szCs w:val="14"/>
                <w:color w:val="auto"/>
              </w:rPr>
              <w:t>2002</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00"/>
          </w:cols>
          <w:pgMar w:left="240" w:top="121" w:right="35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70" w:lineRule="exact"/>
        <w:rPr>
          <w:sz w:val="20"/>
          <w:szCs w:val="20"/>
          <w:color w:val="auto"/>
        </w:rPr>
      </w:pPr>
    </w:p>
    <w:p>
      <w:pPr>
        <w:ind w:right="6219" w:firstLine="8"/>
        <w:spacing w:after="0" w:line="221" w:lineRule="auto"/>
        <w:tabs>
          <w:tab w:leader="none" w:pos="94" w:val="left"/>
        </w:tabs>
        <w:numPr>
          <w:ilvl w:val="0"/>
          <w:numId w:val="39"/>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219"/>
          </w:cols>
          <w:pgMar w:left="240" w:top="122"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4907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88595"/>
                    </a:xfrm>
                    <a:prstGeom prst="rect">
                      <a:avLst/>
                    </a:prstGeom>
                    <a:noFill/>
                  </pic:spPr>
                </pic:pic>
              </a:graphicData>
            </a:graphic>
          </wp:anchor>
        </w:drawing>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Unless otherwise defined herein, the terms defined in the Fortinet, Inc. 2009 Equity Incentive Plan (the “Plan”) will have the same defined meanings in this Stock Option Award Agreement (the “Award Agreement”).</w:t>
      </w:r>
    </w:p>
    <w:p>
      <w:pPr>
        <w:spacing w:after="0" w:line="16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STOCK OPTION GRANT</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Participant Name: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Address: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have been granted an Option to purchase Common Stock of Fortinet, Inc. (the “Company”), subject to the terms and conditions of the Plan and this Award Agreement, as follows:</w:t>
      </w:r>
    </w:p>
    <w:p>
      <w:pPr>
        <w:spacing w:after="0" w:line="22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Grant Number:</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Date of Grant:</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Vesting Commencement Date: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Exercise Price per share: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Number of Shares Granted:</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Exercise Price:</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Type of Option:</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Term/Expiration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Subject to any acceleration provisions contained in the Plan or set forth below, this Option may be exercised, in whole or in part, in accordance with the following schedule:</w:t>
      </w:r>
    </w:p>
    <w:p>
      <w:pPr>
        <w:spacing w:after="0" w:line="220" w:lineRule="exact"/>
        <w:rPr>
          <w:sz w:val="20"/>
          <w:szCs w:val="20"/>
          <w:color w:val="auto"/>
        </w:rPr>
      </w:pPr>
    </w:p>
    <w:p>
      <w:pPr>
        <w:ind w:left="740"/>
        <w:spacing w:after="0"/>
        <w:tabs>
          <w:tab w:leader="none" w:pos="3900" w:val="left"/>
          <w:tab w:leader="none" w:pos="6520" w:val="left"/>
          <w:tab w:leader="none" w:pos="9420" w:val="left"/>
        </w:tabs>
        <w:rPr>
          <w:sz w:val="20"/>
          <w:szCs w:val="20"/>
          <w:color w:val="auto"/>
        </w:rPr>
      </w:pPr>
      <w:r>
        <w:rPr>
          <w:rFonts w:ascii="Arial" w:cs="Arial" w:eastAsia="Arial" w:hAnsi="Arial"/>
          <w:sz w:val="18"/>
          <w:szCs w:val="18"/>
          <w:b w:val="1"/>
          <w:bCs w:val="1"/>
          <w:u w:val="single" w:color="auto"/>
          <w:color w:val="auto"/>
        </w:rPr>
        <w:t>Shares Vesting</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8"/>
          <w:szCs w:val="18"/>
          <w:b w:val="1"/>
          <w:bCs w:val="1"/>
          <w:u w:val="single" w:color="auto"/>
          <w:color w:val="auto"/>
        </w:rPr>
        <w:t>Vest Type</w:t>
      </w:r>
      <w:r>
        <w:rPr>
          <w:sz w:val="20"/>
          <w:szCs w:val="20"/>
          <w:color w:val="auto"/>
        </w:rPr>
        <w:tab/>
      </w:r>
      <w:r>
        <w:rPr>
          <w:rFonts w:ascii="Arial" w:cs="Arial" w:eastAsia="Arial" w:hAnsi="Arial"/>
          <w:sz w:val="18"/>
          <w:szCs w:val="18"/>
          <w:b w:val="1"/>
          <w:bCs w:val="1"/>
          <w:u w:val="single" w:color="auto"/>
          <w:color w:val="auto"/>
        </w:rPr>
        <w:t>Begin Vest Date</w:t>
      </w:r>
      <w:r>
        <w:rPr>
          <w:sz w:val="20"/>
          <w:szCs w:val="20"/>
          <w:color w:val="auto"/>
        </w:rPr>
        <w:tab/>
      </w:r>
      <w:r>
        <w:rPr>
          <w:rFonts w:ascii="Arial" w:cs="Arial" w:eastAsia="Arial" w:hAnsi="Arial"/>
          <w:sz w:val="16"/>
          <w:szCs w:val="16"/>
          <w:b w:val="1"/>
          <w:bCs w:val="1"/>
          <w:u w:val="single" w:color="auto"/>
          <w:color w:val="auto"/>
        </w:rPr>
        <w:t>End 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300" w:type="dxa"/>
            <w:vAlign w:val="bottom"/>
          </w:tcPr>
          <w:p>
            <w:pPr>
              <w:jc w:val="right"/>
              <w:ind w:right="2450"/>
              <w:spacing w:after="0"/>
              <w:rPr>
                <w:sz w:val="20"/>
                <w:szCs w:val="20"/>
                <w:color w:val="auto"/>
              </w:rPr>
            </w:pPr>
            <w:r>
              <w:rPr>
                <w:rFonts w:ascii="Arial" w:cs="Arial" w:eastAsia="Arial" w:hAnsi="Arial"/>
                <w:sz w:val="18"/>
                <w:szCs w:val="18"/>
                <w:b w:val="1"/>
                <w:bCs w:val="1"/>
                <w:color w:val="FFFFFF"/>
                <w:w w:val="90"/>
              </w:rPr>
              <w:t>!Undefined Bookmark,</w:t>
            </w:r>
          </w:p>
        </w:tc>
        <w:tc>
          <w:tcPr>
            <w:tcW w:w="3160" w:type="dxa"/>
            <w:vAlign w:val="bottom"/>
          </w:tcPr>
          <w:p>
            <w:pPr>
              <w:spacing w:after="0"/>
              <w:rPr>
                <w:sz w:val="18"/>
                <w:szCs w:val="18"/>
                <w:color w:val="auto"/>
              </w:rPr>
            </w:pPr>
          </w:p>
        </w:tc>
      </w:tr>
      <w:tr>
        <w:trPr>
          <w:trHeight w:val="234"/>
        </w:trPr>
        <w:tc>
          <w:tcPr>
            <w:tcW w:w="4300" w:type="dxa"/>
            <w:vAlign w:val="bottom"/>
          </w:tcPr>
          <w:p>
            <w:pPr>
              <w:jc w:val="right"/>
              <w:ind w:right="2450"/>
              <w:spacing w:after="0"/>
              <w:rPr>
                <w:sz w:val="20"/>
                <w:szCs w:val="20"/>
                <w:color w:val="auto"/>
              </w:rPr>
            </w:pPr>
            <w:r>
              <w:rPr>
                <w:rFonts w:ascii="Arial" w:cs="Arial" w:eastAsia="Arial" w:hAnsi="Arial"/>
                <w:sz w:val="18"/>
                <w:szCs w:val="18"/>
                <w:b w:val="1"/>
                <w:bCs w:val="1"/>
                <w:color w:val="FFFFFF"/>
              </w:rPr>
              <w:t>SHARES_PE</w:t>
            </w:r>
          </w:p>
        </w:tc>
        <w:tc>
          <w:tcPr>
            <w:tcW w:w="3160" w:type="dxa"/>
            <w:vAlign w:val="bottom"/>
          </w:tcPr>
          <w:p>
            <w:pPr>
              <w:jc w:val="right"/>
              <w:spacing w:after="0"/>
              <w:rPr>
                <w:sz w:val="20"/>
                <w:szCs w:val="20"/>
                <w:color w:val="auto"/>
              </w:rPr>
            </w:pPr>
            <w:r>
              <w:rPr>
                <w:rFonts w:ascii="Arial" w:cs="Arial" w:eastAsia="Arial" w:hAnsi="Arial"/>
                <w:sz w:val="18"/>
                <w:szCs w:val="18"/>
                <w:color w:val="FFFFFF"/>
              </w:rPr>
              <w:t>7/6/2014</w:t>
            </w:r>
          </w:p>
        </w:tc>
      </w:tr>
    </w:tbl>
    <w:p>
      <w:pPr>
        <w:spacing w:after="0" w:line="36" w:lineRule="exact"/>
        <w:rPr>
          <w:sz w:val="20"/>
          <w:szCs w:val="20"/>
          <w:color w:val="auto"/>
        </w:rPr>
      </w:pPr>
    </w:p>
    <w:p>
      <w:pPr>
        <w:jc w:val="right"/>
        <w:ind w:right="8580"/>
        <w:spacing w:after="0"/>
        <w:rPr>
          <w:sz w:val="20"/>
          <w:szCs w:val="20"/>
          <w:color w:val="auto"/>
        </w:rPr>
      </w:pPr>
      <w:r>
        <w:rPr>
          <w:rFonts w:ascii="Arial" w:cs="Arial" w:eastAsia="Arial" w:hAnsi="Arial"/>
          <w:sz w:val="18"/>
          <w:szCs w:val="18"/>
          <w:b w:val="1"/>
          <w:bCs w:val="1"/>
          <w:color w:val="FFFFFF"/>
        </w:rPr>
        <w:t>!Undefined Bookmark,</w:t>
      </w:r>
    </w:p>
    <w:p>
      <w:pPr>
        <w:spacing w:after="0" w:line="27" w:lineRule="exact"/>
        <w:rPr>
          <w:sz w:val="20"/>
          <w:szCs w:val="20"/>
          <w:color w:val="auto"/>
        </w:rPr>
      </w:pPr>
    </w:p>
    <w:p>
      <w:pPr>
        <w:jc w:val="right"/>
        <w:ind w:right="8580"/>
        <w:spacing w:after="0"/>
        <w:rPr>
          <w:sz w:val="20"/>
          <w:szCs w:val="20"/>
          <w:color w:val="auto"/>
        </w:rPr>
      </w:pPr>
      <w:r>
        <w:rPr>
          <w:rFonts w:ascii="Arial" w:cs="Arial" w:eastAsia="Arial" w:hAnsi="Arial"/>
          <w:sz w:val="18"/>
          <w:szCs w:val="18"/>
          <w:b w:val="1"/>
          <w:bCs w:val="1"/>
          <w:color w:val="FFFFFF"/>
        </w:rPr>
        <w:t>SHARES_PE</w:t>
      </w:r>
    </w:p>
    <w:p>
      <w:pPr>
        <w:spacing w:after="0" w:line="130" w:lineRule="exact"/>
        <w:rPr>
          <w:sz w:val="20"/>
          <w:szCs w:val="20"/>
          <w:color w:val="auto"/>
        </w:rPr>
      </w:pPr>
    </w:p>
    <w:p>
      <w:pPr>
        <w:ind w:left="660" w:right="5960" w:hanging="4"/>
        <w:spacing w:after="0" w:line="501"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Total shares vesting from “Begin Vest Date” to “End Vest Date.” </w:t>
      </w: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jc w:val="both"/>
        <w:ind w:firstLine="648"/>
        <w:spacing w:after="0" w:line="259" w:lineRule="auto"/>
        <w:rPr>
          <w:sz w:val="20"/>
          <w:szCs w:val="20"/>
          <w:color w:val="auto"/>
        </w:rPr>
      </w:pPr>
      <w:r>
        <w:rPr>
          <w:rFonts w:ascii="Arial" w:cs="Arial" w:eastAsia="Arial" w:hAnsi="Arial"/>
          <w:sz w:val="18"/>
          <w:szCs w:val="18"/>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Service Provider. Notwithstanding the foregoing, in no event may this Option be exercised after the Term/Expiration Date as provided above and may be subject to earlier termination as provided in Section 14(c) of the Plan.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By Participant's signature and the signature of the Company's representative below, Participant and the Company agree that this Option is granted under and governed by the terms and conditions of the Plan and this Award Agreement, including the Terms and Conditions of Stock Option Grant attached hereto as Exhibit A and the Additional Terms and Conditions of Stock Option Grant attached hereto as Exhibit B, all of which are made a part of this document. Participant has reviewed the Plan and this Award Agreement in their entirety, has had an opportunity to obtain the advice of counsel prior to executing this Award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877" w:right="239" w:bottom="1440" w:gutter="0" w:footer="0" w:header="0"/>
        </w:sectPr>
      </w:pPr>
    </w:p>
    <w:bookmarkStart w:id="103" w:name="page104"/>
    <w:bookmarkEnd w:id="103"/>
    <w:p>
      <w:pPr>
        <w:jc w:val="both"/>
        <w:spacing w:after="0" w:line="264" w:lineRule="auto"/>
        <w:rPr>
          <w:sz w:val="20"/>
          <w:szCs w:val="20"/>
          <w:color w:val="auto"/>
        </w:rPr>
      </w:pPr>
      <w:r>
        <w:rPr>
          <w:rFonts w:ascii="Arial" w:cs="Arial" w:eastAsia="Arial" w:hAnsi="Arial"/>
          <w:sz w:val="18"/>
          <w:szCs w:val="18"/>
          <w:color w:val="auto"/>
        </w:rPr>
        <w:t>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12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OPTIONEE:</w:t>
      </w:r>
      <w:r>
        <w:rPr>
          <w:sz w:val="20"/>
          <w:szCs w:val="20"/>
          <w:color w:val="auto"/>
        </w:rPr>
        <w:tab/>
      </w:r>
      <w:r>
        <w:rPr>
          <w:rFonts w:ascii="Arial" w:cs="Arial" w:eastAsia="Arial" w:hAnsi="Arial"/>
          <w:sz w:val="18"/>
          <w:szCs w:val="18"/>
          <w:color w:val="auto"/>
        </w:rPr>
        <w:t>FORTINET,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80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256" w:lineRule="exact"/>
        <w:rPr>
          <w:sz w:val="20"/>
          <w:szCs w:val="20"/>
          <w:color w:val="auto"/>
        </w:rPr>
      </w:pPr>
    </w:p>
    <w:p>
      <w:pPr>
        <w:jc w:val="both"/>
        <w:ind w:firstLine="656"/>
        <w:spacing w:after="0" w:line="304"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Grant of Option</w:t>
      </w:r>
      <w:r>
        <w:rPr>
          <w:rFonts w:ascii="Arial" w:cs="Arial" w:eastAsia="Arial" w:hAnsi="Arial"/>
          <w:sz w:val="18"/>
          <w:szCs w:val="18"/>
          <w:color w:val="auto"/>
        </w:rPr>
        <w:t>. The Company hereby grants to the individual named in the Notice of Grant attached as Part I of this Award Agreement (the “Participant”)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Subject to Section 19 of the Plan, in the event of a conflict between the terms and conditions of the Plan and the terms and conditions of this Award Agreement, the terms and conditions of the Plan will prevail.</w:t>
      </w:r>
    </w:p>
    <w:p>
      <w:pPr>
        <w:spacing w:after="0" w:line="5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designated in the Notice of Grant as a U.S. Incentive Stock Option (“ISO”), this Option is intended to qualify as an ISO under Section 422 of the U.S. Internal Revenue Code of 1986, as amended (the “Code”). However, if this Option is intended to be an ISO, to the extent that it exceeds the US$100,000 rule of Code Section 422(d) it will be treated as a U.S. Nonstatutory Stock Option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 Participants employed outside the U.S. will be granted NSOs.</w:t>
      </w:r>
    </w:p>
    <w:p>
      <w:pPr>
        <w:spacing w:after="0" w:line="300" w:lineRule="exact"/>
        <w:rPr>
          <w:sz w:val="20"/>
          <w:szCs w:val="20"/>
          <w:color w:val="auto"/>
        </w:rPr>
      </w:pPr>
    </w:p>
    <w:p>
      <w:pPr>
        <w:jc w:val="both"/>
        <w:ind w:firstLine="656"/>
        <w:spacing w:after="0" w:line="306"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1" w:lineRule="exact"/>
        <w:rPr>
          <w:rFonts w:ascii="Arial" w:cs="Arial" w:eastAsia="Arial" w:hAnsi="Arial"/>
          <w:sz w:val="18"/>
          <w:szCs w:val="18"/>
          <w:color w:val="auto"/>
        </w:rPr>
      </w:pPr>
    </w:p>
    <w:p>
      <w:pPr>
        <w:ind w:left="1440" w:hanging="784"/>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130" w:lineRule="exact"/>
        <w:rPr>
          <w:rFonts w:ascii="Arial" w:cs="Arial" w:eastAsia="Arial" w:hAnsi="Arial"/>
          <w:sz w:val="18"/>
          <w:szCs w:val="18"/>
          <w:color w:val="auto"/>
        </w:rPr>
      </w:pPr>
    </w:p>
    <w:p>
      <w:pPr>
        <w:ind w:firstLine="1305"/>
        <w:spacing w:after="0" w:line="277" w:lineRule="auto"/>
        <w:tabs>
          <w:tab w:leader="none" w:pos="167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Award Agreement.</w:t>
      </w:r>
    </w:p>
    <w:p>
      <w:pPr>
        <w:spacing w:after="0" w:line="62" w:lineRule="exact"/>
        <w:rPr>
          <w:rFonts w:ascii="Arial" w:cs="Arial" w:eastAsia="Arial" w:hAnsi="Arial"/>
          <w:sz w:val="18"/>
          <w:szCs w:val="18"/>
          <w:color w:val="auto"/>
        </w:rPr>
      </w:pPr>
    </w:p>
    <w:p>
      <w:pPr>
        <w:jc w:val="both"/>
        <w:ind w:firstLine="1305"/>
        <w:spacing w:after="0" w:line="293" w:lineRule="auto"/>
        <w:tabs>
          <w:tab w:leader="none" w:pos="174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is exercisable by delivery of an exercise notice, in the form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299" w:lineRule="exact"/>
        <w:rPr>
          <w:rFonts w:ascii="Arial" w:cs="Arial" w:eastAsia="Arial" w:hAnsi="Arial"/>
          <w:sz w:val="16"/>
          <w:szCs w:val="16"/>
          <w:color w:val="auto"/>
        </w:rPr>
      </w:pPr>
    </w:p>
    <w:p>
      <w:pPr>
        <w:ind w:firstLine="656"/>
        <w:spacing w:after="0" w:line="324" w:lineRule="auto"/>
        <w:tabs>
          <w:tab w:leader="none" w:pos="14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xml:space="preserve">. Payment of the aggregate Exercise Price will be by any of the following, or a combination thereof, at the election of Participant, unless otherwise provided in the Additional Terms and Conditions of Stock Option Grant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35" w:lineRule="exact"/>
        <w:rPr>
          <w:rFonts w:ascii="Arial" w:cs="Arial" w:eastAsia="Arial" w:hAnsi="Arial"/>
          <w:sz w:val="18"/>
          <w:szCs w:val="18"/>
          <w:color w:val="auto"/>
        </w:rPr>
      </w:pPr>
    </w:p>
    <w:p>
      <w:pPr>
        <w:ind w:left="1680" w:hanging="375"/>
        <w:spacing w:after="0"/>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117" w:lineRule="exact"/>
        <w:rPr>
          <w:rFonts w:ascii="Arial" w:cs="Arial" w:eastAsia="Arial" w:hAnsi="Arial"/>
          <w:sz w:val="18"/>
          <w:szCs w:val="18"/>
          <w:color w:val="auto"/>
        </w:rPr>
      </w:pPr>
    </w:p>
    <w:p>
      <w:pPr>
        <w:ind w:left="1700" w:hanging="395"/>
        <w:spacing w:after="0"/>
        <w:tabs>
          <w:tab w:leader="none" w:pos="1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check;</w:t>
      </w:r>
    </w:p>
    <w:p>
      <w:pPr>
        <w:spacing w:after="0" w:line="117" w:lineRule="exact"/>
        <w:rPr>
          <w:rFonts w:ascii="Arial" w:cs="Arial" w:eastAsia="Arial" w:hAnsi="Arial"/>
          <w:sz w:val="18"/>
          <w:szCs w:val="18"/>
          <w:color w:val="auto"/>
        </w:rPr>
      </w:pPr>
    </w:p>
    <w:p>
      <w:pPr>
        <w:ind w:left="1740" w:hanging="435"/>
        <w:spacing w:after="0"/>
        <w:tabs>
          <w:tab w:leader="none" w:pos="17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or</w:t>
      </w:r>
    </w:p>
    <w:p>
      <w:pPr>
        <w:spacing w:after="0" w:line="102" w:lineRule="exact"/>
        <w:rPr>
          <w:rFonts w:ascii="Arial" w:cs="Arial" w:eastAsia="Arial" w:hAnsi="Arial"/>
          <w:sz w:val="16"/>
          <w:szCs w:val="16"/>
          <w:color w:val="auto"/>
        </w:rPr>
      </w:pPr>
    </w:p>
    <w:p>
      <w:pPr>
        <w:jc w:val="both"/>
        <w:ind w:firstLine="1305"/>
        <w:spacing w:after="0" w:line="264" w:lineRule="auto"/>
        <w:tabs>
          <w:tab w:leader="none" w:pos="17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Participants located in the U.S.,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316" w:lineRule="exact"/>
        <w:rPr>
          <w:rFonts w:ascii="Arial" w:cs="Arial" w:eastAsia="Arial" w:hAnsi="Arial"/>
          <w:sz w:val="18"/>
          <w:szCs w:val="18"/>
          <w:color w:val="auto"/>
        </w:rPr>
      </w:pPr>
    </w:p>
    <w:p>
      <w:pPr>
        <w:ind w:left="1440" w:hanging="784"/>
        <w:spacing w:after="0"/>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Tax Obligations.</w:t>
      </w:r>
    </w:p>
    <w:p>
      <w:pPr>
        <w:spacing w:after="0" w:line="130" w:lineRule="exact"/>
        <w:rPr>
          <w:rFonts w:ascii="Arial" w:cs="Arial" w:eastAsia="Arial" w:hAnsi="Arial"/>
          <w:sz w:val="18"/>
          <w:szCs w:val="18"/>
          <w:color w:val="auto"/>
        </w:rPr>
      </w:pPr>
    </w:p>
    <w:p>
      <w:pPr>
        <w:ind w:left="1680" w:hanging="375"/>
        <w:spacing w:after="0"/>
        <w:tabs>
          <w:tab w:leader="none" w:pos="16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Regardless of any action the Company and/or the Participant's employer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580" w:right="239" w:bottom="1440" w:gutter="0" w:footer="0" w:header="0"/>
        </w:sectPr>
      </w:pPr>
    </w:p>
    <w:bookmarkStart w:id="105" w:name="page106"/>
    <w:bookmarkEnd w:id="105"/>
    <w:p>
      <w:pPr>
        <w:jc w:val="both"/>
        <w:spacing w:after="0" w:line="217" w:lineRule="exact"/>
        <w:rPr>
          <w:sz w:val="20"/>
          <w:szCs w:val="20"/>
          <w:color w:val="auto"/>
        </w:rPr>
      </w:pPr>
      <w:r>
        <w:rPr>
          <w:rFonts w:ascii="Arial" w:cs="Arial" w:eastAsia="Arial" w:hAnsi="Arial"/>
          <w:sz w:val="16"/>
          <w:szCs w:val="16"/>
          <w:color w:val="auto"/>
        </w:rPr>
        <w:t>“Employer”) takes with respect to any or all income tax, social insurance, payroll tax, payment on account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arising out of Participant's participation in the Plan and legally applicable to Participant (“Tax-Related Items”), Participant acknowledges that the ultimate liability for all Tax-Related Items is and remains Participant's responsibility and may exceed the amount actually withheld by the Company and/or the Employer. Participant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(ii) do not commit and are under no obligation to structure the terms of the grant or any aspect of the Option to reduce or eliminate Participant's liability for Tax-Related Items or achieve any particular tax result. Furthermore, if Participant has become subject to tax in more than one jurisdiction between the Grant Date and the date of any relevant taxable event, Participant acknowledges that the Company and/or the Employer (or former employer, as applicable) may be required to withhold or account for Tax-Related Items in more than one jurisdiction.</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relevant taxable or tax withholding event, as applicable, Participant shall pay or make arrangements satisfactory to the Company and/or the Employer to satisfy all Tax-Related Items. In this regard, Participant authorizes the Company and/or the Employer, or their respective agents, at their discretion, to satisfy the Tax-Related Items by one or a combination of the following: (i) withholding from wages or other cash compensation paid to Participant by the Company, the Employer and/or any Subsidiary; or (ii) withholding from proceeds of the sale of Shares acquired at exercise of the Option either through a voluntary sale or through a mandatory sale arranged by the Company (on Participant's behalf pursuant to this authorization); or (iii) withholding in Shares to be issued at exercise of the Option.</w:t>
      </w:r>
    </w:p>
    <w:p>
      <w:pPr>
        <w:spacing w:after="0" w:line="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avoid any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Participant is deemed to have been issued the full number of Shares subject to the exercised Option, notwithstanding that a number of the shares are held back solely for the purpose of paying the Tax-Related Items due as a result of any aspect of Participant's participation in the Plan.</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Participant shall pay to the Company or the Employer any amount of Tax-Related Items that the Company or the Employer may be required to withhold or account for as a result of Particpant's participation in the Plan that cannot be satisfied by the means previously described in this section. The Company may refuse to issue or deliver the Shares or the proceeds of the sale of shares if Participant fails to comply with these obligations in connection with the Tax-Related Items.</w:t>
      </w:r>
    </w:p>
    <w:p>
      <w:pPr>
        <w:spacing w:after="0" w:line="79" w:lineRule="exact"/>
        <w:rPr>
          <w:sz w:val="20"/>
          <w:szCs w:val="20"/>
          <w:color w:val="auto"/>
        </w:rPr>
      </w:pPr>
    </w:p>
    <w:p>
      <w:pPr>
        <w:jc w:val="both"/>
        <w:ind w:firstLine="656"/>
        <w:spacing w:after="0" w:line="259" w:lineRule="auto"/>
        <w:tabs>
          <w:tab w:leader="none" w:pos="1079"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 of ISO Shares</w:t>
      </w:r>
      <w:r>
        <w:rPr>
          <w:rFonts w:ascii="Arial" w:cs="Arial" w:eastAsia="Arial" w:hAnsi="Arial"/>
          <w:sz w:val="18"/>
          <w:szCs w:val="18"/>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78" w:lineRule="exact"/>
        <w:rPr>
          <w:rFonts w:ascii="Arial" w:cs="Arial" w:eastAsia="Arial" w:hAnsi="Arial"/>
          <w:sz w:val="18"/>
          <w:szCs w:val="18"/>
          <w:color w:val="auto"/>
        </w:rPr>
      </w:pPr>
    </w:p>
    <w:p>
      <w:pPr>
        <w:jc w:val="both"/>
        <w:ind w:firstLine="656"/>
        <w:spacing w:after="0" w:line="286" w:lineRule="auto"/>
        <w:tabs>
          <w:tab w:leader="none" w:pos="1041"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Code Section 409A</w:t>
      </w:r>
      <w:r>
        <w:rPr>
          <w:rFonts w:ascii="Arial" w:cs="Arial" w:eastAsia="Arial" w:hAnsi="Arial"/>
          <w:sz w:val="16"/>
          <w:szCs w:val="16"/>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w:t>
      </w:r>
    </w:p>
    <w:p>
      <w:pPr>
        <w:spacing w:after="0" w:line="1" w:lineRule="exact"/>
        <w:rPr>
          <w:rFonts w:ascii="Arial" w:cs="Arial" w:eastAsia="Arial" w:hAnsi="Arial"/>
          <w:sz w:val="16"/>
          <w:szCs w:val="16"/>
          <w:color w:val="auto"/>
        </w:rPr>
      </w:pPr>
    </w:p>
    <w:p>
      <w:pPr>
        <w:jc w:val="both"/>
        <w:ind w:firstLine="8"/>
        <w:spacing w:after="0" w:line="253" w:lineRule="auto"/>
        <w:tabs>
          <w:tab w:leader="none" w:pos="3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326" w:lineRule="exact"/>
        <w:rPr>
          <w:sz w:val="20"/>
          <w:szCs w:val="20"/>
          <w:color w:val="auto"/>
        </w:rPr>
      </w:pPr>
    </w:p>
    <w:p>
      <w:pPr>
        <w:jc w:val="both"/>
        <w:ind w:firstLine="656"/>
        <w:spacing w:after="0" w:line="304" w:lineRule="auto"/>
        <w:tabs>
          <w:tab w:leader="none" w:pos="143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Participant acknowledges, understands and agrees to the following:</w:t>
      </w:r>
    </w:p>
    <w:p>
      <w:pPr>
        <w:spacing w:after="0" w:line="131" w:lineRule="exact"/>
        <w:rPr>
          <w:sz w:val="20"/>
          <w:szCs w:val="20"/>
          <w:color w:val="auto"/>
        </w:rPr>
      </w:pPr>
    </w:p>
    <w:p>
      <w:pPr>
        <w:jc w:val="both"/>
        <w:ind w:firstLine="656"/>
        <w:spacing w:after="0" w:line="264" w:lineRule="auto"/>
        <w:tabs>
          <w:tab w:leader="none" w:pos="10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Participant expressly warrants that Participant has received an Option under the Plan and has received, read, and understood a description of the Plan; the Plan is established voluntarily by the Company, it is discretionary in nature, and it may be amended, suspended or terminated by the Company at any time;</w:t>
      </w:r>
    </w:p>
    <w:p>
      <w:pPr>
        <w:spacing w:after="0" w:line="73" w:lineRule="exact"/>
        <w:rPr>
          <w:rFonts w:ascii="Arial" w:cs="Arial" w:eastAsia="Arial" w:hAnsi="Arial"/>
          <w:sz w:val="18"/>
          <w:szCs w:val="18"/>
          <w:color w:val="auto"/>
        </w:rPr>
      </w:pPr>
    </w:p>
    <w:p>
      <w:pPr>
        <w:ind w:left="1040" w:hanging="384"/>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to receive future grants of options, or benefits in lieu of options, even if options have been granted repeatedly in the past;</w:t>
      </w:r>
    </w:p>
    <w:p>
      <w:pPr>
        <w:spacing w:after="0" w:line="117" w:lineRule="exact"/>
        <w:rPr>
          <w:sz w:val="20"/>
          <w:szCs w:val="20"/>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the Company;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w:t>
      </w:r>
    </w:p>
    <w:p>
      <w:pPr>
        <w:spacing w:after="0" w:line="117" w:lineRule="exact"/>
        <w:rPr>
          <w:rFonts w:ascii="Arial" w:cs="Arial" w:eastAsia="Arial" w:hAnsi="Arial"/>
          <w:sz w:val="18"/>
          <w:szCs w:val="18"/>
          <w:color w:val="auto"/>
        </w:rPr>
      </w:pPr>
    </w:p>
    <w:p>
      <w:pPr>
        <w:ind w:firstLine="656"/>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Participant's participation in the Plan shall not create a right to further employment with the Employer and shall not interfere with the ability of the Employer to terminate Participant's employment or relationship as a Service Provider at any time;</w:t>
      </w:r>
    </w:p>
    <w:p>
      <w:pPr>
        <w:spacing w:after="0" w:line="62" w:lineRule="exact"/>
        <w:rPr>
          <w:rFonts w:ascii="Arial" w:cs="Arial" w:eastAsia="Arial" w:hAnsi="Arial"/>
          <w:sz w:val="18"/>
          <w:szCs w:val="18"/>
          <w:color w:val="auto"/>
        </w:rPr>
      </w:pPr>
    </w:p>
    <w:p>
      <w:pPr>
        <w:ind w:right="20" w:firstLine="656"/>
        <w:spacing w:after="0" w:line="308" w:lineRule="auto"/>
        <w:tabs>
          <w:tab w:leader="none" w:pos="101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Option and any Shares subject to the Option are extraordinary items that do not constitute compensation of any kind for services of any kind rendered to the Company or the Employer, and are outside the scope of Participant's employment or service contract, if any;</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Option and the Shares subject to the Option are not intended to replace any pension rights or compensation;</w:t>
      </w:r>
    </w:p>
    <w:p>
      <w:pPr>
        <w:spacing w:after="0" w:line="117" w:lineRule="exact"/>
        <w:rPr>
          <w:rFonts w:ascii="Arial" w:cs="Arial" w:eastAsia="Arial" w:hAnsi="Arial"/>
          <w:sz w:val="18"/>
          <w:szCs w:val="18"/>
          <w:color w:val="auto"/>
        </w:rPr>
      </w:pPr>
    </w:p>
    <w:p>
      <w:pPr>
        <w:jc w:val="both"/>
        <w:ind w:firstLine="656"/>
        <w:spacing w:after="0" w:line="259" w:lineRule="auto"/>
        <w:tabs>
          <w:tab w:leader="none" w:pos="10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Option and the Shares subject to the Option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 the Company or any Parent or Subsidiary of the Company;</w:t>
      </w:r>
    </w:p>
    <w:p>
      <w:pPr>
        <w:spacing w:after="0" w:line="78" w:lineRule="exact"/>
        <w:rPr>
          <w:rFonts w:ascii="Arial" w:cs="Arial" w:eastAsia="Arial" w:hAnsi="Arial"/>
          <w:sz w:val="18"/>
          <w:szCs w:val="18"/>
          <w:color w:val="auto"/>
        </w:rPr>
      </w:pPr>
    </w:p>
    <w:p>
      <w:pPr>
        <w:ind w:firstLine="656"/>
        <w:spacing w:after="0" w:line="277" w:lineRule="auto"/>
        <w:tabs>
          <w:tab w:leader="none" w:pos="102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Option and Participant's participation in the Plan will not be interpreted to form an employment contract or relationship with the Company or any Parent or Subsidiary of the Company;</w:t>
      </w:r>
    </w:p>
    <w:p>
      <w:pPr>
        <w:spacing w:after="0" w:line="62" w:lineRule="exact"/>
        <w:rPr>
          <w:rFonts w:ascii="Arial" w:cs="Arial" w:eastAsia="Arial" w:hAnsi="Arial"/>
          <w:sz w:val="18"/>
          <w:szCs w:val="18"/>
          <w:color w:val="auto"/>
        </w:rPr>
      </w:pPr>
    </w:p>
    <w:p>
      <w:pPr>
        <w:ind w:left="1000" w:hanging="344"/>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w:t>
      </w:r>
    </w:p>
    <w:p>
      <w:pPr>
        <w:spacing w:after="0" w:line="117" w:lineRule="exact"/>
        <w:rPr>
          <w:rFonts w:ascii="Arial" w:cs="Arial" w:eastAsia="Arial" w:hAnsi="Arial"/>
          <w:sz w:val="18"/>
          <w:szCs w:val="18"/>
          <w:color w:val="auto"/>
        </w:rPr>
      </w:pPr>
    </w:p>
    <w:p>
      <w:pPr>
        <w:jc w:val="both"/>
        <w:ind w:firstLine="656"/>
        <w:spacing w:after="0" w:line="293" w:lineRule="auto"/>
        <w:tabs>
          <w:tab w:leader="none" w:pos="10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termination of Participant's service by the Company or the Employer (for any reason whatsoever and whether or not in breach of local labor laws) and, in consideration for the grant of the Option, to which Participant is not otherwise entitled, Participant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signing the Notice of Grant, Participant shall be deemed irrevocably to have agreed not to pursue such claim and agrees to execute any and all documents necessary to request dismissal or withdrawal of such claims;</w:t>
      </w:r>
    </w:p>
    <w:p>
      <w:pPr>
        <w:spacing w:after="0" w:line="56" w:lineRule="exact"/>
        <w:rPr>
          <w:rFonts w:ascii="Arial" w:cs="Arial" w:eastAsia="Arial" w:hAnsi="Arial"/>
          <w:sz w:val="16"/>
          <w:szCs w:val="16"/>
          <w:color w:val="auto"/>
        </w:rPr>
      </w:pPr>
    </w:p>
    <w:p>
      <w:pPr>
        <w:jc w:val="both"/>
        <w:ind w:firstLine="656"/>
        <w:spacing w:after="0" w:line="302" w:lineRule="auto"/>
        <w:tabs>
          <w:tab w:leader="none" w:pos="1133"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of termination of Participant's service with the Company or the Employer (whether or not in breach of local labor laws), Participant's right to exercise the Option, if any, will terminate effective as of the date that Participant is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the Administrator shall have the exclusive discretion to determine when Participant is no longer actively employed for purposes of the Option grant; and</w:t>
      </w:r>
    </w:p>
    <w:p>
      <w:pPr>
        <w:spacing w:after="0" w:line="46" w:lineRule="exact"/>
        <w:rPr>
          <w:rFonts w:ascii="Arial" w:cs="Arial" w:eastAsia="Arial" w:hAnsi="Arial"/>
          <w:sz w:val="16"/>
          <w:szCs w:val="16"/>
          <w:color w:val="auto"/>
        </w:rPr>
      </w:pPr>
    </w:p>
    <w:p>
      <w:pPr>
        <w:ind w:firstLine="656"/>
        <w:spacing w:after="0" w:line="277" w:lineRule="auto"/>
        <w:tabs>
          <w:tab w:leader="none" w:pos="11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Option and the benefits under the Plan, if any, will not automatically transfer to another company in the case of a merger, take-over, or transfer of liability.</w:t>
      </w:r>
    </w:p>
    <w:p>
      <w:pPr>
        <w:spacing w:after="0" w:line="306" w:lineRule="exact"/>
        <w:rPr>
          <w:sz w:val="20"/>
          <w:szCs w:val="20"/>
          <w:color w:val="auto"/>
        </w:rPr>
      </w:pPr>
    </w:p>
    <w:p>
      <w:pPr>
        <w:jc w:val="both"/>
        <w:ind w:firstLine="656"/>
        <w:spacing w:after="0" w:line="364" w:lineRule="auto"/>
        <w:tabs>
          <w:tab w:leader="none" w:pos="143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tax, legal, and financial consultants regarding Participant's participation in the Plan before taking any action related to the Plan.</w:t>
      </w:r>
    </w:p>
    <w:p>
      <w:pPr>
        <w:spacing w:after="0" w:line="148" w:lineRule="exact"/>
        <w:rPr>
          <w:rFonts w:ascii="Arial" w:cs="Arial" w:eastAsia="Arial" w:hAnsi="Arial"/>
          <w:sz w:val="16"/>
          <w:szCs w:val="16"/>
          <w:color w:val="auto"/>
        </w:rPr>
      </w:pPr>
    </w:p>
    <w:p>
      <w:pPr>
        <w:jc w:val="both"/>
        <w:ind w:firstLine="656"/>
        <w:spacing w:after="0" w:line="364" w:lineRule="auto"/>
        <w:tabs>
          <w:tab w:leader="none" w:pos="1521"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Participant hereby explicitly and unambiguously consents to the collection, use and transfer, in electronic or other form, of Participant's personal data as described in this Award Agreement by and among, as applicable, the Employer, the Company and any Parent or Subsidiary of the Company for the exclusive purpose of implementing, administering and managing Participant's participation in the Plan.</w:t>
      </w:r>
    </w:p>
    <w:p>
      <w:pPr>
        <w:spacing w:after="0" w:line="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or other identification number, salary, nationality, job title, any Shares or directorships held in the Company or any Parent or Subsidiary of the Company, details of all options or any other entitlement to Shares awarded, canceled, exercised, vested, unvested or outstanding in Participant's favor, for the exclusive purpose of implementing, administering and managing the Plan (“Personal Data”). Participant understands that Personal Data will be transferred to a broker designated by the Company or to any other third party assisting in the implementation, administration and management of the Plan. Participant understands that the recipients of the Personal Data may be located in Participant's country or elsewhere, and that the recipient's country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may have different data privacy laws and protections than Participant's country.</w:t>
      </w:r>
    </w:p>
    <w:p>
      <w:pPr>
        <w:spacing w:after="0" w:line="11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b w:val="1"/>
          <w:bCs w:val="1"/>
          <w:i w:val="1"/>
          <w:iCs w:val="1"/>
          <w:color w:val="auto"/>
        </w:rPr>
        <w:t>For Participants located outside of the U.S., Participant understands that Participant may request a list with the names and addresses of any potential recipients of the Personal Data by contacting Participant's local human resources representative. Participant authorizes the Company, the broker, and any other recipients of Personal Data that may assist the Company (presently or in the future) with implementing, administering and managing the Plan to receive, possess, use, retain and transfer Personal Data, in electronic or other form, for the purposes of implementing, administering and managing Participant's participation in the Plan, including any requisite transfer of Personal Data as may be required to a broker or other third party with whom Participant may elect to deposit any Shares purchased upon exercise of the Option. Participant understands that Personal Data will be held only as long as is necessary to implement, administer and manage Participant's participation in the Plan. Participant understands that Participant may, at any time, view Personal Data, request additional information about the storage and processing of Personal Data, require any necessary amendments to Personal Data or refuse or withdraw the consents herein, in any case without cost, by contacting in writing Participant's local human resources representative. Participant understands that refusal or withdrawal of consent may affect Participant's ability to participate in the Plan. For more information on the consequences of refusal to consent or withdrawal of consent, Participant understands that he or she may contact Participant's local human resources representative.</w:t>
      </w:r>
    </w:p>
    <w:p>
      <w:pPr>
        <w:spacing w:after="0" w:line="304" w:lineRule="exact"/>
        <w:rPr>
          <w:sz w:val="20"/>
          <w:szCs w:val="20"/>
          <w:color w:val="auto"/>
        </w:rPr>
      </w:pPr>
    </w:p>
    <w:p>
      <w:pPr>
        <w:jc w:val="both"/>
        <w:ind w:firstLine="656"/>
        <w:spacing w:after="0" w:line="311" w:lineRule="auto"/>
        <w:tabs>
          <w:tab w:leader="none" w:pos="151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in care of Stock Administration at Fortinet, Inc., 1090 Kifer Road, Sunnyvale, CA 94086, or at such other address as the Company may hereafter designate in writing.</w:t>
      </w:r>
    </w:p>
    <w:p>
      <w:pPr>
        <w:spacing w:after="0" w:line="181" w:lineRule="exact"/>
        <w:rPr>
          <w:rFonts w:ascii="Arial" w:cs="Arial" w:eastAsia="Arial" w:hAnsi="Arial"/>
          <w:sz w:val="18"/>
          <w:szCs w:val="18"/>
          <w:color w:val="auto"/>
        </w:rPr>
      </w:pPr>
    </w:p>
    <w:p>
      <w:pPr>
        <w:ind w:right="20" w:firstLine="656"/>
        <w:spacing w:after="0" w:line="324"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Participant only by Participant.</w:t>
      </w:r>
    </w:p>
    <w:p>
      <w:pPr>
        <w:spacing w:after="0" w:line="170" w:lineRule="exact"/>
        <w:rPr>
          <w:rFonts w:ascii="Arial" w:cs="Arial" w:eastAsia="Arial" w:hAnsi="Arial"/>
          <w:sz w:val="18"/>
          <w:szCs w:val="18"/>
          <w:color w:val="auto"/>
        </w:rPr>
      </w:pPr>
    </w:p>
    <w:p>
      <w:pPr>
        <w:ind w:firstLine="656"/>
        <w:spacing w:after="0" w:line="324"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Assuming such compliance, for U.S. income tax purposes the Exercised Shares will be considered transferred to Participant on the date the Option is exercised with respect to such Exercised Shares.</w:t>
      </w:r>
    </w:p>
    <w:p>
      <w:pPr>
        <w:spacing w:after="0" w:line="192"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1"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1" w:lineRule="exact"/>
        <w:rPr>
          <w:rFonts w:ascii="Arial" w:cs="Arial" w:eastAsia="Arial" w:hAnsi="Arial"/>
          <w:sz w:val="16"/>
          <w:szCs w:val="16"/>
          <w:color w:val="auto"/>
        </w:rPr>
      </w:pPr>
    </w:p>
    <w:p>
      <w:pPr>
        <w:jc w:val="both"/>
        <w:ind w:firstLine="656"/>
        <w:spacing w:after="0" w:line="306" w:lineRule="auto"/>
        <w:tabs>
          <w:tab w:leader="none" w:pos="152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Award Agreement.</w:t>
      </w:r>
    </w:p>
    <w:p>
      <w:pPr>
        <w:spacing w:after="0" w:line="265" w:lineRule="exact"/>
        <w:rPr>
          <w:rFonts w:ascii="Arial" w:cs="Arial" w:eastAsia="Arial" w:hAnsi="Arial"/>
          <w:sz w:val="17"/>
          <w:szCs w:val="17"/>
          <w:color w:val="auto"/>
        </w:rPr>
      </w:pPr>
    </w:p>
    <w:p>
      <w:pPr>
        <w:ind w:firstLine="656"/>
        <w:spacing w:after="0" w:line="395" w:lineRule="auto"/>
        <w:tabs>
          <w:tab w:leader="none" w:pos="152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08" w:name="page109"/>
    <w:bookmarkEnd w:id="108"/>
    <w:p>
      <w:pPr>
        <w:jc w:val="both"/>
        <w:ind w:firstLine="656"/>
        <w:spacing w:after="0" w:line="323" w:lineRule="auto"/>
        <w:tabs>
          <w:tab w:leader="none" w:pos="152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77" w:lineRule="exact"/>
        <w:rPr>
          <w:rFonts w:ascii="Arial" w:cs="Arial" w:eastAsia="Arial" w:hAnsi="Arial"/>
          <w:sz w:val="17"/>
          <w:szCs w:val="17"/>
          <w:color w:val="auto"/>
        </w:rPr>
      </w:pPr>
    </w:p>
    <w:p>
      <w:pPr>
        <w:jc w:val="both"/>
        <w:ind w:firstLine="656"/>
        <w:spacing w:after="0" w:line="304" w:lineRule="auto"/>
        <w:tabs>
          <w:tab w:leader="none" w:pos="152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will be governed by, and subject to, the laws of the State of California, without giving effect to the conflict of law principles thereof. For purposes of litigating any dispute that arises under the Option or this Award Agreement, the parties hereby submit to and consent to the jurisdiction of the State of California</w:t>
      </w:r>
      <w:r>
        <w:rPr>
          <w:rFonts w:ascii="Arial" w:cs="Arial" w:eastAsia="Arial" w:hAnsi="Arial"/>
          <w:sz w:val="18"/>
          <w:szCs w:val="18"/>
          <w:b w:val="1"/>
          <w:bCs w:val="1"/>
          <w:color w:val="auto"/>
        </w:rPr>
        <w:t>,</w:t>
      </w:r>
      <w:r>
        <w:rPr>
          <w:rFonts w:ascii="Arial" w:cs="Arial" w:eastAsia="Arial" w:hAnsi="Arial"/>
          <w:sz w:val="18"/>
          <w:szCs w:val="18"/>
          <w:color w:val="auto"/>
        </w:rPr>
        <w:t xml:space="preserve"> and agree that such litigation will be conducted in the courts of Santa Clara County, California</w:t>
      </w:r>
      <w:r>
        <w:rPr>
          <w:rFonts w:ascii="Arial" w:cs="Arial" w:eastAsia="Arial" w:hAnsi="Arial"/>
          <w:sz w:val="18"/>
          <w:szCs w:val="18"/>
          <w:b w:val="1"/>
          <w:bCs w:val="1"/>
          <w:color w:val="auto"/>
        </w:rPr>
        <w:t>,</w:t>
      </w:r>
      <w:r>
        <w:rPr>
          <w:rFonts w:ascii="Arial" w:cs="Arial" w:eastAsia="Arial" w:hAnsi="Arial"/>
          <w:sz w:val="18"/>
          <w:szCs w:val="18"/>
          <w:color w:val="auto"/>
        </w:rPr>
        <w:t xml:space="preserve"> or the federal courts for the United States for the Northern District of California, and no other courts, where this grant is made and/or to be performed.</w:t>
      </w:r>
    </w:p>
    <w:p>
      <w:pPr>
        <w:spacing w:after="0" w:line="161" w:lineRule="exact"/>
        <w:rPr>
          <w:sz w:val="20"/>
          <w:szCs w:val="20"/>
          <w:color w:val="auto"/>
        </w:rPr>
      </w:pPr>
    </w:p>
    <w:p>
      <w:pPr>
        <w:ind w:firstLine="656"/>
        <w:spacing w:after="0" w:line="308" w:lineRule="auto"/>
        <w:tabs>
          <w:tab w:leader="none" w:pos="1121"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If Participant has received this Award Agreement or any other document related to the Option and/or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7"/>
          <w:szCs w:val="17"/>
          <w:color w:val="auto"/>
        </w:rPr>
      </w:pPr>
    </w:p>
    <w:p>
      <w:pPr>
        <w:jc w:val="both"/>
        <w:ind w:firstLine="656"/>
        <w:spacing w:after="0" w:line="255" w:lineRule="auto"/>
        <w:tabs>
          <w:tab w:leader="none" w:pos="106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Additional Terms and Conditions of Stock Option Grant</w:t>
      </w:r>
      <w:r>
        <w:rPr>
          <w:rFonts w:ascii="Arial" w:cs="Arial" w:eastAsia="Arial" w:hAnsi="Arial"/>
          <w:sz w:val="18"/>
          <w:szCs w:val="18"/>
          <w:color w:val="auto"/>
        </w:rPr>
        <w:t>. Notwithstanding any provisions in the Terms and Conditions of Stock Option Grant, the Option shall be subject to any special terms and conditions set forth in the Additional Terms and Conditions of Stock Option Grant, attached as Exhibit B, for Participant's country. Moreover, if Participant relocates to one of the countries included in the Additional Terms and Conditions of Stock Option Grant, the special terms and conditions for such country will apply to Participant, to the extent the Company determines that the application of such terms and conditions is necessary or advisable in order to comply with local law or facilitate the administration of the Plan. The Additional Terms and Conditions of Stock Option Grant constitute part of this Award Agreement.</w:t>
      </w:r>
    </w:p>
    <w:p>
      <w:pPr>
        <w:spacing w:after="0" w:line="193" w:lineRule="exact"/>
        <w:rPr>
          <w:rFonts w:ascii="Arial" w:cs="Arial" w:eastAsia="Arial" w:hAnsi="Arial"/>
          <w:sz w:val="18"/>
          <w:szCs w:val="18"/>
          <w:color w:val="auto"/>
        </w:rPr>
      </w:pPr>
    </w:p>
    <w:p>
      <w:pPr>
        <w:jc w:val="both"/>
        <w:ind w:firstLine="656"/>
        <w:spacing w:after="0" w:line="259" w:lineRule="auto"/>
        <w:tabs>
          <w:tab w:leader="none" w:pos="106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laws or facilitate the administration of the Plan, and to require Participant to sign any additional agreements or undertakings that may be necessary to accomplish the foregoing.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827"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4907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8859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STOCK OPTION GRANT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Exhibit B includes additional terms and conditions that govern the Option granted to Participant under the Plan if Participant resides in one of the countries listed below. Certain capitalized terms used but not defined in this Exhibit B have the meanings set forth in the Plan and/or the Terms and Conditions of Stock Option Grant.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Exhibit B also includes information regarding exchange controls and certain other tax or legal issues of which Participant should be aware with respect to his or her participation in the Plan. The information is based on the securities, exchange control, and other laws in effect in the respective countries as of December 2009. Such laws are often complex and change frequently. As a result, the Company strongly recommends that Participant not rely on the information in this Exhibit B as the only source of information relating to the consequences of his or her participation in the Plan because the information may be out of date at the time that Participant exercises the Option or sell Shares.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his or her country may apply to Participant's situation.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if Participant is a citizen or resident of a country other than the one in which he or she is currently residing, or transfers to a different country after the Date of Grant, the information contained herein may not be applicable to Participant.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Argentina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Option nor the issuance of Shares is offered publicly or listed on any stock exchange in Argentina. The offer is private and not subject to the supervision of any Argentine governmental authority.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current regulations adopted by the Argentine Central Bank (the “BCRA”), Participant may purchase and remit foreign currency with a value of up to US$2,000,000 per month out of Argentina for the purpose of acquiring foreign securities, including Shares under the Plan, without prior approval from the BCRA, provided that Participant executes and submits an affidavit to the BCRA confirming that he or she has not exceeded the US$2,000,000 threshold during the relevant month.</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note that exchange control regulations in Argentina are subject to frequent change. Participant should consult with his or her personal legal advisor regarding any exchange control obligations that he or she may have.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replaces the “Term/Expiration Date” set forth in the Notice of Stock Option Grant.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tax considerations in Australia, the Option will expire on the last trading day on the Nasdaq Global Market on or before the day that is 6 years and 364 days after the Date of Grant.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Right to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supplements the “Right to Exercise” section of the Terms and Conditions of Stock Option Grant.</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Due to tax considerations in Australia, Participant may not exercise any portion of the Option unless and until the Fair Market Value (as defined in Section 2(r) of the Plan) per Share underlying the Option equals or exceeds Exercise Price per Share for a certain period of time not to exceed one week pursuant to the procedures established by the Company (</w:t>
      </w:r>
      <w:r>
        <w:rPr>
          <w:rFonts w:ascii="Arial" w:cs="Arial" w:eastAsia="Arial" w:hAnsi="Arial"/>
          <w:sz w:val="16"/>
          <w:szCs w:val="16"/>
          <w:i w:val="1"/>
          <w:iCs w:val="1"/>
          <w:color w:val="auto"/>
        </w:rPr>
        <w:t>i.e.</w:t>
      </w:r>
      <w:r>
        <w:rPr>
          <w:rFonts w:ascii="Arial" w:cs="Arial" w:eastAsia="Arial" w:hAnsi="Arial"/>
          <w:sz w:val="16"/>
          <w:szCs w:val="16"/>
          <w:color w:val="auto"/>
        </w:rPr>
        <w:t>, the Company will decide on the period of time for which the Option must be “above water”).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Participant acquires Shares pursuant to this Option and he or she offers Shares for sale to a person or entity resident in Australia, the offer may be subject to disclosure requirements under Australian law. Participant should obtain legal advice on his or her disclosure obligations prior to making any such offer.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Participant holds Shares purchased under the Plan outside Austria (even if he or she holds them outside of Austria with 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985" w:right="239" w:bottom="1440" w:gutter="0" w:footer="0" w:header="0"/>
        </w:sectPr>
      </w:pPr>
    </w:p>
    <w:bookmarkStart w:id="110" w:name="page111"/>
    <w:bookmarkEnd w:id="110"/>
    <w:p>
      <w:pPr>
        <w:jc w:val="both"/>
        <w:spacing w:after="0" w:line="257" w:lineRule="auto"/>
        <w:rPr>
          <w:sz w:val="20"/>
          <w:szCs w:val="20"/>
          <w:color w:val="auto"/>
        </w:rPr>
      </w:pPr>
      <w:r>
        <w:rPr>
          <w:rFonts w:ascii="Arial" w:cs="Arial" w:eastAsia="Arial" w:hAnsi="Arial"/>
          <w:sz w:val="18"/>
          <w:szCs w:val="18"/>
          <w:color w:val="auto"/>
        </w:rPr>
        <w:t>Austrian bank), Participant understands that he or she must submit an annual report to the Austrian National Bank using the form “</w:t>
      </w:r>
      <w:r>
        <w:rPr>
          <w:rFonts w:ascii="Arial" w:cs="Arial" w:eastAsia="Arial" w:hAnsi="Arial"/>
          <w:sz w:val="18"/>
          <w:szCs w:val="18"/>
          <w:i w:val="1"/>
          <w:iCs w:val="1"/>
          <w:color w:val="auto"/>
        </w:rPr>
        <w:t>Standmeldung/Wertpapiere</w:t>
      </w:r>
      <w:r>
        <w:rPr>
          <w:rFonts w:ascii="Arial" w:cs="Arial" w:eastAsia="Arial" w:hAnsi="Arial"/>
          <w:sz w:val="18"/>
          <w:szCs w:val="18"/>
          <w:color w:val="auto"/>
        </w:rPr>
        <w:t>.” An exemption applies if the value of the securities held outside Austria as of December 31 does not exceed €3,000,000 or the value of the securities as of any quarter does not exceed €30,000,000. If the former threshold is exceeded, annual reporting obligations are imposed, whereas if the latter threshold is exceeded, quarterly reports must be submitted. The annual reporting date is December 31; the deadline for filing the annual report is March 31 of the following year.</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the Shares are sold, there may be exchange control obligations if the cash received is held outside Austria, as a separate reporting requirement applies to any non-Austrian cash accounts. If the transaction volume of all of Participant's cash accounts abroad exceeds €3,000,000, the movements and the balance of all accounts must be reported monthly, as of the last day of the month, on or before the 15th day of the following month, using the form “</w:t>
      </w:r>
      <w:r>
        <w:rPr>
          <w:rFonts w:ascii="Arial" w:cs="Arial" w:eastAsia="Arial" w:hAnsi="Arial"/>
          <w:sz w:val="18"/>
          <w:szCs w:val="18"/>
          <w:i w:val="1"/>
          <w:iCs w:val="1"/>
          <w:color w:val="auto"/>
        </w:rPr>
        <w:t>Meldungen SI-Forderungen und/oder SI-Verpflichtungen</w:t>
      </w:r>
      <w:r>
        <w:rPr>
          <w:rFonts w:ascii="Arial" w:cs="Arial" w:eastAsia="Arial" w:hAnsi="Arial"/>
          <w:sz w:val="18"/>
          <w:szCs w:val="18"/>
          <w:color w:val="auto"/>
        </w:rPr>
        <w:t>.” If the transaction value of all cash accounts abroad is less than €3,000,000, no ongoing reporting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Consumer Protection Act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understands that he or she may be entitled to revoke the Award Agreement on the basis of the Austrian Consumer Protection Act (the “Act”) under the conditions listed below, if the Act is considered to be applicable to the Award Agreement and the Plan:</w:t>
      </w:r>
    </w:p>
    <w:p>
      <w:pPr>
        <w:spacing w:after="0" w:line="62" w:lineRule="exact"/>
        <w:rPr>
          <w:sz w:val="20"/>
          <w:szCs w:val="20"/>
          <w:color w:val="auto"/>
        </w:rPr>
      </w:pPr>
    </w:p>
    <w:p>
      <w:pPr>
        <w:ind w:firstLine="656"/>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Participant signs the Award Agreement outside the business premises of the Company, he or she may be entitled to revoke acceptance of the Award Agreement provided that the revocation is made within one week after he or she signs the Award Agreement.</w:t>
      </w:r>
    </w:p>
    <w:p>
      <w:pPr>
        <w:spacing w:after="0" w:line="62" w:lineRule="exact"/>
        <w:rPr>
          <w:rFonts w:ascii="Arial" w:cs="Arial" w:eastAsia="Arial" w:hAnsi="Arial"/>
          <w:sz w:val="18"/>
          <w:szCs w:val="18"/>
          <w:color w:val="auto"/>
        </w:rPr>
      </w:pPr>
    </w:p>
    <w:p>
      <w:pPr>
        <w:jc w:val="both"/>
        <w:ind w:right="20" w:firstLine="656"/>
        <w:spacing w:after="0" w:line="264" w:lineRule="auto"/>
        <w:tabs>
          <w:tab w:leader="none" w:pos="122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revocation must be in written form to be valid. It is sufficient if Participant returns the Award Agreement to the Company or the Company's representative with language that can be understood as his or her refusal to honor the Award Agreement. It is sufficient if the revocation is sent within one week after Participant signed the Award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Belgium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Option must be accepted in writing with the time frame set forth and explained in the separate Country Supplement &amp; Undertaking for Participants in Belgium. Participant should refer to the separate Country Supplement &amp; Undertaking for Participants in Belgium for a more detailed description of the tax consequences of choosing to accept the Option. Participant should also consult a personal tax advisor with respect to accepting the Option and completing the additional forms.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Reporting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is required to report any taxable income attributable to the Option on his or her annual tax return. Participant is also required to report any bank accounts opened and maintained outside Belgium on his or her annual tax return.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Brazil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Participant is a resident or domiciled in Brazil, he or she will be required to submit an annual declaration of assets and rights held outside of Brazil to the Central Bank of Brazil if the aggregate value of such assets and rights is equal to or greater than US$100,000. Please note that the US$100,000 threshold may be changed annually.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to Receive Information in English for Employees in Quebec</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acknowledge that it is their express wish that the Award Agreement, as well as all documents, notices and legal proceeds entered into, given or instituted pursuant hereto or relating directly or indirectly hereto, be drawn up in English.</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Les parties reconnaissent avoir exigé la rédaction en anglais de cette convention, ainsi que de tous documents exécutés, avis donnés et procédures judiciaries intentées, directement ou indirectement, relativement à ou suite à la présente convention.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Involuntary Termination Terms for Option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event of involuntary termination of Participant's employment (whether or not in breach of local labor laws), Participant's right to continued vesting or to exercise the Option, if any, will terminate effective as of the date that is the earlier of: (1) the date Participant receives notice of termination of employment from the Employer, or (2) the date Participant is no longer actively employed by the Employer, regardless of any notice period or period of pay in lieu of such notice required under local law (including, but not limited to, statutory law, regulatory law, and/or common law); the Administrator shall have the exclusive discretion to determine when Participant is no longer actively employed for purposes of the Option.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 Notice and Consent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This section supplements the “Data Privacy” section of the Terms and Conditions of Stock Option Grant: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 hereby authorizes the Company and the Company's representatives to discuss and obtain all relevant information from all personnel, professional or non-professional, involved in the administration of the Plan. Participant further authorizes the Employer, the Company, and its Subsidiaries to disclose and discuss such information with their advisors. Participant also authorizes the Employer, Company and its Subsidiaries to record such information and to keep such information in Participant's employee file.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Neither the Company nor the Shares are registered with the Chilean Registry of Securities or under the control of the Chilean Superintendence of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It is Participant's responsibility to make sure that he or she complies with exchange control requirements in Chile when the value of his or her Option exercise transaction is in excess of US$10,000, regardless of whether Participant exercises his or her Option through a cash exercise or cashless method of exercise.</w:t>
      </w:r>
    </w:p>
    <w:p>
      <w:pPr>
        <w:spacing w:after="0" w:line="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Participant uses the cash exercise method to exercise the Option and Participant remits funds in excess of US$10,000 out of Chile, the remittance must be made through the Formal Exchange Market (</w:t>
      </w:r>
      <w:r>
        <w:rPr>
          <w:rFonts w:ascii="Arial" w:cs="Arial" w:eastAsia="Arial" w:hAnsi="Arial"/>
          <w:sz w:val="16"/>
          <w:szCs w:val="16"/>
          <w:i w:val="1"/>
          <w:iCs w:val="1"/>
          <w:color w:val="auto"/>
        </w:rPr>
        <w:t>i.e.,</w:t>
      </w:r>
      <w:r>
        <w:rPr>
          <w:rFonts w:ascii="Arial" w:cs="Arial" w:eastAsia="Arial" w:hAnsi="Arial"/>
          <w:sz w:val="16"/>
          <w:szCs w:val="16"/>
          <w:color w:val="auto"/>
        </w:rPr>
        <w:t xml:space="preserve"> a commercial bank or registered foreign exchange office). In such case, Participant must provide to the bank or registered foreign exchange office certain information regarding the remittance of funds (</w:t>
      </w:r>
      <w:r>
        <w:rPr>
          <w:rFonts w:ascii="Arial" w:cs="Arial" w:eastAsia="Arial" w:hAnsi="Arial"/>
          <w:sz w:val="16"/>
          <w:szCs w:val="16"/>
          <w:i w:val="1"/>
          <w:iCs w:val="1"/>
          <w:color w:val="auto"/>
        </w:rPr>
        <w:t>e.g.,</w:t>
      </w:r>
      <w:r>
        <w:rPr>
          <w:rFonts w:ascii="Arial" w:cs="Arial" w:eastAsia="Arial" w:hAnsi="Arial"/>
          <w:sz w:val="16"/>
          <w:szCs w:val="16"/>
          <w:color w:val="auto"/>
        </w:rPr>
        <w:t xml:space="preserve"> destination, currency, amount, parties involved, etc.).</w:t>
      </w:r>
    </w:p>
    <w:p>
      <w:pPr>
        <w:spacing w:after="0" w:line="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Participant exercises the Option using a cashless exercise method and the aggregate value of the Exercise Price exceeds US$10,000, Participant must sign Annex 1 of the Manual of Chapter XII of the Foreign Exchange Regulations and file it directly with the Central Bank within 10 days of the exercise date.</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 is not required to repatriate funds obtained from the sale of Shares or the receipt of any dividends. However, if Participant decides to repatriate such funds, Participant must do so through the Formal Exchange Market if the amount of the funds exceeds US$10,000. In such case, Participant must report the payment to a commercial bank or registered foreign exchange office receiving the funds.</w:t>
      </w:r>
    </w:p>
    <w:p>
      <w:pPr>
        <w:spacing w:after="0" w:line="3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Participant's aggregate investments held outside of Chile exceeds US$5,000,000 (including the investments made under the Plan), Participant must report the investments annually to the Central Bank. Annex 3.1 of Chapter XII of the Foreign Exchange Regulations must be used to file this report.</w:t>
      </w:r>
    </w:p>
    <w:p>
      <w:pPr>
        <w:spacing w:after="0" w:line="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Please note that exchange control regulations in Chile are subject to change. Participant should consult with his or her personal legal advisor regarding any exchange control obligations that Participant may have prior to exercising the Option or receiving proceeds from the sale of Shares acquired under the Plan.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Tax Reporting Obligation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Chilean Internal Revenue Service (“CIRS”) requires all taxpayers to provide information annually regarding: (i) the taxes paid abroad, which they will use as a credit against Chilean income taxes, and (ii) the results of foreign investments. These annual reporting obligations must be complied with by submitting a sworn statement setting forth this information before March 15 of each year. The forms to be used to submit the sworn statement are Tax Form 1853 “Annual Sworn Statement Regarding Credits for Taxes Paid Abroad” and Tax Form 1851 “Annual Sworn Statement Regarding Investments Held Abroad.” If Participant is not a Chilean citizen and has been a resident in Chile for less than three years, Participant is exempt from the requirement to file Tax Form 1853. These statements must be submitted electronically through the CIRS website: www.sii.cl.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any provision to the contrary in the Terms and Conditions of Stock Option Grant, due to stringent exchange controls and securities restrictions in China,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The Company reserves the right to provide Participant with additional methods of paying the Exercise Price depending upon the development of local laws.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 for Participants who are Chinese Nationals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12" w:name="page113"/>
    <w:bookmarkEnd w:id="112"/>
    <w:p>
      <w:pPr>
        <w:jc w:val="both"/>
        <w:spacing w:after="0" w:line="289" w:lineRule="auto"/>
        <w:rPr>
          <w:sz w:val="20"/>
          <w:szCs w:val="20"/>
          <w:color w:val="auto"/>
        </w:rPr>
      </w:pPr>
      <w:r>
        <w:rPr>
          <w:rFonts w:ascii="Arial" w:cs="Arial" w:eastAsia="Arial" w:hAnsi="Arial"/>
          <w:sz w:val="16"/>
          <w:szCs w:val="16"/>
          <w:color w:val="auto"/>
        </w:rPr>
        <w:t>Participant understands and agrees that, due to exchange control laws in China, Participant may be required to immediately repatriate the proceeds from the cashless exercise to China. Participant further understands that such repatriation of the proceeds may need to be effected through a special exchange control account established by the Employer, the Company, or any of its Subsidiaries in China and Participant hereby consents and agrees that the proceeds from the cashless exercise may be transferred to such special account prior to being delivered to Participant. Proceeds may be paid to Participant in U.S. dollars or local currency at the Company's discretion. If the proceeds are paid in U.S. dollars, Participant will be required to establish a U.S. dollar bank account in China, so that the proceeds may be deposited into such account. If the proceeds are paid in local currency, the Company is under no obligation to secure any particular foreign currency exchange rate. Participant acknowledges that due to the special account requirement, there may be delays in paying Participant the proceeds and that Participant understands and agrees that he or she will bear the foreign currency exchange rate risk. Participant further agrees to comply with any other requirements that may be imposed by the Company in the future in order to facilitate compliance with exchange control requirements in China.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Colombia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Investments in assets located abroad (including Shares) are subject to registration with the Bank of the Republic if Participant's aggregate investments held abroad (as of December 31 of the applicable calendar year) equal or exceed US$500,000. If funds are remitted from Colombia through an authorized local financial institution, the authorized financial institution will automatically register the investment. However, if Participant does not remit funds through an authorized financial institution when Participant exercises his or her Option and acquires and holds Shares abroad (</w:t>
      </w:r>
      <w:r>
        <w:rPr>
          <w:rFonts w:ascii="Arial" w:cs="Arial" w:eastAsia="Arial" w:hAnsi="Arial"/>
          <w:sz w:val="17"/>
          <w:szCs w:val="17"/>
          <w:i w:val="1"/>
          <w:iCs w:val="1"/>
          <w:color w:val="auto"/>
        </w:rPr>
        <w:t>i.e.</w:t>
      </w:r>
      <w:r>
        <w:rPr>
          <w:rFonts w:ascii="Arial" w:cs="Arial" w:eastAsia="Arial" w:hAnsi="Arial"/>
          <w:sz w:val="17"/>
          <w:szCs w:val="17"/>
          <w:color w:val="auto"/>
        </w:rPr>
        <w:t>, because Participant uses the cashless sell-to-cover method of exercise), then Participant must register the investment (assuming Participant's accumulated financial investments held abroad at the year end are equal to or exceed the equivalent of US$500,000). If Participant uses the cashless sell-all method of exercise, then no registration is required because no funds are remitted from Colombia and no Shares are held abroad.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Costa 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Czech Republic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Czech National Bank may require Participant to fulfill certain notification duties in relation to the acquisition of Shares and the opening and maintenance of a foreign account. However, because exchange control regulations change frequently and without notice, Participant should consult with his or her personal legal advisor prior to exercising the Option and/or the subsequent sale of Shares to ensure compliance with current regulations. Participant is solely responsible for complying with any applicable Czech exchange control laws.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Egypt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Participant transfers funds into or out of Egypt in connection with the exercise of the Option, he or she must transfer the funds through a registered bank in Egypt.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Cross-border payments in excess of €12,500 must be reported monthly. If Participant uses a German bank to effect a cross-border payment in excess of €12,500 in connection with the exercise of this Option or sale of securities or the payment of dividends related to certain securities, the bank will make the report. In this case, Participant will not have to report the transaction. In addition, Participant must report any receivables or payables or debts in foreign currency exceeding an amount of approximately €5,000,000 on a monthly basis. Finally, Participant must report Shares holding exceeding 10% of the total voting capital of the Company on an annual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WARNING: The Option and the Shares issued upon exercise do not constitute a public offering of securities under Hong Kong law and are available only to Service Providers of the Company or its Parent, Subsidiaries and Affiliates. The Award Agreement, including this Appendix,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Option is intended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i w:val="1"/>
          <w:iCs w:val="1"/>
          <w:color w:val="auto"/>
        </w:rPr>
        <w:t>only for the personal use of each eligible Service Provider of the Employer, the Company or any Parent, Subsidiary or Affiliate and may not be distributed to any other person. If Participant is in any doubt about any of the contents of the Award Agreement, including this Appendix, or the Plan, Participant should obtain independent professional advice.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Shares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Option vests within six months of the Date of Grant, Participant agrees that he or she will not exercise the Option and sell the Shares acquired prior to the six-month anniversary of the Date of Grant.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Scheme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specifically intends that the Plan will not be an occupational retirement scheme for purposes of the Occupational Retirement Schemes Ordinance.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provision in the Terms and Conditions of Stock Option Grant, due to exchange control laws that are currently in effect in India, Participant will not be permitted to engage in a “sell to cover” exercise whereby a portion of Shares are sold to cover the Exercise Price, any Tax-Related Items and brokerage fees, and the proceeds are settled in 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 should be aware that if Participant remits funds outside of India to purchase Shares, it is Participant's responsibility to comply with exchange control regulations in India. Proceeds from the sale of Shares must be repatriated to India within 90 days of receipt. Participant should obtain a foreign inward remittance certificate from the bank for Participant's records to document compliance with this requirement and submit a copy of the foreign inward remittance certificate to the Employer if requested.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Indonesia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any provision in the Terms and Conditions of Stock Option Grant, due to securities laws in Indonesia,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Participant remits proceeds from the cashless exercise of the Option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will be provided to Participant by the bank through which the transaction is made.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Ireland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Notification Obligation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Participant is a director, shadow director or secretary of the Company's Irish Subsidiary or Affiliate, Participant must notify the Irish Subsidiary or Affiliate in writing within five business days of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the Option, Shares,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Israel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any provision in the Terms and Conditions of Stock Option Grant, due to tax rules in Israel,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any provision in the Terms and Conditions of Stock Option Agreement, due to securities restrictions in Italy,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 replaces the “Data Privacy” section of the Terms and Conditions of Stock Option Grant: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Participant hereby explicitly and unambiguously consent to the collection, use, processing and transfer, in electronic or other form, of Participant's personal data as described herein by and among, as applicable, the Employer, the Company and its Subsidiaries for the exclusive purpose of implementing, administering, and managing Participant's participation in the Plan.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Participant understands that his or her Employer, the Company and its Subsidiaries may hold certain personal information about Participant, including, but not limited to, Participant's name, home address and telephone number, date of birth, social insurance (to the extent permitted under Italian law) or other identification number, salary, nationality, job title, Shares or directorships held in the Company or its Subsidiaries, details of all options granted, or any other entitlement to Shares awarded, canceled, exercised, vested, unvested or outstanding in Participant's favor, for the exclusive purpose of implementing, managing and administering the Plan (“Data”).</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Participant also understands that providing the Company with Data is necessary for the performance of the Plan and that Participant's refusal to provide such Data would make it impossible for the Company to perform its contractual obligations and may affect Participant's ability to participate in the Plan. The Controller of personal data processing is Fortinet, Inc., with registered offices at 1090 Kifer Road, Sunnyvale, CA 94086, U.S.A., and, pursuant to Legislative Decree no. 196/2003, its Representative in Italy for privacy purposes is Fortinet Italy, S.r.L, with registered offices at Via del Casale Solaro, 119, 00143 ROMA Italy. Participant understands that Data will not be publicized, but it may be transferred to banks, other financial institutions, or brokers involved in the management and administration of the Plan. Participant understands that Data may also be transferred to the independent registered public accounting firm engaged by the Company. Participant further understands that the Employer, the Company and/or any of its Subsidiaries will transfer Data among themselves as necessary for the purpose of implementing, administering and managing Participant's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Participant may elect to deposit any Shares acquired under the Plan. Such recipients may receive, possess, use, retain, and transfer Data in electronic or other form, for the purposes of implementing, administering, and managing Participant's participation in the Plan. Participant understands that these recipients may be located in the European Economic Area or elsewhere, such as the United States.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3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processing activity, including communication, the transfer of Data abroad, including outside of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 Participant understands that, pursuant to Section 7 of the Legislative Decree no. 196/2003, Participant has the right to, including but not limited to, access, delete, update, correct, or terminate, for legitimate reason, the Data processing.</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Furthermore, Participant is aware that Data will not be used for direct-marketing purposes. In addition, Data provided can be reviewed and questions or complaints can be addressed by contacting Participant's local human resources representative.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1013" w:right="239" w:bottom="1440" w:gutter="0" w:footer="0" w:header="0"/>
        </w:sectPr>
      </w:pPr>
    </w:p>
    <w:bookmarkStart w:id="115" w:name="page116"/>
    <w:bookmarkEnd w:id="115"/>
    <w:p>
      <w:pPr>
        <w:jc w:val="both"/>
        <w:ind w:right="20"/>
        <w:spacing w:after="0" w:line="312" w:lineRule="auto"/>
        <w:rPr>
          <w:sz w:val="20"/>
          <w:szCs w:val="20"/>
          <w:color w:val="auto"/>
        </w:rPr>
      </w:pPr>
      <w:r>
        <w:rPr>
          <w:rFonts w:ascii="Arial" w:cs="Arial" w:eastAsia="Arial" w:hAnsi="Arial"/>
          <w:sz w:val="16"/>
          <w:szCs w:val="16"/>
          <w:color w:val="auto"/>
        </w:rPr>
        <w:t>Participant acknowledges that he or she has read and specifically and expressly approves the following sections of the Terms and Conditions of Stock Option Grant: Responsibility for Taxes, Nature of Grant, and Governing Law and Venue, Language, Electronic Delivery, Agreement Severable, Imposition of Other Requirements. In addition, Participant acknowledges that he or she has read and specifically and expressly approves the Data Privacy paragraphs above.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Participant must report in his or her annual tax return any transfers of cash or Shares to or from Italy exceeding €10,000 or the equivalent amount in U.S. dollars. The reporting must be done on Participant's individual income tax return. Participant is exempt from this reporting obligation if the investments are made through an authorized broker resident in Italy, as the broker will comply with the reporting obligation on Participant's behalf.</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Offshore Asset Reporting Obligation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Participant must report in his or her annual tax return any foreign investments or investments (including proceeds from the sale of Shares acquired under the Plan or any vested Option) held outside Italy exceeding €10,000 or the equivalent amount in U.S. dollars, if the investment may give rise to income in Italy. The reporting must be done on Participant's individual income tax return.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Participant acquires Shares valued at more than ¥100,000,000 in a single transaction, Participant must file a Securities Acquisition Report with the Ministry of Finance through the Bank of Japan within 20 days of the purchase of the shares.</w:t>
      </w:r>
    </w:p>
    <w:p>
      <w:pPr>
        <w:spacing w:after="0" w:line="6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addition, if Participant pays more than ¥30,000,000 in a single transaction for the purchase of Shares when Participant exercises the Option, Participant must file a Payment Report with the Ministry of Finance through the Bank of Japan by the 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month following the month in which the payment was made. The precise reporting requirements vary depending on whether or not the relevant payment is made through a bank in Japan.</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Payment Report is required independently from a Securities Acquisition Report. Therefore, if the total amount that Participant pays upon a one-time transaction for exercising the Option and purchasing shares exceeds ¥100,000,000, then Participant must file both a Payment Report and a Securities Acquisition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If Participant remits funds out of Korea to pay the Exercise Price at exercise of the Option, such remittance must be “confirmed” by a foreign exchange bank in Korea. This is an automatic procedure, </w:t>
      </w:r>
      <w:r>
        <w:rPr>
          <w:rFonts w:ascii="Arial" w:cs="Arial" w:eastAsia="Arial" w:hAnsi="Arial"/>
          <w:sz w:val="16"/>
          <w:szCs w:val="16"/>
          <w:i w:val="1"/>
          <w:iCs w:val="1"/>
          <w:color w:val="auto"/>
        </w:rPr>
        <w:t>i.e.</w:t>
      </w:r>
      <w:r>
        <w:rPr>
          <w:rFonts w:ascii="Arial" w:cs="Arial" w:eastAsia="Arial" w:hAnsi="Arial"/>
          <w:sz w:val="16"/>
          <w:szCs w:val="16"/>
          <w:color w:val="auto"/>
        </w:rPr>
        <w:t>, the bank does not need to “approve” the remittance, and it should take no more than a single day to process. The following supporting documents evidencing the nature of the remittance may need to be submitted to the bank together with the confirmation application:</w:t>
      </w:r>
    </w:p>
    <w:p>
      <w:pPr>
        <w:jc w:val="both"/>
        <w:ind w:firstLine="8"/>
        <w:spacing w:after="0" w:line="255" w:lineRule="auto"/>
        <w:tabs>
          <w:tab w:leader="none" w:pos="23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Notice of Grant and Award Agreement; (ii) the Plan; (iii) a document evidencing the type of shares to be acquired and the amount (</w:t>
      </w:r>
      <w:r>
        <w:rPr>
          <w:rFonts w:ascii="Arial" w:cs="Arial" w:eastAsia="Arial" w:hAnsi="Arial"/>
          <w:sz w:val="18"/>
          <w:szCs w:val="18"/>
          <w:i w:val="1"/>
          <w:iCs w:val="1"/>
          <w:color w:val="auto"/>
        </w:rPr>
        <w:t>e.g.</w:t>
      </w:r>
      <w:r>
        <w:rPr>
          <w:rFonts w:ascii="Arial" w:cs="Arial" w:eastAsia="Arial" w:hAnsi="Arial"/>
          <w:sz w:val="18"/>
          <w:szCs w:val="18"/>
          <w:color w:val="auto"/>
        </w:rPr>
        <w:t>, the award certificate); and (iv) Participant's certificate of employment. This confirmation is not necessary for cashless exercises because no funds are remitted out of Korea.</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exchange control laws require Korean residents who realize US$500,000 or more from the sale of shares to repatriate the proceeds to Korea within 18 months of the sale.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Malaysia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Notification Requirements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Participant is a director of a Malaysian Subsidiary of the Company, Participant is subject to certain notification requirements under the Malaysian Companies Act. Among these requirements is an obligation to notify the Malaysian Subsidiary in writing when Participant receives or disposes of an interest (</w:t>
      </w:r>
      <w:r>
        <w:rPr>
          <w:rFonts w:ascii="Arial" w:cs="Arial" w:eastAsia="Arial" w:hAnsi="Arial"/>
          <w:sz w:val="17"/>
          <w:szCs w:val="17"/>
          <w:i w:val="1"/>
          <w:iCs w:val="1"/>
          <w:color w:val="auto"/>
        </w:rPr>
        <w:t>e.g</w:t>
      </w:r>
      <w:r>
        <w:rPr>
          <w:rFonts w:ascii="Arial" w:cs="Arial" w:eastAsia="Arial" w:hAnsi="Arial"/>
          <w:sz w:val="17"/>
          <w:szCs w:val="17"/>
          <w:color w:val="auto"/>
        </w:rPr>
        <w:t>., Options, Shares) in the Company or any related company (including when Participant sells Shares acquired pursuant to the exercise of the Option). These notifications must be made within fourteen days of receiving or disposing of any interest in the Company or any related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Insider Trading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 should be aware of the Malaysian insider-trading rules, which may impact Participant's acquisition or disposal of Shares acquired from the exercise of the Option. Under the Malaysian insider-trading rules, Participant is prohibited from acquiring or selling Shares or rights to Shares (</w:t>
      </w:r>
      <w:r>
        <w:rPr>
          <w:rFonts w:ascii="Arial" w:cs="Arial" w:eastAsia="Arial" w:hAnsi="Arial"/>
          <w:sz w:val="18"/>
          <w:szCs w:val="18"/>
          <w:i w:val="1"/>
          <w:iCs w:val="1"/>
          <w:color w:val="auto"/>
        </w:rPr>
        <w:t>e.g.</w:t>
      </w:r>
      <w:r>
        <w:rPr>
          <w:rFonts w:ascii="Arial" w:cs="Arial" w:eastAsia="Arial" w:hAnsi="Arial"/>
          <w:sz w:val="18"/>
          <w:szCs w:val="18"/>
          <w:color w:val="auto"/>
        </w:rPr>
        <w:t>, Options) when Participant is in possession of information that is not generally available and that Participant knows or should know will have a material effect on the price of Shares once such information is generally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Law Policy and Acknowledgment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accepting the grant of the Option, Participant expressly recognizes that Fortinet, Inc., with registered offices at 1090 Kifer Road, Sunnyvale, CA 94086, U.S.A, is solely responsible for the administration of the Plan and that Participant's participation in the Plan and acquisition of Shares do not constitute an employment relationship between Participant and Fortinet, Inc. since Participant is participating in the Plan on a wholly commercial basis and his or her sole Employer is Fortinet, Inc., located at Rodriguez Saro #615, Col. Del Valle, C.P. 03100, Mexico DF. Based on the foregoing, Participant expressly recognizes that the Plan and the benefits that he or she may derive from participating in the Plan do not establish any rights between Participant and the Employer, Fortinet, Inc., and do not form part of the employment conditions and/or benefits provided by Fortinet, Inc., and any modification of the Plan or its termination shall not constitute a change or impairment of the terms and conditions of Participant's employment.</w:t>
      </w:r>
    </w:p>
    <w:p>
      <w:pPr>
        <w:spacing w:after="0" w:line="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Participant further understands that his or her participation in the Plan is as a result of a unilateral and discretionary decision of Fortinet, Inc.; therefore, Fortinet, Inc. reserves the absolute right to amend and/or discontinue Participant's participation at any time without any liability to Participant.</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Finally, Participant hereby declares that he or she does not reserve to himself or herself any action or right to bring any claim against Fortinet, Inc. for any compensation or damages regarding any provision of the Plan or the benefits derived under the Plan, and Participant therefore grants a full and broad release to Fortinet, Inc., its affiliates, branches, representation offices, its shareholders, officers, agents, or legal representatives with respect to any claim that may arise.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Política Laboral y Reconocimiento/Aceptación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 aceptar el otorgamiento de la Opción de Compra de Acciones, el Participante expresamente reconoce que Fortinet, Inc., con domicilio registrado ubicado en Sunnyvale, CA, U.S.A., es la única responsable por la administración del Plan y que la participación del Participante en el Plan y en su caso la adquisición de las Opciones de Compra de Acciones o Acciones no constituyen ni podrán interpretarse como una relación de trabajo entre el Participante y Fortinet, Inc., ya que el Participante participa en el Plan en un marco totalmente comercial y su único Patrón lo es Fortinet, Inc. con domicilio en Rodriguez Saro #615, Col. Del Valle, C.P. 03100, México DF, México. Derivado de lo anterior, el Participante expresamente reconoce que el Plan y los beneficios que pudieran derivar de la participación en el Plan no establecen derecho alguno entre el Participante y el Patrón, Fortinet, Inc. y no forma parte de las condiciones de trabajo y/o las prestaciones otorgadas por Fortinet, Inc. y que cualquier modificación al Plan o su terminación no constituye un cambio o impedimento de los términos y condiciones de la relación de trabajo del Participante.</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Asimismo, el Participante reconoce que su participación en el Plan es resultado de una decisión unilateral y discrecional de Fortinet, Inc.; por lo tanto, Fortinet, Inc. se reserva el absoluto derecho de modificar y/o terminar la participación del Participante en cualquier momento y sin responsabilidad alguna frente el Participante.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Finalmente, el Participante por este medio declara que no se reserve derecho o acción alguna que ejercitar en contra de Fortinet, Inc. por cualquier compensación o daño en relación con las disposiciones del Plan o de los beneficios derivados del Plan y por lo tanto, el Participante otorga el más amplio finiquito que en derecho proceda a Fortinet, Inc., sus afiliadas, subsidiarias, oficinas de representación, sus accionistas, funcionarios, agentes o representantes legales en relación con cualquier demanda que pudiera surgir.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Insider Trading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should be aware of Dutch insider trading rules that may impact the sale of Shares acquired under the Plan. In particular, Participant may be prohibited from effecting certain transactions if he or she has insider information regarding the Company.</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accepting the grant of the Option and participating in the Plan, Participant acknowledges having read and understood this Insider Trading Information and further acknowledges that it is Participant's responsibility to comply with the following Dutch insider trading rules.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Article 46 of the Act on the Supervision of the Securities Trade 1995, anyone who has “insider information” related to an issuing company is prohibited from effectuating a transaction in securities in or from the Netherlands. “Inside information” is defined as knowledge of details concerning the issuing company to which the securities relate that is not public and which, if published, would reasonably be expected to affect the stock price, regardless of the development of the price. The insider could be any employee of the Company or a Subsidiary in the Netherlands who has inside information as described herein.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broad scope of the definition of inside information, certain employees of the Company working at a Subsidiary of the Company in the Netherlands (including a Participant in the Plan) may have inside information and, thus, would be prohibited from effectuating a transaction in securities in the Netherlands at a time when Participant had such inside information. If Participant is uncertain whether the insider trading rules apply to him or her, Participant should consult with his or her personal legal advisor.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88"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auto"/>
        </w:rPr>
        <w:t>New Zealand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Acknowledgment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Participant acknowledges that he or she will receive the following documents in connection with the offer to purchase shares at exercise of the Option:</w:t>
      </w:r>
    </w:p>
    <w:p>
      <w:pPr>
        <w:spacing w:after="0" w:line="129"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Award Agreement, including this Appendix, which sets forth the terms and conditions of the Option;</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copy of the Company's Form S-1, which includes the most recent financial report, has been made available to Participant to enable Participant to make informed decisions concerning participation in the Plan; and</w:t>
      </w:r>
    </w:p>
    <w:p>
      <w:pPr>
        <w:spacing w:after="0" w:line="62"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copy of the description of the Plan (the “Description”) (</w:t>
      </w:r>
      <w:r>
        <w:rPr>
          <w:rFonts w:ascii="Arial" w:cs="Arial" w:eastAsia="Arial" w:hAnsi="Arial"/>
          <w:sz w:val="18"/>
          <w:szCs w:val="18"/>
          <w:i w:val="1"/>
          <w:iCs w:val="1"/>
          <w:color w:val="auto"/>
        </w:rPr>
        <w:t>i.e.</w:t>
      </w:r>
      <w:r>
        <w:rPr>
          <w:rFonts w:ascii="Arial" w:cs="Arial" w:eastAsia="Arial" w:hAnsi="Arial"/>
          <w:sz w:val="18"/>
          <w:szCs w:val="18"/>
          <w:color w:val="auto"/>
        </w:rPr>
        <w:t>, the Company's Form S-8 plan prospectus under the U.S. Securities Act of 1933, as amended), and the Company will provide any attachments or documents incorporated by reference into the Description upon written request. The documents incorporated by reference into the Description are updated periodically. Should Participant request copies of the documents incorporated by reference into the Description, the Company will provide Participant with the most recent documents incorporated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no longer necessary to obtain a foreign exchange permit to participate in the Plan. However, if Participant transfers more than €15,000 out of Poland in connection with the exercise of an Option, Participant must transfer the funds via a bank account. Please note that if Participant uses a cashless method of exercise, this requirement will not apply because no funds will be transferred out of Poland. If Participant acquires Shares through participation in the Plan, Participant must file an annual report with the National Bank of Poland declaring ownership of foreign shares. This report is filed on a special form available on the website of the National Bank of Poland.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grant of the Option is being made in reliance on Section 273(1)(f) of the Securities and Futures Act (Cap. 289) (“SFA”), under which it is exempt from the prospectus and registration requirements under the SFA.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Reporting Requirements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Participant is a director, associate director or shadow director of a Singapore Subsidiary, Participant is subject to certain notification requirements under the Singapore Companies Act. Directors must notify the Singapore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Options, Shares) in the Company or any related companies within two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when the Option is exercised), or (iii) becoming a director.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South Africa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any provision in the Terms and Conditions of Stock Option Agreement, due to exchange control restrictions in South Africa,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Participant will not be permitted to receive and hold any Shares in connection with the exercise of the Option. The Company reserves the right to provide Participant with additional methods of paying the aggregate Exercise Price depending upon development of local laws.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supplements the “Responsibility for Taxes” section of the Terms and Conditions of Stock Option Grant: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accepting the Option, Participant agrees to notify the Employer of the amount of any gain realized upon exercise of the Option. If Participant fails to advise the Employer of the gain realized upon exercise, he or she may be liable for a fine. Participant will be responsible for paying any difference between the actual tax liability and the amount withheld.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Participant may be required to obtain exchange control approval prior to exercising the Option. Participant is solely responsible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88" w:right="239" w:bottom="1440" w:gutter="0" w:footer="0" w:header="0"/>
        </w:sectPr>
      </w:pPr>
    </w:p>
    <w:bookmarkStart w:id="118" w:name="page119"/>
    <w:bookmarkEnd w:id="118"/>
    <w:p>
      <w:pPr>
        <w:jc w:val="both"/>
        <w:spacing w:after="0" w:line="312" w:lineRule="auto"/>
        <w:rPr>
          <w:sz w:val="20"/>
          <w:szCs w:val="20"/>
          <w:color w:val="auto"/>
        </w:rPr>
      </w:pPr>
      <w:r>
        <w:rPr>
          <w:rFonts w:ascii="Arial" w:cs="Arial" w:eastAsia="Arial" w:hAnsi="Arial"/>
          <w:sz w:val="16"/>
          <w:szCs w:val="16"/>
          <w:color w:val="auto"/>
        </w:rPr>
        <w:t>for complying with applicable South African exchange control regulations. Since the exchange control regulations change frequently and without notice, the Participant should consult his or her legal advisor prior to the exercise of the Option or sale of Shares acquired at exercise to ensure compliance with current regulations. Neither the Company nor the Employer will be liable for any fines or penalties resulting from failure to comply with applicable laws.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Spain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Law Acknowledgment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supplements the “Nature of Grant” section of the Terms and Conditions of Stock Option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Participant acknowledges that he or she consents to participation in the Plan and has received a copy of the Plan.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Participant understands that the Company has unilaterally, gratuitously, and discretionally decided to grant options under the Plan to individuals who may be employees of the Company or its Subsidiaries throughout the world. The decision is a limited decision that is entered into upon the express assumption and condition that any grant will not economically or otherwise bind the Company or any of its Subsidiaries on an ongoing basis. Consequently, Participant understands that the Option is granted on the assumption and condition that the Option or the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options shall be null and void.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It is Participant's responsibility to comply with exchange control regulations in Spain. The purchase of Shares must be declared by the purchaser for statistical purposes to the Spanish </w:t>
      </w:r>
      <w:r>
        <w:rPr>
          <w:rFonts w:ascii="Arial" w:cs="Arial" w:eastAsia="Arial" w:hAnsi="Arial"/>
          <w:sz w:val="17"/>
          <w:szCs w:val="17"/>
          <w:i w:val="1"/>
          <w:iCs w:val="1"/>
          <w:color w:val="auto"/>
        </w:rPr>
        <w:t>Direccion General de Política Comercial y de Inversiones Extranjeras</w:t>
      </w:r>
      <w:r>
        <w:rPr>
          <w:rFonts w:ascii="Arial" w:cs="Arial" w:eastAsia="Arial" w:hAnsi="Arial"/>
          <w:sz w:val="17"/>
          <w:szCs w:val="17"/>
          <w:color w:val="auto"/>
        </w:rPr>
        <w:t xml:space="preserve"> (the “DGPCIE”), of the </w:t>
      </w:r>
      <w:r>
        <w:rPr>
          <w:rFonts w:ascii="Arial" w:cs="Arial" w:eastAsia="Arial" w:hAnsi="Arial"/>
          <w:sz w:val="17"/>
          <w:szCs w:val="17"/>
          <w:i w:val="1"/>
          <w:iCs w:val="1"/>
          <w:color w:val="auto"/>
        </w:rPr>
        <w:t>Ministerio de Economia</w:t>
      </w:r>
      <w:r>
        <w:rPr>
          <w:rFonts w:ascii="Arial" w:cs="Arial" w:eastAsia="Arial" w:hAnsi="Arial"/>
          <w:sz w:val="17"/>
          <w:szCs w:val="17"/>
          <w:color w:val="auto"/>
        </w:rPr>
        <w:t>. If Participant purchases the Shares through the use of a Spanish financial institution, that institution will automatically make the declaration to the DGPCIE for Participant. Otherwise, Participant must make the declaration by filing the appropriate form with the DGPCIE. In addition, Participant must also file a declaration of the ownership of the securities with the Directorate of Foreign Transactions each January while the Shares are owned.</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receiving foreign currency payments derived from the ownership of Shares (</w:t>
      </w:r>
      <w:r>
        <w:rPr>
          <w:rFonts w:ascii="Arial" w:cs="Arial" w:eastAsia="Arial" w:hAnsi="Arial"/>
          <w:sz w:val="16"/>
          <w:szCs w:val="16"/>
          <w:i w:val="1"/>
          <w:iCs w:val="1"/>
          <w:color w:val="auto"/>
        </w:rPr>
        <w:t>i.e.,</w:t>
      </w:r>
      <w:r>
        <w:rPr>
          <w:rFonts w:ascii="Arial" w:cs="Arial" w:eastAsia="Arial" w:hAnsi="Arial"/>
          <w:sz w:val="16"/>
          <w:szCs w:val="16"/>
          <w:color w:val="auto"/>
        </w:rPr>
        <w:t xml:space="preserve"> as a result of the sale of the Shares), Participant must inform the financial institution receiving the payment of the basis upon which such payment is made. Participant will likely need to provide the institution with the following information: (i) Participant's name, address, and fiscal identification number; (ii) the name and corporate domicile of the Company; (iii) the amount of the payment; (iv) the currency used; (v) the country of origin; (vi) the reasons for the payment; and (vii) any additional information that may be required.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Participant wishes to import the ownership title of the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share certificates) into Spain, Participant must declare the importation of such securities to the DGPCIE.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Sweden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country-specific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Notwithstanding any provision to the contrary in the Award Agreement, due to restrictions in Switzerland, when Participant exercises the Option, Participant must use a “cashless sell-all” exercise pursuant to which he or she delivers irrevocable instructions to the broker to sell all Shares to which Participant is entitled at exercise and remit the proceeds from sale, less any Tax-Related Items and brokerage fees, to Participant in cash. The Company reserves the right to provide Participant with additional methods of paying the Exercise Price depending upon the development of local laws.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Taiwan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offer of the Option and the Shares to be issued pursuant to the Plan is available only for employees of the Company and its Subsidiaries. It is not a public offer of securities by a Taiwanese company; therefore, it is exempt from registration in Taiwan.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may acquire foreign currency and remit the same out of Taiwan, up to US$5 million per year without justification. When remitting funds for the purchase of Shares pursuant to the Plan, such remittances should be made through an authorized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19" w:name="page120"/>
    <w:bookmarkEnd w:id="119"/>
    <w:p>
      <w:pPr>
        <w:jc w:val="both"/>
        <w:spacing w:after="0" w:line="264" w:lineRule="auto"/>
        <w:rPr>
          <w:sz w:val="20"/>
          <w:szCs w:val="20"/>
          <w:color w:val="auto"/>
        </w:rPr>
      </w:pPr>
      <w:r>
        <w:rPr>
          <w:rFonts w:ascii="Arial" w:cs="Arial" w:eastAsia="Arial" w:hAnsi="Arial"/>
          <w:sz w:val="18"/>
          <w:szCs w:val="18"/>
          <w:color w:val="auto"/>
        </w:rPr>
        <w:t>foreign exchange bank. In addition, if Participant remits TWD$500,000 or more in a single transaction, Participant must submit a Foreign Exchange Transaction Form to the remitting bank. If the transaction amount is US$500,000 or more in a single transaction, Participant must also provide supporting documentation to the satisfaction of the remitting bank.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Thailand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Participant's responsibility to comply with all exchange control regulations in Thailand. If Participant exercises the Option with cash, Participant may apply directly to a commercial bank in Thailand for approval to remit up to US$1,000,000 per year for the purchase of Shares. If Participant exercises the Option by way of a cashless method of exercise, no application to a commercial bank is required. In addition, Participant is required to immediately repatriate the proceeds from the sale of the Shares acquired pursuant to the exercise of the Option to Thailand. Within the next 360 days after the repatriation date, Participant must deposit the sale proceeds into a foreign currency deposit account or convert them to local currency. If the amount of such sale proceeds is equal to or greater than US$20,000, Participant must specifically report the inward remittance to the Bank of Thailand on a Foreign Exchange Transaction Form through the bank at which Participant deposits or converts the sale proceeds.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Turkey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 Control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 control regulations require Turkish residents to purchase Shares through intermediary financial institutions that are approved under the Capital Market Law (</w:t>
      </w:r>
      <w:r>
        <w:rPr>
          <w:rFonts w:ascii="Arial" w:cs="Arial" w:eastAsia="Arial" w:hAnsi="Arial"/>
          <w:sz w:val="18"/>
          <w:szCs w:val="18"/>
          <w:i w:val="1"/>
          <w:iCs w:val="1"/>
          <w:color w:val="auto"/>
        </w:rPr>
        <w:t>i.e.</w:t>
      </w:r>
      <w:r>
        <w:rPr>
          <w:rFonts w:ascii="Arial" w:cs="Arial" w:eastAsia="Arial" w:hAnsi="Arial"/>
          <w:sz w:val="18"/>
          <w:szCs w:val="18"/>
          <w:color w:val="auto"/>
        </w:rPr>
        <w:t>, banks licensed in Turkey). Therefore, if Participant uses cash to exercise the Option, the funds must be remitted through a bank or other financial institution licensed in Turkey. A wire transfer of funds by a Turkish bank will satisfy this requirement. This requirement does not apply to cashless exercises, as no funds leave Turkey.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Arab Emirates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 is only being offered to eligible Service Providers and is in the nature of providing equity incentives to eligible Service Providers of the Company's Subsidiary in the United Arab Emirates.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Joint Election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condition of participation in the Plan and the exercise of the Option, Participant agrees to accept any liability for secondary Class 1 national insurance contributions that may be payable by the Company and/or the Employer in connection with the Option and any event giving rise to Tax-Related Items (the “Employer NICs”). Without prejudice to the foregoing, Participant agrees to execute a joint election with the Company, the form of such joint election being formally approved by Her Majesty's Revenue &amp; Customs (“HMRC”) (the “Joint Election”), and any other required consent or election. Participant further agrees to execute such other joint elections as may be required between him or her and any successor to the Company and/or the Employer. Participant further agrees that the Company and/or the Employer may collect the Employer NICs from him or her by any of the means set forth in “Responsibility for Taxes” section of the Terms and Conditions of Stock Option Grant.</w:t>
      </w:r>
    </w:p>
    <w:p>
      <w:pPr>
        <w:spacing w:after="0" w:line="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Participant does not enter into a Joint Election prior to exercise of the Option, he or she will not be entitled to exercise the Option unless and until he or she enters into a Joint Election and no Shares will be issued to Participant under the Plan, without any liability to the Company and/or the Employer.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Obligations/Withholding Authorization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section supplements the “Responsibility for Taxes” section of the Terms and Conditions of Stock Option Grant.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payment or withholding of the Tax-Related Items (including the Employer NICs) is not made within ninety (90) days of the event giving rise to the Tax-Related Items or such other period specified in Section 222(1)(c) of the U.K. Income Tax (Earnings and Pensions) Act 2003 (the “Due Date”), the amount of any uncollected Tax-Related Items shall constitute a loan owed by Participant to the Employer, effective as of the Due Date. Participant agrees that the loan will bear interest at the then-current official rate of HMRC, it shall be immediately due and repayable, and the Company or the Employer may recover it at any time thereafter by any of the means referred to in the “Responsibility for Taxes” section of the Terms and Conditions of Stock Option Grant. Notwithstanding the foregoing, if Participant is a director or executive officer of the Company (within the meaning of Section 13(k) of the U.S. Securities and Exchange Act of 1934, as amended), he or she shall not be eligible for a loan from the Company to cover the Tax-Related Items. In the event that Participant is a director or executive officer and Tax-Related Items are not collected from or paid by him or her by the Due Date, the amount of any uncollected Tax-Related Items will constitute a benefit to Participant on which additional income tax and NICs (including the Employer NICs) will be payable. Participant will be responsible for reporting any income tax and NICs (including the Employer NICs) due on this additional benefit directly to HMRC under the self-assessment regime.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92" w:right="239" w:bottom="1440" w:gutter="0" w:footer="0" w:header="0"/>
        </w:sectPr>
      </w:pPr>
    </w:p>
    <w:bookmarkStart w:id="120" w:name="page121"/>
    <w:bookmarkEnd w:id="120"/>
    <w:p>
      <w:pPr>
        <w:spacing w:after="0" w:line="342" w:lineRule="auto"/>
        <w:rPr>
          <w:sz w:val="20"/>
          <w:szCs w:val="20"/>
          <w:color w:val="auto"/>
        </w:rPr>
      </w:pPr>
      <w:r>
        <w:rPr>
          <w:rFonts w:ascii="Arial" w:cs="Arial" w:eastAsia="Arial" w:hAnsi="Arial"/>
          <w:sz w:val="16"/>
          <w:szCs w:val="16"/>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00"/>
          </w:cols>
          <w:pgMar w:left="240" w:top="692"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4907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8859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EQUITY INCENTIVE PLAN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1090 Kifer Road, Sunnyvale, CA 94086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Administration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shares (the “Shares”) of the Common Stock of Fortinet, Inc. (the “Company”) under and pursuant to the 2009 Equity Incentive Plan (the “Plan”) and the Stock Option Award Agreement dated ________ (the “Award Agreement”). The purchase price for the Shares will be $_____________, as required by the Award Agreement.</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of the Shares and any required Tax-Related Items to be paid in connection with the exercise of the Option.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Plan and the Award Agreement and agrees to abide by and be bound by their terms and conditions.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Purchaser understands that Purchaser may suffer adverse tax or financial consequences as a result of Purchaser's purchase or disposition of the Shares. Further, the Company is not providing any tax, legal, or financial advice, nor is the Company making any recommendations regarding Purchaser's participation in the Plan or Purchaser's acquisition or sale of the underlying Shares. Purchaser represents that Purchaser has consulted with any tax, legal, or financial consultants Purchaser deems advisable in connection with the purchase or disposition of the Shares, and that Purchaser is not relying on the Company for any such advice.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California.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Submitted by:</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Accepted by:</w:t>
            </w:r>
          </w:p>
        </w:tc>
      </w:tr>
      <w:tr>
        <w:trPr>
          <w:trHeight w:val="459"/>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PURCHASER:</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FORTINET, Inc</w:t>
            </w:r>
          </w:p>
        </w:tc>
      </w:tr>
      <w:tr>
        <w:trPr>
          <w:trHeight w:val="351"/>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Signature</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By</w:t>
            </w:r>
          </w:p>
        </w:tc>
      </w:tr>
      <w:tr>
        <w:trPr>
          <w:trHeight w:val="351"/>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Print Name</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Title</w:t>
            </w:r>
          </w:p>
        </w:tc>
      </w:tr>
      <w:tr>
        <w:trPr>
          <w:trHeight w:val="554"/>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Address: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72"/>
        </w:trPr>
        <w:tc>
          <w:tcPr>
            <w:tcW w:w="40" w:type="dxa"/>
            <w:vAlign w:val="bottom"/>
            <w:tcBorders>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18"/>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Date Received</w:t>
            </w:r>
          </w:p>
        </w:tc>
      </w:tr>
      <w:tr>
        <w:trPr>
          <w:trHeight w:val="486"/>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40" w:type="dxa"/>
            <w:vAlign w:val="bottom"/>
            <w:gridSpan w:val="3"/>
          </w:tcPr>
          <w:p>
            <w:pPr>
              <w:jc w:val="right"/>
              <w:ind w:right="5530"/>
              <w:spacing w:after="0"/>
              <w:rPr>
                <w:sz w:val="20"/>
                <w:szCs w:val="20"/>
                <w:color w:val="auto"/>
              </w:rPr>
            </w:pPr>
            <w:r>
              <w:rPr>
                <w:rFonts w:ascii="Arial" w:cs="Arial" w:eastAsia="Arial" w:hAnsi="Arial"/>
                <w:sz w:val="18"/>
                <w:szCs w:val="18"/>
                <w:color w:val="auto"/>
              </w:rPr>
              <w:t>20</w:t>
            </w:r>
          </w:p>
        </w:tc>
      </w:tr>
      <w:tr>
        <w:trPr>
          <w:trHeight w:val="43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40" w:type="dxa"/>
            <w:vAlign w:val="bottom"/>
            <w:gridSpan w:val="3"/>
          </w:tcPr>
          <w:p>
            <w:pPr>
              <w:jc w:val="right"/>
              <w:ind w:right="4890"/>
              <w:spacing w:after="0"/>
              <w:rPr>
                <w:sz w:val="20"/>
                <w:szCs w:val="20"/>
                <w:color w:val="auto"/>
              </w:rPr>
            </w:pPr>
            <w:r>
              <w:rPr>
                <w:rFonts w:ascii="Arial" w:cs="Arial" w:eastAsia="Arial" w:hAnsi="Arial"/>
                <w:sz w:val="18"/>
                <w:szCs w:val="18"/>
                <w:color w:val="auto"/>
              </w:rPr>
              <w:t>GESDMS/6544036.12</w:t>
            </w:r>
          </w:p>
        </w:tc>
      </w:tr>
    </w:tbl>
    <w:p>
      <w:pPr>
        <w:sectPr>
          <w:pgSz w:w="11900" w:h="16838" w:orient="portrait"/>
          <w:cols w:equalWidth="0" w:num="1">
            <w:col w:w="11420"/>
          </w:cols>
          <w:pgMar w:left="240" w:top="1094"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2009 EQUITY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OPTIONEES IN FRANCE</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defined herein, the terms defined in the Fortinet, Inc. 2009 Equity Incentive Plan (the “U.S. Plan”) and the Rules of the Fortinet, Inc. 2009 Equity Incentive Plan for the Grant of Stock Options to Optionees in France (the “French Plan,” and in conjunction with the U.S. Plan, the “Plan”) will have the same defined meanings in this Stock Option Award Agreement for Optionees in France (the “Award Agreement”). To the extent that any term is defined in both the U.S. Plan and the French Plan, for purposes of this grant of a French-qualified Option, the definitions in the French Plan shall prevail.</w:t>
      </w:r>
    </w:p>
    <w:p>
      <w:pPr>
        <w:spacing w:after="0" w:line="42" w:lineRule="exact"/>
        <w:rPr>
          <w:sz w:val="20"/>
          <w:szCs w:val="20"/>
          <w:color w:val="auto"/>
        </w:rPr>
      </w:pPr>
    </w:p>
    <w:p>
      <w:pPr>
        <w:ind w:left="840" w:right="7920" w:hanging="832"/>
        <w:spacing w:after="0" w:line="470" w:lineRule="auto"/>
        <w:tabs>
          <w:tab w:leader="none" w:pos="36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NOTICE OF STOCK OPTION GRANT </w:t>
      </w:r>
      <w:r>
        <w:rPr>
          <w:rFonts w:ascii="Arial" w:cs="Arial" w:eastAsia="Arial" w:hAnsi="Arial"/>
          <w:sz w:val="18"/>
          <w:szCs w:val="18"/>
          <w:b w:val="1"/>
          <w:bCs w:val="1"/>
          <w:color w:val="auto"/>
        </w:rPr>
        <w:t>Optionee Name:</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Address: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have been granted an Option to purchase Common Stock of Fortinet, Inc. (the “Company”), subject to the terms and conditions of the Plan and this Award Agreement,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Grant Number:</w:t>
            </w:r>
          </w:p>
        </w:tc>
        <w:tc>
          <w:tcPr>
            <w:tcW w:w="6240" w:type="dxa"/>
            <w:vAlign w:val="bottom"/>
          </w:tcPr>
          <w:p>
            <w:pPr>
              <w:spacing w:after="0"/>
              <w:rPr>
                <w:sz w:val="20"/>
                <w:szCs w:val="20"/>
                <w:color w:val="auto"/>
              </w:rPr>
            </w:pP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Date of Grant:</w:t>
            </w:r>
          </w:p>
        </w:tc>
        <w:tc>
          <w:tcPr>
            <w:tcW w:w="6240" w:type="dxa"/>
            <w:vAlign w:val="bottom"/>
          </w:tcPr>
          <w:p>
            <w:pPr>
              <w:spacing w:after="0"/>
              <w:rPr>
                <w:sz w:val="23"/>
                <w:szCs w:val="23"/>
                <w:color w:val="auto"/>
              </w:rPr>
            </w:pP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Vesting Commencement Date:</w:t>
            </w:r>
          </w:p>
        </w:tc>
        <w:tc>
          <w:tcPr>
            <w:tcW w:w="6240" w:type="dxa"/>
            <w:vAlign w:val="bottom"/>
          </w:tcPr>
          <w:p>
            <w:pPr>
              <w:spacing w:after="0"/>
              <w:rPr>
                <w:sz w:val="23"/>
                <w:szCs w:val="23"/>
                <w:color w:val="auto"/>
              </w:rPr>
            </w:pP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Exercise Price per share:</w:t>
            </w:r>
          </w:p>
        </w:tc>
        <w:tc>
          <w:tcPr>
            <w:tcW w:w="6240" w:type="dxa"/>
            <w:vAlign w:val="bottom"/>
          </w:tcPr>
          <w:p>
            <w:pPr>
              <w:spacing w:after="0"/>
              <w:rPr>
                <w:sz w:val="23"/>
                <w:szCs w:val="23"/>
                <w:color w:val="auto"/>
              </w:rPr>
            </w:pP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Total Number of Shares Granted:</w:t>
            </w:r>
          </w:p>
        </w:tc>
        <w:tc>
          <w:tcPr>
            <w:tcW w:w="6240" w:type="dxa"/>
            <w:vAlign w:val="bottom"/>
          </w:tcPr>
          <w:p>
            <w:pPr>
              <w:spacing w:after="0"/>
              <w:rPr>
                <w:sz w:val="23"/>
                <w:szCs w:val="23"/>
                <w:color w:val="auto"/>
              </w:rPr>
            </w:pP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Total Exercise Price:</w:t>
            </w:r>
          </w:p>
        </w:tc>
        <w:tc>
          <w:tcPr>
            <w:tcW w:w="6240" w:type="dxa"/>
            <w:vAlign w:val="bottom"/>
          </w:tcPr>
          <w:p>
            <w:pPr>
              <w:spacing w:after="0"/>
              <w:rPr>
                <w:sz w:val="23"/>
                <w:szCs w:val="23"/>
                <w:color w:val="auto"/>
              </w:rPr>
            </w:pPr>
          </w:p>
        </w:tc>
      </w:tr>
      <w:tr>
        <w:trPr>
          <w:trHeight w:val="256"/>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240" w:type="dxa"/>
            <w:vAlign w:val="bottom"/>
          </w:tcPr>
          <w:p>
            <w:pPr>
              <w:ind w:left="1480"/>
              <w:spacing w:after="0"/>
              <w:rPr>
                <w:sz w:val="20"/>
                <w:szCs w:val="20"/>
                <w:color w:val="auto"/>
              </w:rPr>
            </w:pPr>
            <w:r>
              <w:rPr>
                <w:rFonts w:ascii="Arial" w:cs="Arial" w:eastAsia="Arial" w:hAnsi="Arial"/>
                <w:sz w:val="18"/>
                <w:szCs w:val="18"/>
                <w:color w:val="auto"/>
                <w:w w:val="92"/>
              </w:rPr>
              <w:t>Stock Option intending to comply with the requirements to obtain</w:t>
            </w:r>
          </w:p>
        </w:tc>
      </w:tr>
      <w:tr>
        <w:trPr>
          <w:trHeight w:val="23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Type of Option:</w:t>
            </w:r>
          </w:p>
        </w:tc>
        <w:tc>
          <w:tcPr>
            <w:tcW w:w="6240" w:type="dxa"/>
            <w:vAlign w:val="bottom"/>
          </w:tcPr>
          <w:p>
            <w:pPr>
              <w:ind w:left="1480"/>
              <w:spacing w:after="0"/>
              <w:rPr>
                <w:sz w:val="20"/>
                <w:szCs w:val="20"/>
                <w:color w:val="auto"/>
              </w:rPr>
            </w:pPr>
            <w:r>
              <w:rPr>
                <w:rFonts w:ascii="Arial" w:cs="Arial" w:eastAsia="Arial" w:hAnsi="Arial"/>
                <w:sz w:val="18"/>
                <w:szCs w:val="18"/>
                <w:color w:val="auto"/>
              </w:rPr>
              <w:t>favorable French tax treatment</w:t>
            </w: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Term/Expiration Date:</w:t>
            </w:r>
          </w:p>
        </w:tc>
        <w:tc>
          <w:tcPr>
            <w:tcW w:w="6240" w:type="dxa"/>
            <w:vAlign w:val="bottom"/>
          </w:tcPr>
          <w:p>
            <w:pPr>
              <w:spacing w:after="0"/>
              <w:rPr>
                <w:sz w:val="23"/>
                <w:szCs w:val="23"/>
                <w:color w:val="auto"/>
              </w:rPr>
            </w:pPr>
          </w:p>
        </w:tc>
      </w:tr>
      <w:tr>
        <w:trPr>
          <w:trHeight w:val="419"/>
        </w:trPr>
        <w:tc>
          <w:tcPr>
            <w:tcW w:w="4060" w:type="dxa"/>
            <w:vAlign w:val="bottom"/>
            <w:gridSpan w:val="2"/>
          </w:tcPr>
          <w:p>
            <w:pPr>
              <w:spacing w:after="0"/>
              <w:rPr>
                <w:sz w:val="20"/>
                <w:szCs w:val="20"/>
                <w:color w:val="auto"/>
              </w:rPr>
            </w:pPr>
            <w:r>
              <w:rPr>
                <w:rFonts w:ascii="Arial" w:cs="Arial" w:eastAsia="Arial" w:hAnsi="Arial"/>
                <w:sz w:val="18"/>
                <w:szCs w:val="18"/>
                <w:color w:val="auto"/>
              </w:rPr>
              <w:t>Sale Restriction:</w:t>
            </w:r>
          </w:p>
        </w:tc>
        <w:tc>
          <w:tcPr>
            <w:tcW w:w="624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Shares issued upon exercise of this Option may not be sold or otherwise transferred until the fourth (4th) anniversary of the Effective Grant Date (with a maximum restriction on sale of three (3) years from the date the Option is exercised) or such other date as may be required to comply with the applicable holding period for French-qualified Options, except as set out in the “Termination Period” provision below or as otherwise permitted under French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the Optionee is an Employee or corporate officer of the Company or any Parent or Subsidiary of the Company, this Option may be exercised, in whole or in part, in accordance with the following schedule, subject to any acceleration provisions contained in the Plan or set forth below:</w:t>
      </w:r>
    </w:p>
    <w:p>
      <w:pPr>
        <w:spacing w:after="0" w:line="305" w:lineRule="exact"/>
        <w:rPr>
          <w:sz w:val="20"/>
          <w:szCs w:val="20"/>
          <w:color w:val="auto"/>
        </w:rPr>
      </w:pPr>
    </w:p>
    <w:p>
      <w:pPr>
        <w:ind w:left="740"/>
        <w:spacing w:after="0"/>
        <w:tabs>
          <w:tab w:leader="none" w:pos="3900" w:val="left"/>
          <w:tab w:leader="none" w:pos="6520" w:val="left"/>
          <w:tab w:leader="none" w:pos="9420" w:val="left"/>
        </w:tabs>
        <w:rPr>
          <w:sz w:val="20"/>
          <w:szCs w:val="20"/>
          <w:color w:val="auto"/>
        </w:rPr>
      </w:pPr>
      <w:r>
        <w:rPr>
          <w:rFonts w:ascii="Arial" w:cs="Arial" w:eastAsia="Arial" w:hAnsi="Arial"/>
          <w:sz w:val="18"/>
          <w:szCs w:val="18"/>
          <w:b w:val="1"/>
          <w:bCs w:val="1"/>
          <w:u w:val="single" w:color="auto"/>
          <w:color w:val="auto"/>
        </w:rPr>
        <w:t>Shares Vesting</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8"/>
          <w:szCs w:val="18"/>
          <w:b w:val="1"/>
          <w:bCs w:val="1"/>
          <w:u w:val="single" w:color="auto"/>
          <w:color w:val="auto"/>
        </w:rPr>
        <w:t>Vest Type</w:t>
      </w:r>
      <w:r>
        <w:rPr>
          <w:sz w:val="20"/>
          <w:szCs w:val="20"/>
          <w:color w:val="auto"/>
        </w:rPr>
        <w:tab/>
      </w:r>
      <w:r>
        <w:rPr>
          <w:rFonts w:ascii="Arial" w:cs="Arial" w:eastAsia="Arial" w:hAnsi="Arial"/>
          <w:sz w:val="18"/>
          <w:szCs w:val="18"/>
          <w:b w:val="1"/>
          <w:bCs w:val="1"/>
          <w:u w:val="single" w:color="auto"/>
          <w:color w:val="auto"/>
        </w:rPr>
        <w:t>Begin Vest Date</w:t>
      </w:r>
      <w:r>
        <w:rPr>
          <w:sz w:val="20"/>
          <w:szCs w:val="20"/>
          <w:color w:val="auto"/>
        </w:rPr>
        <w:tab/>
      </w:r>
      <w:r>
        <w:rPr>
          <w:rFonts w:ascii="Arial" w:cs="Arial" w:eastAsia="Arial" w:hAnsi="Arial"/>
          <w:sz w:val="16"/>
          <w:szCs w:val="16"/>
          <w:b w:val="1"/>
          <w:bCs w:val="1"/>
          <w:u w:val="single" w:color="auto"/>
          <w:color w:val="auto"/>
        </w:rPr>
        <w:t>End 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Arial" w:cs="Arial" w:eastAsia="Arial" w:hAnsi="Arial"/>
                <w:sz w:val="18"/>
                <w:szCs w:val="18"/>
                <w:color w:val="FFFFFF"/>
              </w:rPr>
              <w:t>—</w:t>
            </w:r>
          </w:p>
        </w:tc>
        <w:tc>
          <w:tcPr>
            <w:tcW w:w="3300" w:type="dxa"/>
            <w:vAlign w:val="bottom"/>
          </w:tcPr>
          <w:p>
            <w:pPr>
              <w:jc w:val="right"/>
              <w:spacing w:after="0"/>
              <w:rPr>
                <w:sz w:val="20"/>
                <w:szCs w:val="20"/>
                <w:color w:val="auto"/>
              </w:rPr>
            </w:pPr>
            <w:r>
              <w:rPr>
                <w:rFonts w:ascii="Arial" w:cs="Arial" w:eastAsia="Arial" w:hAnsi="Arial"/>
                <w:sz w:val="18"/>
                <w:szCs w:val="18"/>
                <w:color w:val="FFFFFF"/>
              </w:rPr>
              <w:t>10/11/2014</w:t>
            </w:r>
          </w:p>
        </w:tc>
      </w:tr>
    </w:tbl>
    <w:p>
      <w:pPr>
        <w:spacing w:after="0" w:line="40" w:lineRule="exact"/>
        <w:rPr>
          <w:sz w:val="20"/>
          <w:szCs w:val="20"/>
          <w:color w:val="auto"/>
        </w:rPr>
      </w:pPr>
    </w:p>
    <w:p>
      <w:pPr>
        <w:ind w:left="2560"/>
        <w:spacing w:after="0"/>
        <w:rPr>
          <w:sz w:val="20"/>
          <w:szCs w:val="20"/>
          <w:color w:val="auto"/>
        </w:rPr>
      </w:pPr>
      <w:r>
        <w:rPr>
          <w:rFonts w:ascii="Arial" w:cs="Arial" w:eastAsia="Arial" w:hAnsi="Arial"/>
          <w:sz w:val="18"/>
          <w:szCs w:val="18"/>
          <w:color w:val="FFFFFF"/>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Total shares vesting from “Begin Vest Date” to “End Vest Date.”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Regardless of any provisions to the contrary in this Award Agreement or in the Plan, no Shares subject to the Option shall vest until the first anniversary date of the Effective Grant Date (the “Anniversary Date”), except in the event of death of the Optionee.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580"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u w:val="single" w:color="auto"/>
          <w:color w:val="auto"/>
        </w:rPr>
        <w:t>Termination Period</w:t>
      </w:r>
      <w:r>
        <w:rPr>
          <w:rFonts w:ascii="Arial" w:cs="Arial" w:eastAsia="Arial" w:hAnsi="Arial"/>
          <w:sz w:val="18"/>
          <w:szCs w:val="18"/>
          <w:color w:val="auto"/>
        </w:rPr>
        <w:t>:</w:t>
      </w:r>
    </w:p>
    <w:p>
      <w:pPr>
        <w:spacing w:after="0" w:line="90" w:lineRule="exact"/>
        <w:rPr>
          <w:sz w:val="20"/>
          <w:szCs w:val="20"/>
          <w:color w:val="auto"/>
        </w:rPr>
      </w:pPr>
    </w:p>
    <w:p>
      <w:pPr>
        <w:jc w:val="both"/>
        <w:ind w:firstLine="1305"/>
        <w:spacing w:after="0" w:line="340" w:lineRule="auto"/>
        <w:tabs>
          <w:tab w:leader="none" w:pos="214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Option may be exercised, to the extent it is then vested, for up to three months after the Optionee ceases to be an Employee or a corporate officer of the Company or any Parent or Subsidiary of the Company. The restriction on the sale of Shares described in Section 6 of this Award Agreement will continue to apply even in case of termination of the Optionee unless the termination is due to dismissal or forced retirement according to the conditions of Section 91 ter of the Annex II of the French tax Code and as construed by the applicable guidelines. Notwithstanding the foregoing, upon death of the Optionee, this Option may be exercised in accordance with Section 7 of the French Plan. In the event the Optionee ceases to be an Employee or a corporate officer of the Company or any Parent or Subsidiary by reason of Disability (as defined under the French Plan), this Option may be exercised, to the extent it is then vested, for up to one year after the Optionee ceases to be an Employee or a corporate officer. Further, should the Optionee cease to be an Employee or a corporate officer of the Company or any Parent or Subsidiary by reason of death or Disability (as defined under the French Plan), the restriction on the sale of Shares described in Section 6 of the Award Agreement will not apply to the Shares acquired upon exercise of the Option, provided all required conditions are satisfied. In no event shall this Option be exercised after the Term/Expiration Date as provided above, except in the event of the Optionee's death. In the event of death, Optionee's heirs or beneficiaries will have six (6) months to exercise the Option.</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the Optionee's signature and the signature of the Company's representative below, the Optionee and the Company agree that this Option is granted under and governed by the terms and conditions of the Plan, including the French Plan, and this Award Agreement, including the Terms and Conditions of Stock Option Grant for Optionees in France attached hereto as Exhibit A, all of which are made a part of this document. The Optionee has reviewed the Plan and this Award Agreement in their entirety, has had an opportunity to obtain the advice of counsel prior to executing this Award Agreement and fully understands all provisions of the Plan and Award Agreement. The Optionee hereby agrees to accept as binding, conclusive, and final all decisions or interpretations of the Administrator upon any questions relating to the Plan and Award Agreement. The Optionee further agrees to notify the Company upon any change in the residence address indicated below.</w:t>
      </w:r>
    </w:p>
    <w:p>
      <w:pPr>
        <w:spacing w:after="0" w:line="135"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OPTIONEE:</w:t>
      </w:r>
      <w:r>
        <w:rPr>
          <w:sz w:val="20"/>
          <w:szCs w:val="20"/>
          <w:color w:val="auto"/>
        </w:rPr>
        <w:tab/>
      </w:r>
      <w:r>
        <w:rPr>
          <w:rFonts w:ascii="Arial" w:cs="Arial" w:eastAsia="Arial" w:hAnsi="Arial"/>
          <w:sz w:val="18"/>
          <w:szCs w:val="18"/>
          <w:color w:val="auto"/>
        </w:rPr>
        <w:t>FORTINET,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1310005</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38"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STOCK OPTION GRANT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OPTIONEES IN FRANCE</w:t>
      </w:r>
    </w:p>
    <w:p>
      <w:pPr>
        <w:spacing w:after="0" w:line="22" w:lineRule="exact"/>
        <w:rPr>
          <w:sz w:val="20"/>
          <w:szCs w:val="20"/>
          <w:color w:val="auto"/>
        </w:rPr>
      </w:pPr>
    </w:p>
    <w:p>
      <w:pPr>
        <w:jc w:val="both"/>
        <w:ind w:firstLine="656"/>
        <w:spacing w:after="0" w:line="344" w:lineRule="auto"/>
        <w:tabs>
          <w:tab w:leader="none" w:pos="143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the individual named in the Notice of Grant attached as Part I of this Award Agreement (the “Optionee”), as of the Effective Grant Date, an option (the “Option”) to purchase the number of Shares, as set forth in the Notice of Grant, at the exercise price per Share set forth in the Notice of Grant (the “Exercise Price”), subject to all of the terms and conditions in this Award Agreement and the Plan (including the French Plan), which is incorporated herein by reference. Subject to Section 19 of the Plan, in the event of a conflict between the terms and conditions of the Plan and the terms and conditions of this Award Agreement, the terms and conditions of the Plan will prevail. The Optionee understands and agrees that the Option is offered subject to and in accordance with the terms of the Plan (which includes the U.S. Plan and the French Plan), and the Optionee further agrees to be bound by the terms of the Plan and the terms of the Option as set forth in this Award Agreement.</w:t>
      </w:r>
    </w:p>
    <w:p>
      <w:pPr>
        <w:spacing w:after="0" w:line="13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This Option is intended to be a French-qualified Option that qualifies for the favorable tax and social security regime in France, as set forth in the French Plan. Certain events may affect the status of the Option as a French-qualified Option, and the Option may be disqualified in the future. The Company does not make any undertakings or representation to maintain the qualified status of the French-qualified Option during the life of the Option, and the Optionee will not be entitled to any damages if the Option no longer qualifies as a French-qualified Option.</w:t>
      </w:r>
    </w:p>
    <w:p>
      <w:pPr>
        <w:spacing w:after="0" w:line="198" w:lineRule="exact"/>
        <w:rPr>
          <w:sz w:val="20"/>
          <w:szCs w:val="20"/>
          <w:color w:val="auto"/>
        </w:rPr>
      </w:pPr>
    </w:p>
    <w:p>
      <w:pPr>
        <w:jc w:val="both"/>
        <w:ind w:firstLine="656"/>
        <w:spacing w:after="0" w:line="306" w:lineRule="auto"/>
        <w:tabs>
          <w:tab w:leader="none" w:pos="143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the Optionee in accordance with any of the provisions of this Award Agreement, unless the Optionee will have been continuously an Employee or a corporate officer from the Effective Date of Grant until the date such vesting occurs.</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43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81" w:lineRule="exact"/>
        <w:rPr>
          <w:rFonts w:ascii="Arial" w:cs="Arial" w:eastAsia="Arial" w:hAnsi="Arial"/>
          <w:sz w:val="18"/>
          <w:szCs w:val="18"/>
          <w:color w:val="auto"/>
        </w:rPr>
      </w:pPr>
    </w:p>
    <w:p>
      <w:pPr>
        <w:ind w:left="1440" w:hanging="784"/>
        <w:spacing w:after="0"/>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p>
    <w:p>
      <w:pPr>
        <w:spacing w:after="0" w:line="238" w:lineRule="exact"/>
        <w:rPr>
          <w:rFonts w:ascii="Arial" w:cs="Arial" w:eastAsia="Arial" w:hAnsi="Arial"/>
          <w:sz w:val="18"/>
          <w:szCs w:val="18"/>
          <w:color w:val="auto"/>
        </w:rPr>
      </w:pPr>
    </w:p>
    <w:p>
      <w:pPr>
        <w:ind w:firstLine="1305"/>
        <w:spacing w:after="0" w:line="277" w:lineRule="auto"/>
        <w:tabs>
          <w:tab w:leader="none" w:pos="1676"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may be exercised only within the term set out in the Notice of Grant, and may be exercised during such term only in accordance with the Plan and the terms of this Award Agreement.</w:t>
      </w:r>
    </w:p>
    <w:p>
      <w:pPr>
        <w:spacing w:after="0" w:line="170" w:lineRule="exact"/>
        <w:rPr>
          <w:rFonts w:ascii="Arial" w:cs="Arial" w:eastAsia="Arial" w:hAnsi="Arial"/>
          <w:sz w:val="18"/>
          <w:szCs w:val="18"/>
          <w:color w:val="auto"/>
        </w:rPr>
      </w:pPr>
    </w:p>
    <w:p>
      <w:pPr>
        <w:jc w:val="both"/>
        <w:ind w:firstLine="1305"/>
        <w:spacing w:after="0" w:line="293" w:lineRule="auto"/>
        <w:tabs>
          <w:tab w:leader="none" w:pos="174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is exercisable by delivery of an exercise notice,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“Exercise Notice”)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the Optionee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91" w:lineRule="exact"/>
        <w:rPr>
          <w:rFonts w:ascii="Arial" w:cs="Arial" w:eastAsia="Arial" w:hAnsi="Arial"/>
          <w:sz w:val="16"/>
          <w:szCs w:val="16"/>
          <w:color w:val="auto"/>
        </w:rPr>
      </w:pPr>
    </w:p>
    <w:p>
      <w:pPr>
        <w:ind w:left="1440" w:hanging="784"/>
        <w:spacing w:after="0"/>
        <w:tabs>
          <w:tab w:leader="none" w:pos="144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will be by any of the following, or a combination thereof, at the election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Optionee.</w:t>
      </w:r>
    </w:p>
    <w:p>
      <w:pPr>
        <w:spacing w:after="0" w:line="23" w:lineRule="exact"/>
        <w:rPr>
          <w:rFonts w:ascii="Arial" w:cs="Arial" w:eastAsia="Arial" w:hAnsi="Arial"/>
          <w:sz w:val="16"/>
          <w:szCs w:val="16"/>
          <w:color w:val="auto"/>
        </w:rPr>
      </w:pPr>
    </w:p>
    <w:p>
      <w:pPr>
        <w:ind w:left="1680" w:hanging="375"/>
        <w:spacing w:after="0"/>
        <w:tabs>
          <w:tab w:leader="none" w:pos="1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cash;</w:t>
      </w:r>
    </w:p>
    <w:p>
      <w:pPr>
        <w:spacing w:after="0" w:line="224" w:lineRule="exact"/>
        <w:rPr>
          <w:rFonts w:ascii="Arial" w:cs="Arial" w:eastAsia="Arial" w:hAnsi="Arial"/>
          <w:sz w:val="18"/>
          <w:szCs w:val="18"/>
          <w:color w:val="auto"/>
        </w:rPr>
      </w:pPr>
    </w:p>
    <w:p>
      <w:pPr>
        <w:ind w:left="1700" w:hanging="395"/>
        <w:spacing w:after="0"/>
        <w:tabs>
          <w:tab w:leader="none" w:pos="1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check;</w:t>
      </w:r>
    </w:p>
    <w:p>
      <w:pPr>
        <w:spacing w:after="0" w:line="225" w:lineRule="exact"/>
        <w:rPr>
          <w:rFonts w:ascii="Arial" w:cs="Arial" w:eastAsia="Arial" w:hAnsi="Arial"/>
          <w:sz w:val="18"/>
          <w:szCs w:val="18"/>
          <w:color w:val="auto"/>
        </w:rPr>
      </w:pPr>
    </w:p>
    <w:p>
      <w:pPr>
        <w:ind w:right="20" w:firstLine="1305"/>
        <w:spacing w:after="0" w:line="308" w:lineRule="auto"/>
        <w:tabs>
          <w:tab w:leader="none" w:pos="1738" w:val="left"/>
        </w:tabs>
        <w:numPr>
          <w:ilvl w:val="1"/>
          <w:numId w:val="59"/>
        </w:numPr>
        <w:rPr>
          <w:rFonts w:ascii="Arial" w:cs="Arial" w:eastAsia="Arial" w:hAnsi="Arial"/>
          <w:sz w:val="17"/>
          <w:szCs w:val="17"/>
          <w:color w:val="auto"/>
        </w:rPr>
      </w:pPr>
      <w:r>
        <w:rPr>
          <w:rFonts w:ascii="Arial" w:cs="Arial" w:eastAsia="Arial" w:hAnsi="Arial"/>
          <w:sz w:val="17"/>
          <w:szCs w:val="17"/>
          <w:color w:val="auto"/>
        </w:rPr>
        <w:t>consideration received by the Company under a formal cashless exercise program adopted by the Company in connection with the Plan if such exercise occurs after the Sale Restriction described in the “Restriction on Sale of Shares” section below is no longer applicable.</w:t>
      </w:r>
    </w:p>
    <w:p>
      <w:pPr>
        <w:spacing w:after="0" w:line="173" w:lineRule="exact"/>
        <w:rPr>
          <w:rFonts w:ascii="Arial" w:cs="Arial" w:eastAsia="Arial" w:hAnsi="Arial"/>
          <w:sz w:val="17"/>
          <w:szCs w:val="17"/>
          <w:color w:val="auto"/>
        </w:rPr>
      </w:pPr>
    </w:p>
    <w:p>
      <w:pPr>
        <w:ind w:left="1440" w:hanging="784"/>
        <w:spacing w:after="0"/>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Restriction on Sale of Shares</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259" w:lineRule="auto"/>
        <w:tabs>
          <w:tab w:leader="none" w:pos="10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After issuance of the Shares to the Optionee upon exercise of the Option, the Optionee will not be permitted to sell, transfer, or assign the Shares until the fourth (4th) anniversary of the Effective Grant Date, or such other date as is required to comply with the applicable compulsory holding period for French-qualified options set forth by Section 163 bis C of the French Tax Code. The restriction on the sale of Shares described in this “Restriction on Sale of Shares” section of the Award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580" w:right="239" w:bottom="1440" w:gutter="0" w:footer="0" w:header="0"/>
        </w:sectPr>
      </w:pPr>
    </w:p>
    <w:bookmarkStart w:id="125" w:name="page126"/>
    <w:bookmarkEnd w:id="125"/>
    <w:p>
      <w:pPr>
        <w:jc w:val="both"/>
        <w:spacing w:after="0" w:line="273" w:lineRule="auto"/>
        <w:rPr>
          <w:sz w:val="20"/>
          <w:szCs w:val="20"/>
          <w:color w:val="auto"/>
        </w:rPr>
      </w:pPr>
      <w:r>
        <w:rPr>
          <w:rFonts w:ascii="Arial" w:cs="Arial" w:eastAsia="Arial" w:hAnsi="Arial"/>
          <w:sz w:val="17"/>
          <w:szCs w:val="17"/>
          <w:color w:val="auto"/>
        </w:rPr>
        <w:t>Agreement will continue to apply even in case of termination of the Optionee unless the termination is due to death or Disability (as defined under the French Plan) of the Optionee or is due to dismissal or forced retirement according to the conditions set forth in Section 91 ter of the Annex II of the French tax Code and as construed by the applicable guidelines. In no event will the restriction on the sale of the Shares exceed a period of three (3) years from the date the Option is exercised. If the holding period applicable to Shares underlying the French-qualified Option is not met, this Option may not receive favorable tax and social security treatment under French law. In this case, the Optionee accepts and agrees that he or she will be responsible for paying personal income tax and his or her portion of social security contributions resulting from exercise of the Option.</w:t>
      </w:r>
    </w:p>
    <w:p>
      <w:pPr>
        <w:spacing w:after="0" w:line="178" w:lineRule="exact"/>
        <w:rPr>
          <w:sz w:val="20"/>
          <w:szCs w:val="20"/>
          <w:color w:val="auto"/>
        </w:rPr>
      </w:pPr>
    </w:p>
    <w:p>
      <w:pPr>
        <w:jc w:val="both"/>
        <w:ind w:firstLine="656"/>
        <w:spacing w:after="0" w:line="279" w:lineRule="auto"/>
        <w:tabs>
          <w:tab w:leader="none" w:pos="10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 the Company's discretion, the share certificates for all Shares subject to the French-qualified Option may bear a legend setting forth the restriction on sale for the time period set out in this Section 6. In addition, the share certificates may be held until the expiration of the holding period, at the Company's discretion, either (a) by the Company, (b) by a transfer agent designated by the Company, (c) in an account in the name of the Optionee with a broker designated by the Company, or (d) in such manner as the Company may otherwise determine in compliance with French law.</w:t>
      </w:r>
    </w:p>
    <w:p>
      <w:pPr>
        <w:spacing w:after="0" w:line="198" w:lineRule="exact"/>
        <w:rPr>
          <w:sz w:val="20"/>
          <w:szCs w:val="20"/>
          <w:color w:val="auto"/>
        </w:rPr>
      </w:pPr>
    </w:p>
    <w:p>
      <w:pPr>
        <w:jc w:val="both"/>
        <w:ind w:firstLine="656"/>
        <w:spacing w:after="0" w:line="254" w:lineRule="exact"/>
        <w:tabs>
          <w:tab w:leader="none" w:pos="143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Regardless of any action the Company and/or the Optionee's employer (the “Employer”) takes with respect to any or all income tax, social insurance, payroll tax, payment on account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arising out of the Optionee's participation in the Plan and legally applicable to the Optionee (“Tax-Related Items”), the Optionee acknowledges that the ultimate liability for all Tax-Related Items is and remains the Optionee's responsibility and may exceed the amount actually withheld by the Company and/or the Employer. The Optionee further acknowledge that the Company and/or the Employer (i) 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 (ii) do not commit and are under no obligation to structure the terms of the grant or any aspect of the Option to reduce or eliminate the Optionee's liability for Tax-Related Items or achieve any particular tax result. Furthermore, if the Optionee has become subject to tax in more than one jurisdiction between the Grant Date and the date of any relevant taxable event, the Optionee acknowledges that the Company and/or the Employer (or former employer, as applicable) may be required to withhold or account for Tax-Related Items in more than one jurisdiction.</w:t>
      </w:r>
    </w:p>
    <w:p>
      <w:pPr>
        <w:spacing w:after="0" w:line="21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Prior to the relevant taxable or tax withholding event, as applicable, the Optionee shall pay or make arrangements satisfactory to the Company and/or the Employer within the limits set forth by French law to satisfy all Tax-Related Items. In this regard, the Optionee authorizes the Company and/or the Employer, or their respective agents, at their discretion, to satisfy the Tax-Related Items by one or a combination of the following: (i) withholding from wages or other cash compensation paid to the Optionee by the Company, the Employer and/or any Subsidiary; or (ii) withholding from proceeds of the sale of Shares acquired at exercise of the Option either through a voluntary sale or through a mandatory sale arranged by the Company (on the Optionee's behalf pursuant to this authorization); or (iii) withholding in Shares to be issued at exercise of the Option. The Optionee acknowledges and agrees that if Tax-Related Items are satisfied by withholding from the proceeds of the sale of the Shares and the amount withheld is in excess of the amount due, the Company and/or the Employer will refund the excess amount to the Optionee as soon as administratively practicable and without interest.</w:t>
      </w:r>
    </w:p>
    <w:p>
      <w:pPr>
        <w:spacing w:after="0" w:line="16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To avoid any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the Optionee is deemed to have been issued the full number of Shares subject to the exercised Option, notwithstanding that a number of the shares are held back solely for the purpose of paying the Tax-Related Items due as a result of any aspect of the Optionee's participation in the Plan.</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Optionee shall pay to the Company or the Employer any amount of Tax-Related Items that the Company or the Employer may be required to withhold or account for as a result of Participant's participation in the Plan that cannot be satisfied by the means previously described in this section. The Company may refuse to issue or deliver the Shares or the proceeds of the sale of shares if the Optionee fails to comply with these obligations in connection with the Tax-Related Items.</w:t>
      </w:r>
    </w:p>
    <w:p>
      <w:pPr>
        <w:spacing w:after="0" w:line="214" w:lineRule="exact"/>
        <w:rPr>
          <w:sz w:val="20"/>
          <w:szCs w:val="20"/>
          <w:color w:val="auto"/>
        </w:rPr>
      </w:pPr>
    </w:p>
    <w:p>
      <w:pPr>
        <w:jc w:val="both"/>
        <w:ind w:firstLine="656"/>
        <w:spacing w:after="0" w:line="304" w:lineRule="auto"/>
        <w:tabs>
          <w:tab w:leader="none" w:pos="143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the Optionee nor any person claiming under or through the Optionee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the Optionee. After such issuance, recordation and delivery, the Optionee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Option, Participant acknowledges, understands and agrees to the following:</w:t>
      </w:r>
    </w:p>
    <w:p>
      <w:pPr>
        <w:spacing w:after="0" w:line="239" w:lineRule="exact"/>
        <w:rPr>
          <w:sz w:val="20"/>
          <w:szCs w:val="20"/>
          <w:color w:val="auto"/>
        </w:rPr>
      </w:pPr>
    </w:p>
    <w:p>
      <w:pPr>
        <w:ind w:right="20" w:firstLine="656"/>
        <w:spacing w:after="0" w:line="277" w:lineRule="auto"/>
        <w:tabs>
          <w:tab w:leader="none" w:pos="11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Optionee expressly warrants that the Optionee has received, read, and understood a description of the Plan; the Plan is established voluntarily by the Company, it is discretionary in nature, and it may be amended, suspended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80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terminated by the Company at any time;</w:t>
      </w:r>
    </w:p>
    <w:p>
      <w:pPr>
        <w:spacing w:after="0" w:line="225" w:lineRule="exact"/>
        <w:rPr>
          <w:sz w:val="20"/>
          <w:szCs w:val="20"/>
          <w:color w:val="auto"/>
        </w:rPr>
      </w:pPr>
    </w:p>
    <w:p>
      <w:pPr>
        <w:ind w:firstLine="656"/>
        <w:spacing w:after="0" w:line="277" w:lineRule="auto"/>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decisions with respect to future option grants, if any, will be at the sole discretion of the Company;</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Optionee is voluntarily participating in the Plan;</w:t>
      </w:r>
    </w:p>
    <w:p>
      <w:pPr>
        <w:spacing w:after="0" w:line="225" w:lineRule="exact"/>
        <w:rPr>
          <w:rFonts w:ascii="Arial" w:cs="Arial" w:eastAsia="Arial" w:hAnsi="Arial"/>
          <w:sz w:val="18"/>
          <w:szCs w:val="18"/>
          <w:color w:val="auto"/>
        </w:rPr>
      </w:pPr>
    </w:p>
    <w:p>
      <w:pPr>
        <w:ind w:firstLine="656"/>
        <w:spacing w:after="0" w:line="277" w:lineRule="auto"/>
        <w:tabs>
          <w:tab w:leader="none" w:pos="10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Optionee's participation in the Plan shall not create a right to further employment with the Employer and shall not interfere with the ability of the Employer to terminate the Optionee's employment or relationship as an employee or a corporate officer at any time;</w:t>
      </w:r>
    </w:p>
    <w:p>
      <w:pPr>
        <w:spacing w:after="0" w:line="170" w:lineRule="exact"/>
        <w:rPr>
          <w:rFonts w:ascii="Arial" w:cs="Arial" w:eastAsia="Arial" w:hAnsi="Arial"/>
          <w:sz w:val="18"/>
          <w:szCs w:val="18"/>
          <w:color w:val="auto"/>
        </w:rPr>
      </w:pPr>
    </w:p>
    <w:p>
      <w:pPr>
        <w:ind w:right="20" w:firstLine="656"/>
        <w:spacing w:after="0" w:line="308" w:lineRule="auto"/>
        <w:tabs>
          <w:tab w:leader="none" w:pos="101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Option and any Shares subject to the Option are extraordinary items that do not constitute compensation of any kind for services of any kind rendered to the Company or the Employer, and are outside the scope of the Optionee's employment or service contract, if any;</w:t>
      </w:r>
    </w:p>
    <w:p>
      <w:pPr>
        <w:spacing w:after="0" w:line="146" w:lineRule="exact"/>
        <w:rPr>
          <w:rFonts w:ascii="Arial" w:cs="Arial" w:eastAsia="Arial" w:hAnsi="Arial"/>
          <w:sz w:val="17"/>
          <w:szCs w:val="17"/>
          <w:color w:val="auto"/>
        </w:rPr>
      </w:pPr>
    </w:p>
    <w:p>
      <w:pPr>
        <w:ind w:left="1040" w:hanging="384"/>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 and the Shares subject to the Option are not intended to replace any pension rights or compensation;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5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 and the Shares subject to the Option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 the Company or any Parent or Subsidiary of the Company;</w:t>
      </w:r>
    </w:p>
    <w:p>
      <w:pPr>
        <w:spacing w:after="0" w:line="186" w:lineRule="exact"/>
        <w:rPr>
          <w:rFonts w:ascii="Arial" w:cs="Arial" w:eastAsia="Arial" w:hAnsi="Arial"/>
          <w:sz w:val="18"/>
          <w:szCs w:val="18"/>
          <w:color w:val="auto"/>
        </w:rPr>
      </w:pPr>
    </w:p>
    <w:p>
      <w:pPr>
        <w:ind w:firstLine="656"/>
        <w:spacing w:after="0" w:line="277" w:lineRule="auto"/>
        <w:tabs>
          <w:tab w:leader="none" w:pos="10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 and the Optionee's participation in the Plan will not be interpreted to form an employment contract or relationship with the Company or any Parent or Subsidiary of the Company;</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future value of the Shares underlying the Option is unknown and cannot be predicted with certainty;</w:t>
      </w:r>
    </w:p>
    <w:p>
      <w:pPr>
        <w:spacing w:after="0" w:line="171" w:lineRule="exact"/>
        <w:rPr>
          <w:rFonts w:ascii="Arial" w:cs="Arial" w:eastAsia="Arial" w:hAnsi="Arial"/>
          <w:sz w:val="18"/>
          <w:szCs w:val="18"/>
          <w:color w:val="auto"/>
        </w:rPr>
      </w:pPr>
    </w:p>
    <w:p>
      <w:pPr>
        <w:jc w:val="both"/>
        <w:ind w:firstLine="656"/>
        <w:spacing w:after="0" w:line="293" w:lineRule="auto"/>
        <w:tabs>
          <w:tab w:leader="none" w:pos="1052"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termination of Participant's service by the Company or the Employer (for any reason whatsoever and whether or not in breach of local labor laws) and, in consideration for the grant of the Option, to which Participant is not otherwise entitled, Participant irrevocably agrees never to institute any claim against the Company or the Employer, waives his or her ability, if any, to bring any such claim, and releases the Company and the Employer from any such claim; if, notwithstanding the foregoing, any such claim is allowed by a court of competent jurisdiction, then, by signing the Notice of Grant, Participant shall be deemed irrevocably to have agreed not to pursue such claim and agrees to execute any and all documents necessary to request dismissal or withdrawal of such claims;</w:t>
      </w:r>
    </w:p>
    <w:p>
      <w:pPr>
        <w:spacing w:after="0" w:line="110" w:lineRule="exact"/>
        <w:rPr>
          <w:rFonts w:ascii="Arial" w:cs="Arial" w:eastAsia="Arial" w:hAnsi="Arial"/>
          <w:sz w:val="16"/>
          <w:szCs w:val="16"/>
          <w:color w:val="auto"/>
        </w:rPr>
      </w:pPr>
    </w:p>
    <w:p>
      <w:pPr>
        <w:jc w:val="both"/>
        <w:ind w:firstLine="656"/>
        <w:spacing w:after="0" w:line="279" w:lineRule="auto"/>
        <w:tabs>
          <w:tab w:leader="none" w:pos="1012"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the event of termination of the Optionee's service with the Company or the Employer, the Optionee's right to exercise the Option, if any, will terminate effective as of the date that the Optionee is no longer actively employed and will not be extended by any notice period mandated under local law (</w:t>
      </w:r>
      <w:r>
        <w:rPr>
          <w:rFonts w:ascii="Arial" w:cs="Arial" w:eastAsia="Arial" w:hAnsi="Arial"/>
          <w:sz w:val="17"/>
          <w:szCs w:val="17"/>
          <w:i w:val="1"/>
          <w:iCs w:val="1"/>
          <w:color w:val="auto"/>
        </w:rPr>
        <w:t>e.g.</w:t>
      </w:r>
      <w:r>
        <w:rPr>
          <w:rFonts w:ascii="Arial" w:cs="Arial" w:eastAsia="Arial" w:hAnsi="Arial"/>
          <w:sz w:val="17"/>
          <w:szCs w:val="17"/>
          <w:color w:val="auto"/>
        </w:rPr>
        <w:t>, active employment would not include a period of “garden leave” or similar period pursuant to local law); the Administrator shall have the exclusive discretion to determine when the Optionee is no longer actively employed for purposes of the Option grant; and</w:t>
      </w:r>
    </w:p>
    <w:p>
      <w:pPr>
        <w:spacing w:after="0" w:line="171" w:lineRule="exact"/>
        <w:rPr>
          <w:rFonts w:ascii="Arial" w:cs="Arial" w:eastAsia="Arial" w:hAnsi="Arial"/>
          <w:sz w:val="17"/>
          <w:szCs w:val="17"/>
          <w:color w:val="auto"/>
        </w:rPr>
      </w:pPr>
    </w:p>
    <w:p>
      <w:pPr>
        <w:ind w:firstLine="656"/>
        <w:spacing w:after="0" w:line="277" w:lineRule="auto"/>
        <w:tabs>
          <w:tab w:leader="none" w:pos="11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Option and the benefits under the Plan, if any, will not automatically transfer to another company in the case of a merger, take-over, or transfer of liability.</w:t>
      </w:r>
    </w:p>
    <w:p>
      <w:pPr>
        <w:spacing w:after="0" w:line="197" w:lineRule="exact"/>
        <w:rPr>
          <w:sz w:val="20"/>
          <w:szCs w:val="20"/>
          <w:color w:val="auto"/>
        </w:rPr>
      </w:pPr>
    </w:p>
    <w:p>
      <w:pPr>
        <w:jc w:val="both"/>
        <w:ind w:firstLine="656"/>
        <w:spacing w:after="0" w:line="306" w:lineRule="auto"/>
        <w:tabs>
          <w:tab w:leader="none" w:pos="152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the Optionee's participation in the Plan or the Optionee's acquisition or sale of the underlying Shares. The Optionee is hereby advised to consult with his or her own tax, legal, and financial consultants regarding the Optionee's participation in the Plan before taking any action related to the Plan.</w:t>
      </w:r>
    </w:p>
    <w:p>
      <w:pPr>
        <w:spacing w:after="0" w:line="186" w:lineRule="exact"/>
        <w:rPr>
          <w:rFonts w:ascii="Arial" w:cs="Arial" w:eastAsia="Arial" w:hAnsi="Arial"/>
          <w:sz w:val="18"/>
          <w:szCs w:val="18"/>
          <w:color w:val="auto"/>
        </w:rPr>
      </w:pPr>
    </w:p>
    <w:p>
      <w:pPr>
        <w:jc w:val="both"/>
        <w:ind w:firstLine="656"/>
        <w:spacing w:after="0" w:line="364" w:lineRule="auto"/>
        <w:tabs>
          <w:tab w:leader="none" w:pos="1512"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Optionee hereby explicitly and unambiguously consents to the collection, use and transfer, in electronic or other form, of the Optionee's personal data as described in this Award Agreement by and among, as applicable, the Employer, the Company and any Parent or Subsidiary of the Company for the exclusive purpose of implementing, administering and managing the Optionee's participation in the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800" w:right="239" w:bottom="1440" w:gutter="0" w:footer="0" w:header="0"/>
        </w:sectPr>
      </w:pPr>
    </w:p>
    <w:bookmarkStart w:id="127" w:name="page128"/>
    <w:bookmarkEnd w:id="127"/>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The Optionee understands that the Company and the Employer may hold certain personal information about the Optionee, including, but not limited to, the Optionee's name, home address and telephone number, date of birth, social insurance or other identification number, salary, nationality, job title, any Shares or directorships held in the Company or any Parent or Subsidiary of the Company, details of all options or any other entitlement to Shares awarded, canceled, exercised, vested, unvested or outstanding in the Optionee's favor, for the exclusive purpose of implementing, administering and managing the Plan (“Personal Data”).</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The Optionee understands that Personal Data will be transferred to a broker designated by the Company or to any other third party assisting in the implementation, administration and management of the Plan. The Optionee understands that the recipients of the Personal Data may be located in the Optionee's country, outside the European Union, or elsewhere, and that the recipient's country may have different data privacy laws and protections than the Optionee's country. The Optionee understands that the Optionee may request a list with the names and addresses of any potential recipients of the Personal Data by contacting the Optionee's local human resources representative. The Optionee authorizes the Company, the broker, and any other recipients of Personal Data that may assist the Company (presently or in the future) with implementing, administering and managing the Plan to receive, possess, use, retain and transfer Personal Data, in electronic or other form, for the purposes of implementing, administering and managing the Optionee's participation in the Plan, including any requisite transfer of Personal Data as may be required to a broker or other third party with whom the Optionee may elect to deposit any Shares purchased upon exercise of the Option. The Optionee understands that Personal Data will be held only as long as is necessary to implement, administer and manage the Optionee's participation in the Plan. The Optionee understands that the Optionee may, at any time, view Personal Data, request additional information about the storage and processing of Personal Data, require any necessary amendments to Personal Data or refuse or withdraw the consents herein, in any case without cost, by contacting in writing the Optionee's local human resources representative. The Optionee understands that refusal or withdrawal of consent may affect the Optionee's ability to participate in the Plan. For more information on the consequences of refusal to consent or withdrawal of consent, the Optionee understands that he or she may contact the Optionee's local human resources representative.</w:t>
      </w:r>
    </w:p>
    <w:p>
      <w:pPr>
        <w:spacing w:after="0" w:line="196" w:lineRule="exact"/>
        <w:rPr>
          <w:sz w:val="20"/>
          <w:szCs w:val="20"/>
          <w:color w:val="auto"/>
        </w:rPr>
      </w:pPr>
    </w:p>
    <w:p>
      <w:pPr>
        <w:jc w:val="both"/>
        <w:ind w:firstLine="656"/>
        <w:spacing w:after="0" w:line="311"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in care of Stock Administration at Fortinet, Inc., 1090 Kifer Road, Sunnyvale, CA 94086, or at such other address as the Company may hereafter designate in writing.</w:t>
      </w:r>
    </w:p>
    <w:p>
      <w:pPr>
        <w:spacing w:after="0" w:line="181" w:lineRule="exact"/>
        <w:rPr>
          <w:rFonts w:ascii="Arial" w:cs="Arial" w:eastAsia="Arial" w:hAnsi="Arial"/>
          <w:sz w:val="18"/>
          <w:szCs w:val="18"/>
          <w:color w:val="auto"/>
        </w:rPr>
      </w:pPr>
    </w:p>
    <w:p>
      <w:pPr>
        <w:ind w:right="20" w:firstLine="656"/>
        <w:spacing w:after="0" w:line="324"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otherwise than by will or by the laws of descent or distribution and may be exercised during the lifetime of the Optionee only by the Optionee.</w:t>
      </w:r>
    </w:p>
    <w:p>
      <w:pPr>
        <w:spacing w:after="0" w:line="170" w:lineRule="exact"/>
        <w:rPr>
          <w:rFonts w:ascii="Arial" w:cs="Arial" w:eastAsia="Arial" w:hAnsi="Arial"/>
          <w:sz w:val="18"/>
          <w:szCs w:val="18"/>
          <w:color w:val="auto"/>
        </w:rPr>
      </w:pPr>
    </w:p>
    <w:p>
      <w:pPr>
        <w:ind w:firstLine="656"/>
        <w:spacing w:after="0" w:line="324"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or qualification of the Shares upon any securities exchange or under any U.S. state or federal law, or the consent or approval of any governmental regulatory authority is necessary or desirable as a condition to the issuance of Shares to the Optionee (or his or her estate), such issuance will not occur unless and until such listing, registration, qualification, consent or approval will have been effected or obtained free of any conditions not acceptable to the Company. Assuming such compliance, for income tax purposes the Exercised Shares will be considered transferred to the Optionee on the date the Option is exercised with respect to such Exercised Shares.</w:t>
      </w:r>
    </w:p>
    <w:p>
      <w:pPr>
        <w:spacing w:after="0" w:line="192" w:lineRule="exact"/>
        <w:rPr>
          <w:rFonts w:ascii="Arial" w:cs="Arial" w:eastAsia="Arial" w:hAnsi="Arial"/>
          <w:sz w:val="18"/>
          <w:szCs w:val="18"/>
          <w:color w:val="auto"/>
        </w:rPr>
      </w:pPr>
    </w:p>
    <w:p>
      <w:pPr>
        <w:jc w:val="both"/>
        <w:ind w:firstLine="656"/>
        <w:spacing w:after="0" w:line="311"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xml:space="preserve"> This Award Agreement is subject to all terms and provisions of the Plan, including the French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81" w:lineRule="exact"/>
        <w:rPr>
          <w:rFonts w:ascii="Arial" w:cs="Arial" w:eastAsia="Arial" w:hAnsi="Arial"/>
          <w:sz w:val="18"/>
          <w:szCs w:val="18"/>
          <w:color w:val="auto"/>
        </w:rPr>
      </w:pPr>
    </w:p>
    <w:p>
      <w:pPr>
        <w:jc w:val="both"/>
        <w:ind w:firstLine="656"/>
        <w:spacing w:after="0" w:line="349" w:lineRule="auto"/>
        <w:tabs>
          <w:tab w:leader="none" w:pos="152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the Optionee, the Company, and all other interested persons. No member of the Administrator will be personally liable for any action, determination, or interpretation made in good faith with respect to the Plan or this Award Agreement.</w:t>
      </w:r>
    </w:p>
    <w:p>
      <w:pPr>
        <w:spacing w:after="0" w:line="161" w:lineRule="exact"/>
        <w:rPr>
          <w:rFonts w:ascii="Arial" w:cs="Arial" w:eastAsia="Arial" w:hAnsi="Arial"/>
          <w:sz w:val="16"/>
          <w:szCs w:val="16"/>
          <w:color w:val="auto"/>
        </w:rPr>
      </w:pPr>
    </w:p>
    <w:p>
      <w:pPr>
        <w:ind w:right="20" w:firstLine="656"/>
        <w:spacing w:after="0" w:line="324" w:lineRule="auto"/>
        <w:tabs>
          <w:tab w:leader="none" w:pos="152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the Option awarded under the Plan or future options that may be awarded under the Plan by electronic means or request the Optionee's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800" w:right="239" w:bottom="1440" w:gutter="0" w:footer="0" w:header="0"/>
        </w:sectPr>
      </w:pPr>
    </w:p>
    <w:bookmarkStart w:id="128" w:name="page129"/>
    <w:bookmarkEnd w:id="128"/>
    <w:p>
      <w:pPr>
        <w:jc w:val="both"/>
        <w:spacing w:after="0" w:line="311" w:lineRule="auto"/>
        <w:rPr>
          <w:sz w:val="20"/>
          <w:szCs w:val="20"/>
          <w:color w:val="auto"/>
        </w:rPr>
      </w:pPr>
      <w:r>
        <w:rPr>
          <w:rFonts w:ascii="Arial" w:cs="Arial" w:eastAsia="Arial" w:hAnsi="Arial"/>
          <w:sz w:val="18"/>
          <w:szCs w:val="18"/>
          <w:color w:val="auto"/>
        </w:rPr>
        <w:t>consent to participate in the Plan by electronic means. The Optionee hereby consents to receive such documents by electronic delivery and agrees to participate in the Plan through any on-line or electronic system established and maintained by the Company or another third party designated by the Company.</w:t>
      </w:r>
    </w:p>
    <w:p>
      <w:pPr>
        <w:spacing w:after="0" w:line="181" w:lineRule="exact"/>
        <w:rPr>
          <w:sz w:val="20"/>
          <w:szCs w:val="20"/>
          <w:color w:val="auto"/>
        </w:rPr>
      </w:pPr>
    </w:p>
    <w:p>
      <w:pPr>
        <w:ind w:left="1520" w:hanging="864"/>
        <w:spacing w:after="0"/>
        <w:tabs>
          <w:tab w:leader="none" w:pos="152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Captions</w:t>
      </w:r>
      <w:r>
        <w:rPr>
          <w:rFonts w:ascii="Arial" w:cs="Arial" w:eastAsia="Arial" w:hAnsi="Arial"/>
          <w:sz w:val="17"/>
          <w:szCs w:val="17"/>
          <w:color w:val="auto"/>
        </w:rPr>
        <w:t>. Captions provided herein are for convenience only and are not to serve as a basis for interpretation or construction of this</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Award Agreement.</w:t>
      </w:r>
    </w:p>
    <w:p>
      <w:pPr>
        <w:spacing w:after="0" w:line="265" w:lineRule="exact"/>
        <w:rPr>
          <w:rFonts w:ascii="Arial" w:cs="Arial" w:eastAsia="Arial" w:hAnsi="Arial"/>
          <w:sz w:val="17"/>
          <w:szCs w:val="17"/>
          <w:color w:val="auto"/>
        </w:rPr>
      </w:pPr>
    </w:p>
    <w:p>
      <w:pPr>
        <w:ind w:firstLine="656"/>
        <w:spacing w:after="0" w:line="395" w:lineRule="auto"/>
        <w:tabs>
          <w:tab w:leader="none" w:pos="152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23" w:lineRule="exact"/>
        <w:rPr>
          <w:rFonts w:ascii="Arial" w:cs="Arial" w:eastAsia="Arial" w:hAnsi="Arial"/>
          <w:sz w:val="16"/>
          <w:szCs w:val="16"/>
          <w:color w:val="auto"/>
        </w:rPr>
      </w:pPr>
    </w:p>
    <w:p>
      <w:pPr>
        <w:jc w:val="both"/>
        <w:ind w:firstLine="656"/>
        <w:spacing w:after="0" w:line="306"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Modifications to the Agreement</w:t>
      </w:r>
      <w:r>
        <w:rPr>
          <w:rFonts w:ascii="Arial" w:cs="Arial" w:eastAsia="Arial" w:hAnsi="Arial"/>
          <w:sz w:val="18"/>
          <w:szCs w:val="18"/>
          <w:color w:val="auto"/>
        </w:rPr>
        <w:t>. This Award Agreement constitutes the entire understanding of the parties on the subjects covered. The Optionee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w:t>
      </w:r>
    </w:p>
    <w:p>
      <w:pPr>
        <w:spacing w:after="0" w:line="186" w:lineRule="exact"/>
        <w:rPr>
          <w:rFonts w:ascii="Arial" w:cs="Arial" w:eastAsia="Arial" w:hAnsi="Arial"/>
          <w:sz w:val="18"/>
          <w:szCs w:val="18"/>
          <w:color w:val="auto"/>
        </w:rPr>
      </w:pPr>
    </w:p>
    <w:p>
      <w:pPr>
        <w:jc w:val="both"/>
        <w:ind w:firstLine="656"/>
        <w:spacing w:after="0" w:line="304"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will be governed by, and subject to, the laws of the State of California, without giving effect to the conflict of law principles thereof. For purposes of litigating any dispute that arises under the Option or this Award Agreement, the parties hereby submit to and consent to the jurisdiction of the State of California, and agree that such litigation will be conducted in the courts of Santa Clara County, California, or the federal courts for the United States for the Northern District of California, and no other courts, where this grant is made and/or to be performed.</w:t>
      </w:r>
    </w:p>
    <w:p>
      <w:pPr>
        <w:spacing w:after="0" w:line="188" w:lineRule="exact"/>
        <w:rPr>
          <w:rFonts w:ascii="Arial" w:cs="Arial" w:eastAsia="Arial" w:hAnsi="Arial"/>
          <w:sz w:val="18"/>
          <w:szCs w:val="18"/>
          <w:color w:val="auto"/>
        </w:rPr>
      </w:pPr>
    </w:p>
    <w:p>
      <w:pPr>
        <w:ind w:firstLine="656"/>
        <w:spacing w:after="0" w:line="324"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Optionee has received this Award Agreement or any other document related to the Option and/or the Plan translated into French, and if the meaning of the French version is different from the English version, the English version will control.</w:t>
      </w:r>
    </w:p>
    <w:p>
      <w:pPr>
        <w:spacing w:after="0" w:line="170" w:lineRule="exact"/>
        <w:rPr>
          <w:rFonts w:ascii="Arial" w:cs="Arial" w:eastAsia="Arial" w:hAnsi="Arial"/>
          <w:sz w:val="18"/>
          <w:szCs w:val="18"/>
          <w:color w:val="auto"/>
        </w:rPr>
      </w:pPr>
    </w:p>
    <w:p>
      <w:pPr>
        <w:jc w:val="both"/>
        <w:ind w:firstLine="656"/>
        <w:spacing w:after="0" w:line="306" w:lineRule="auto"/>
        <w:tabs>
          <w:tab w:leader="none" w:pos="152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Optionee's participation in the Plan, on the Option, and on any Shares acquired under the Plan, to the extent the Company determines it is necessary or advisable in order to comply with local laws or facilitate the administration of the Plan, and to require the Optionee to sign any additional agreements or undertakings that may be necessary to accomplish the foregoing.</w:t>
      </w:r>
    </w:p>
    <w:p>
      <w:pPr>
        <w:spacing w:after="0" w:line="159" w:lineRule="exact"/>
        <w:rPr>
          <w:rFonts w:ascii="Arial" w:cs="Arial" w:eastAsia="Arial" w:hAnsi="Arial"/>
          <w:sz w:val="18"/>
          <w:szCs w:val="18"/>
          <w:color w:val="auto"/>
        </w:rPr>
      </w:pPr>
    </w:p>
    <w:p>
      <w:pPr>
        <w:jc w:val="both"/>
        <w:ind w:firstLine="656"/>
        <w:spacing w:after="0" w:line="264" w:lineRule="auto"/>
        <w:tabs>
          <w:tab w:leader="none" w:pos="959"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By signing and returning or by otherwise accepting this Award Agreement, the Optionee confirms having read and understood the documents relating to this Option (</w:t>
      </w:r>
      <w:r>
        <w:rPr>
          <w:rFonts w:ascii="Arial" w:cs="Arial" w:eastAsia="Arial" w:hAnsi="Arial"/>
          <w:sz w:val="18"/>
          <w:szCs w:val="18"/>
          <w:i w:val="1"/>
          <w:iCs w:val="1"/>
          <w:color w:val="auto"/>
        </w:rPr>
        <w:t>i.e.</w:t>
      </w:r>
      <w:r>
        <w:rPr>
          <w:rFonts w:ascii="Arial" w:cs="Arial" w:eastAsia="Arial" w:hAnsi="Arial"/>
          <w:sz w:val="18"/>
          <w:szCs w:val="18"/>
          <w:color w:val="auto"/>
        </w:rPr>
        <w:t>, the U.S. Plan, the French Plan, and this Award Agreement) which were provided in the English language. The Optionee accordingly accepts the terms of those documents.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u w:val="single" w:color="auto"/>
          <w:color w:val="auto"/>
        </w:rPr>
        <w:t>Consentement à La Langue.</w:t>
      </w:r>
      <w:r>
        <w:rPr>
          <w:rFonts w:ascii="Arial" w:cs="Arial" w:eastAsia="Arial" w:hAnsi="Arial"/>
          <w:sz w:val="18"/>
          <w:szCs w:val="18"/>
          <w:i w:val="1"/>
          <w:iCs w:val="1"/>
          <w:color w:val="auto"/>
        </w:rPr>
        <w:t xml:space="preserve"> En signant et renvoyant cette 'Accord, ou par acceptant autrement l'Accord, le Titulaire de l'Option confirme ainsi avoir lu et compris les documents relatifs à l'Option de Souscription, (c'est-à-dire, Le Plan, Le Plan pour la France et cette Accord) qui ont été fournis en langue anglaise. Le Titulaire de l'Option en accepte les termes de ces documents en connaissance de cause</w:t>
      </w:r>
      <w:r>
        <w:rPr>
          <w:rFonts w:ascii="Arial" w:cs="Arial" w:eastAsia="Arial" w:hAnsi="Arial"/>
          <w:sz w:val="18"/>
          <w:szCs w:val="18"/>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61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4907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49070" cy="188595"/>
                    </a:xfrm>
                    <a:prstGeom prst="rect">
                      <a:avLst/>
                    </a:prstGeom>
                    <a:noFill/>
                  </pic:spPr>
                </pic:pic>
              </a:graphicData>
            </a:graphic>
          </wp:anchor>
        </w:drawing>
        <w:t>EXHIBIT B</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EQUITY INCENTIVE PLAN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OPTIONEES IN FRANCE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1090 Kifer Road, Sunnyvale, CA 94086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Stock Administration</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Effective as of today, ________________, _____, the undersigned (“Purchaser”) hereby elects to purchase ______________</w:t>
      </w:r>
    </w:p>
    <w:p>
      <w:pPr>
        <w:spacing w:after="0" w:line="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shares (the “Shares”) of the Common Stock of Fortinet, Inc. (the “Company”) under and pursuant to the 2009 Equity Incentive Plan (the “U.S. Plan”), the Rules of the Fortinet, Inc. 2009 Equity Incentive Plan for the Grant of Stock Options to Optionees in France (the “French Plan,” and in conjunction with the U.S. Plan, the “Plan”), and the Stock Option Award Agreement dated ________ (the “Award Agreement”). The purchase price for the Shares will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 as required by the Award Agreement.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of the Shares and any required Tax-Related Items to be paid in connection with the exercise of the Option.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Representations of Purchaser</w:t>
      </w:r>
      <w:r>
        <w:rPr>
          <w:rFonts w:ascii="Arial" w:cs="Arial" w:eastAsia="Arial" w:hAnsi="Arial"/>
          <w:sz w:val="18"/>
          <w:szCs w:val="18"/>
          <w:color w:val="auto"/>
        </w:rPr>
        <w:t>. Purchaser acknowledges that Purchaser has received, read, and understood the Plan and the Award Agreement and agrees to abide by and be bound by their terms and conditions.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Purchaser understands that Purchaser may suffer adverse tax or financial consequences as a result of Purchaser's purchase or disposition of the Shares. Further, the Company is not providing any tax, legal, or financial advice, nor is the Company making any recommendations regarding Purchaser's participation in the Plan or Purchaser's acquisition or sale of the underlying Shares. Purchaser represents that Purchaser has consulted with any tax, legal, or financial consultants Purchaser deems advisable in connection with the purchase or disposition of the Shares, and that Purchaser is not relying on the Company for any such advice.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the State of California.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GESDMS/6544036.12</w:t>
      </w:r>
    </w:p>
    <w:p>
      <w:pPr>
        <w:sectPr>
          <w:pgSz w:w="11900" w:h="16838" w:orient="portrait"/>
          <w:cols w:equalWidth="0" w:num="1">
            <w:col w:w="11420"/>
          </w:cols>
          <w:pgMar w:left="240" w:top="1094"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Submitted by:</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Accepted by:</w:t>
            </w:r>
          </w:p>
        </w:tc>
      </w:tr>
      <w:tr>
        <w:trPr>
          <w:trHeight w:val="459"/>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FORTINET, Inc</w:t>
            </w:r>
          </w:p>
        </w:tc>
      </w:tr>
      <w:tr>
        <w:trPr>
          <w:trHeight w:val="351"/>
        </w:trPr>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By</w:t>
            </w:r>
          </w:p>
        </w:tc>
      </w:tr>
      <w:tr>
        <w:trPr>
          <w:trHeight w:val="351"/>
        </w:trPr>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Title</w:t>
            </w:r>
          </w:p>
        </w:tc>
      </w:tr>
      <w:tr>
        <w:trPr>
          <w:trHeight w:val="554"/>
        </w:trPr>
        <w:tc>
          <w:tcPr>
            <w:tcW w:w="2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18"/>
        </w:trPr>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Date Received</w:t>
            </w:r>
          </w:p>
        </w:tc>
      </w:tr>
      <w:tr>
        <w:trPr>
          <w:trHeight w:val="48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0" w:type="dxa"/>
            <w:vAlign w:val="bottom"/>
            <w:gridSpan w:val="3"/>
          </w:tcPr>
          <w:p>
            <w:pPr>
              <w:jc w:val="right"/>
              <w:ind w:right="4430"/>
              <w:spacing w:after="0"/>
              <w:rPr>
                <w:sz w:val="20"/>
                <w:szCs w:val="20"/>
                <w:color w:val="auto"/>
              </w:rPr>
            </w:pPr>
            <w:r>
              <w:rPr>
                <w:rFonts w:ascii="Arial" w:cs="Arial" w:eastAsia="Arial" w:hAnsi="Arial"/>
                <w:sz w:val="18"/>
                <w:szCs w:val="18"/>
                <w:color w:val="auto"/>
              </w:rPr>
              <w:t>29</w:t>
            </w: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0" w:type="dxa"/>
            <w:vAlign w:val="bottom"/>
            <w:gridSpan w:val="3"/>
          </w:tcPr>
          <w:p>
            <w:pPr>
              <w:jc w:val="right"/>
              <w:ind w:right="3790"/>
              <w:spacing w:after="0"/>
              <w:rPr>
                <w:sz w:val="20"/>
                <w:szCs w:val="20"/>
                <w:color w:val="auto"/>
              </w:rPr>
            </w:pPr>
            <w:r>
              <w:rPr>
                <w:rFonts w:ascii="Arial" w:cs="Arial" w:eastAsia="Arial" w:hAnsi="Arial"/>
                <w:sz w:val="18"/>
                <w:szCs w:val="18"/>
                <w:color w:val="auto"/>
              </w:rPr>
              <w:t>GESDMS/6544036.12</w:t>
            </w:r>
          </w:p>
        </w:tc>
      </w:tr>
    </w:tbl>
    <w:p>
      <w:pPr>
        <w:sectPr>
          <w:pgSz w:w="11900" w:h="16838" w:orient="portrait"/>
          <w:cols w:equalWidth="0" w:num="1">
            <w:col w:w="9220"/>
          </w:cols>
          <w:pgMar w:left="1340" w:top="962" w:right="1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Nos. 333-163367, 333-172459, and 333-175985 on Form S-8 of our reports dated February 27, 2012, relating to the consolidated financial statements and consolidated financial statement schedule of Fortinet, Inc. and subsidiaries (collectively, the “Company”) which report expresses an unqualified opinion and includes an explanatory paragraph relating to the change in the Company's method for recognizing revenue for multiple element arrangements, and the effectiveness of the Company's internal control over financial reporting, appearing in this Annual Report on Form 10-K of the Company for the year ended December 31,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ectPr>
          <w:pgSz w:w="11900" w:h="16838" w:orient="portrait"/>
          <w:cols w:equalWidth="0" w:num="1">
            <w:col w:w="11420"/>
          </w:cols>
          <w:pgMar w:left="240" w:top="580"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33" w:name="page134"/>
    <w:bookmarkEnd w:id="1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Goldman, certify that:</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Ken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Ken Goldman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2011 fully complies with the requirements of Section 13(a) or 15(d) of the Securities Exchange Act of 1934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840" w:type="dxa"/>
            <w:vAlign w:val="bottom"/>
          </w:tcPr>
          <w:p>
            <w:pPr>
              <w:ind w:left="218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4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Date:  February 27, 2012</w:t>
            </w:r>
          </w:p>
        </w:tc>
        <w:tc>
          <w:tcPr>
            <w:tcW w:w="2840" w:type="dxa"/>
            <w:vAlign w:val="bottom"/>
          </w:tcPr>
          <w:p>
            <w:pPr>
              <w:ind w:left="2180"/>
              <w:spacing w:after="0"/>
              <w:rPr>
                <w:sz w:val="20"/>
                <w:szCs w:val="20"/>
                <w:color w:val="auto"/>
              </w:rPr>
            </w:pPr>
            <w:r>
              <w:rPr>
                <w:rFonts w:ascii="Arial" w:cs="Arial" w:eastAsia="Arial" w:hAnsi="Arial"/>
                <w:sz w:val="18"/>
                <w:szCs w:val="18"/>
                <w:color w:val="auto"/>
              </w:rPr>
              <w:t>Name:</w:t>
            </w:r>
          </w:p>
        </w:tc>
        <w:tc>
          <w:tcPr>
            <w:tcW w:w="444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41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4100" w:type="dxa"/>
            <w:vAlign w:val="bottom"/>
          </w:tcPr>
          <w:p>
            <w:pPr>
              <w:spacing w:after="0"/>
              <w:rPr>
                <w:sz w:val="20"/>
                <w:szCs w:val="20"/>
                <w:color w:val="auto"/>
              </w:rPr>
            </w:pPr>
          </w:p>
        </w:tc>
        <w:tc>
          <w:tcPr>
            <w:tcW w:w="2840" w:type="dxa"/>
            <w:vAlign w:val="bottom"/>
          </w:tcPr>
          <w:p>
            <w:pPr>
              <w:ind w:left="218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 Ken Goldman, certify, pursuant to 18 U.S.C. Section 1350, as adopted pursuant to Section 906 of the Sarbanes-Oxley Act of 2002, that the Annual Report on Form 10-K of Fortinet, Inc. for the fiscal year ended December 31, 2011 fully complies with the requirements of Section 13(a) or 15(d) of the Securities Exchange Act of 1934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840" w:type="dxa"/>
            <w:vAlign w:val="bottom"/>
          </w:tcPr>
          <w:p>
            <w:pPr>
              <w:ind w:left="218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Ken Goldman</w:t>
            </w:r>
          </w:p>
        </w:tc>
      </w:tr>
      <w:tr>
        <w:trPr>
          <w:trHeight w:val="27"/>
        </w:trPr>
        <w:tc>
          <w:tcPr>
            <w:tcW w:w="4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Date:  February 27, 2012</w:t>
            </w:r>
          </w:p>
        </w:tc>
        <w:tc>
          <w:tcPr>
            <w:tcW w:w="2840" w:type="dxa"/>
            <w:vAlign w:val="bottom"/>
          </w:tcPr>
          <w:p>
            <w:pPr>
              <w:ind w:left="2180"/>
              <w:spacing w:after="0"/>
              <w:rPr>
                <w:sz w:val="20"/>
                <w:szCs w:val="20"/>
                <w:color w:val="auto"/>
              </w:rPr>
            </w:pPr>
            <w:r>
              <w:rPr>
                <w:rFonts w:ascii="Arial" w:cs="Arial" w:eastAsia="Arial" w:hAnsi="Arial"/>
                <w:sz w:val="18"/>
                <w:szCs w:val="18"/>
                <w:color w:val="auto"/>
              </w:rPr>
              <w:t>Name:</w:t>
            </w:r>
          </w:p>
        </w:tc>
        <w:tc>
          <w:tcPr>
            <w:tcW w:w="4440" w:type="dxa"/>
            <w:vAlign w:val="bottom"/>
          </w:tcPr>
          <w:p>
            <w:pPr>
              <w:ind w:left="20"/>
              <w:spacing w:after="0"/>
              <w:rPr>
                <w:sz w:val="20"/>
                <w:szCs w:val="20"/>
                <w:color w:val="auto"/>
              </w:rPr>
            </w:pPr>
            <w:r>
              <w:rPr>
                <w:rFonts w:ascii="Arial" w:cs="Arial" w:eastAsia="Arial" w:hAnsi="Arial"/>
                <w:sz w:val="18"/>
                <w:szCs w:val="18"/>
                <w:color w:val="auto"/>
              </w:rPr>
              <w:t>Ken Goldman</w:t>
            </w:r>
          </w:p>
        </w:tc>
      </w:tr>
      <w:tr>
        <w:trPr>
          <w:trHeight w:val="256"/>
        </w:trPr>
        <w:tc>
          <w:tcPr>
            <w:tcW w:w="41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100" w:type="dxa"/>
            <w:vAlign w:val="bottom"/>
          </w:tcPr>
          <w:p>
            <w:pPr>
              <w:spacing w:after="0"/>
              <w:rPr>
                <w:sz w:val="20"/>
                <w:szCs w:val="20"/>
                <w:color w:val="auto"/>
              </w:rPr>
            </w:pPr>
          </w:p>
        </w:tc>
        <w:tc>
          <w:tcPr>
            <w:tcW w:w="2840" w:type="dxa"/>
            <w:vAlign w:val="bottom"/>
          </w:tcPr>
          <w:p>
            <w:pPr>
              <w:ind w:left="218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T"/>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1)"/>
      <w:numFmt w:val="lowerRoman"/>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2"/>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1)"/>
      <w:numFmt w:val="decimal"/>
      <w:start w:val="3"/>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amp;"/>
      <w:numFmt w:val="bullet"/>
      <w:start w:val="1"/>
    </w:lvl>
  </w:abstractNum>
  <w:abstractNum w:abstractNumId="36">
    <w:nsid w:val="520EEDD1"/>
    <w:multiLevelType w:val="hybridMultilevel"/>
    <w:lvl w:ilvl="0">
      <w:lvlJc w:val="left"/>
      <w:lvlText w:val="%1."/>
      <w:numFmt w:val="decimal"/>
      <w:start w:val="1"/>
    </w:lvl>
  </w:abstractNum>
  <w:abstractNum w:abstractNumId="37">
    <w:nsid w:val="374A3FE6"/>
    <w:multiLevelType w:val="hybridMultilevel"/>
    <w:lvl w:ilvl="0">
      <w:lvlJc w:val="left"/>
      <w:lvlText w:val="%1."/>
      <w:numFmt w:val="decimal"/>
      <w:start w:val="3"/>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upperLetter"/>
      <w:start w:val="9"/>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1."/>
      <w:numFmt w:val="decimal"/>
      <w:start w:val="1"/>
    </w:lvl>
  </w:abstractNum>
  <w:abstractNum w:abstractNumId="42">
    <w:nsid w:val="39386575"/>
    <w:multiLevelType w:val="hybridMultilevel"/>
    <w:lvl w:ilvl="0">
      <w:lvlJc w:val="left"/>
      <w:lvlText w:val="%1."/>
      <w:numFmt w:val="decimal"/>
      <w:start w:val="2"/>
    </w:lvl>
    <w:lvl w:ilvl="1">
      <w:lvlJc w:val="left"/>
      <w:lvlText w:val="(%2)"/>
      <w:numFmt w:val="lowerLetter"/>
      <w:start w:val="1"/>
    </w:lvl>
  </w:abstractNum>
  <w:abstractNum w:abstractNumId="43">
    <w:nsid w:val="1CF10FD8"/>
    <w:multiLevelType w:val="hybridMultilevel"/>
    <w:lvl w:ilvl="0">
      <w:lvlJc w:val="left"/>
      <w:lvlText w:val="%1"/>
      <w:numFmt w:val="lowerLetter"/>
      <w:start w:val="1"/>
    </w:lvl>
    <w:lvl w:ilvl="1">
      <w:lvlJc w:val="left"/>
      <w:lvlText w:val="(%2)"/>
      <w:numFmt w:val="lowerLetter"/>
      <w:start w:val="2"/>
    </w:lvl>
  </w:abstractNum>
  <w:abstractNum w:abstractNumId="44">
    <w:nsid w:val="180115BE"/>
    <w:multiLevelType w:val="hybridMultilevel"/>
    <w:lvl w:ilvl="0">
      <w:lvlJc w:val="left"/>
      <w:lvlText w:val="(%1)"/>
      <w:numFmt w:val="lowerLetter"/>
      <w:start w:val="61"/>
    </w:lvl>
    <w:lvl w:ilvl="1">
      <w:lvlJc w:val="left"/>
      <w:lvlText w:val="%2"/>
      <w:numFmt w:val="lowerLetter"/>
      <w:start w:val="1"/>
    </w:lvl>
  </w:abstractNum>
  <w:abstractNum w:abstractNumId="45">
    <w:nsid w:val="235BA861"/>
    <w:multiLevelType w:val="hybridMultilevel"/>
    <w:lvl w:ilvl="0">
      <w:lvlJc w:val="left"/>
      <w:lvlText w:val="%1."/>
      <w:numFmt w:val="decimal"/>
      <w:start w:val="7"/>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3"/>
    </w:lvl>
  </w:abstractNum>
  <w:abstractNum w:abstractNumId="48">
    <w:nsid w:val="15B5AF5C"/>
    <w:multiLevelType w:val="hybridMultilevel"/>
    <w:lvl w:ilvl="0">
      <w:lvlJc w:val="left"/>
      <w:lvlText w:val="%1."/>
      <w:numFmt w:val="decimal"/>
      <w:start w:val="9"/>
    </w:lvl>
  </w:abstractNum>
  <w:abstractNum w:abstractNumId="49">
    <w:nsid w:val="741226BB"/>
    <w:multiLevelType w:val="hybridMultilevel"/>
    <w:lvl w:ilvl="0">
      <w:lvlJc w:val="left"/>
      <w:lvlText w:val="%1."/>
      <w:numFmt w:val="decimal"/>
      <w:start w:val="11"/>
    </w:lvl>
  </w:abstractNum>
  <w:abstractNum w:abstractNumId="50">
    <w:nsid w:val="D34B6A8"/>
    <w:multiLevelType w:val="hybridMultilevel"/>
    <w:lvl w:ilvl="0">
      <w:lvlJc w:val="left"/>
      <w:lvlText w:val="%1."/>
      <w:numFmt w:val="decimal"/>
      <w:start w:val="20"/>
    </w:lvl>
  </w:abstractNum>
  <w:abstractNum w:abstractNumId="51">
    <w:nsid w:val="10233C99"/>
    <w:multiLevelType w:val="hybridMultilevel"/>
    <w:lvl w:ilvl="0">
      <w:lvlJc w:val="left"/>
      <w:lvlText w:val="%1."/>
      <w:numFmt w:val="decimal"/>
      <w:start w:val="21"/>
    </w:lvl>
  </w:abstractNum>
  <w:abstractNum w:abstractNumId="52">
    <w:nsid w:val="3F6AB60F"/>
    <w:multiLevelType w:val="hybridMultilevel"/>
    <w:lvl w:ilvl="0">
      <w:lvlJc w:val="left"/>
      <w:lvlText w:val="(%1)"/>
      <w:numFmt w:val="lowerRoman"/>
      <w:start w:val="1"/>
    </w:lvl>
  </w:abstractNum>
  <w:abstractNum w:abstractNumId="53">
    <w:nsid w:val="61574095"/>
    <w:multiLevelType w:val="hybridMultilevel"/>
    <w:lvl w:ilvl="0">
      <w:lvlJc w:val="left"/>
      <w:lvlText w:val="(%1)"/>
      <w:numFmt w:val="lowerRoman"/>
      <w:start w:val="1"/>
    </w:lvl>
  </w:abstractNum>
  <w:abstractNum w:abstractNumId="54">
    <w:nsid w:val="7E0C57B1"/>
    <w:multiLevelType w:val="hybridMultilevel"/>
    <w:lvl w:ilvl="0">
      <w:lvlJc w:val="left"/>
      <w:lvlText w:val="(%1)"/>
      <w:numFmt w:val="lowerRoman"/>
      <w:start w:val="1"/>
    </w:lvl>
  </w:abstractNum>
  <w:abstractNum w:abstractNumId="55">
    <w:nsid w:val="77AE35EB"/>
    <w:multiLevelType w:val="hybridMultilevel"/>
    <w:lvl w:ilvl="0">
      <w:lvlJc w:val="left"/>
      <w:lvlText w:val="%1."/>
      <w:numFmt w:val="upperLetter"/>
      <w:start w:val="35"/>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2"/>
    </w:lvl>
    <w:lvl w:ilvl="1">
      <w:lvlJc w:val="left"/>
      <w:lvlText w:val="(%2)"/>
      <w:numFmt w:val="lowerLetter"/>
      <w:start w:val="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2"/>
    </w:lvl>
  </w:abstractNum>
  <w:abstractNum w:abstractNumId="61">
    <w:nsid w:val="1DBABF00"/>
    <w:multiLevelType w:val="hybridMultilevel"/>
    <w:lvl w:ilvl="0">
      <w:lvlJc w:val="left"/>
      <w:lvlText w:val="%1."/>
      <w:numFmt w:val="decimal"/>
      <w:start w:val="7"/>
    </w:lvl>
  </w:abstractNum>
  <w:abstractNum w:abstractNumId="62">
    <w:nsid w:val="4AD084E9"/>
    <w:multiLevelType w:val="hybridMultilevel"/>
    <w:lvl w:ilvl="0">
      <w:lvlJc w:val="left"/>
      <w:lvlText w:val="%1."/>
      <w:numFmt w:val="decimal"/>
      <w:start w:val="8"/>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lowerLetter"/>
      <w:start w:val="2"/>
    </w:lvl>
  </w:abstractNum>
  <w:abstractNum w:abstractNumId="65">
    <w:nsid w:val="5DB70AE5"/>
    <w:multiLevelType w:val="hybridMultilevel"/>
    <w:lvl w:ilvl="0">
      <w:lvlJc w:val="left"/>
      <w:lvlText w:val="%1."/>
      <w:numFmt w:val="decimal"/>
      <w:start w:val="10"/>
    </w:lvl>
  </w:abstractNum>
  <w:abstractNum w:abstractNumId="66">
    <w:nsid w:val="100F8FCA"/>
    <w:multiLevelType w:val="hybridMultilevel"/>
    <w:lvl w:ilvl="0">
      <w:lvlJc w:val="left"/>
      <w:lvlText w:val="%1."/>
      <w:numFmt w:val="decimal"/>
      <w:start w:val="12"/>
    </w:lvl>
  </w:abstractNum>
  <w:abstractNum w:abstractNumId="67">
    <w:nsid w:val="6590700B"/>
    <w:multiLevelType w:val="hybridMultilevel"/>
    <w:lvl w:ilvl="0">
      <w:lvlJc w:val="left"/>
      <w:lvlText w:val="%1."/>
      <w:numFmt w:val="decimal"/>
      <w:start w:val="19"/>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2019-12-09T15:55:34Z</dcterms:created>
  <dcterms:modified xsi:type="dcterms:W3CDTF">2019-12-09T15:55:34Z</dcterms:modified>
</cp:coreProperties>
</file>