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1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ind w:left="5080"/>
        <w:spacing w:after="0"/>
        <w:rPr>
          <w:sz w:val="20"/>
          <w:szCs w:val="20"/>
          <w:color w:val="auto"/>
        </w:rPr>
      </w:pPr>
      <w:r>
        <w:rPr>
          <w:rFonts w:ascii="Arial" w:cs="Arial" w:eastAsia="Arial" w:hAnsi="Arial"/>
          <w:sz w:val="23"/>
          <w:szCs w:val="23"/>
          <w:b w:val="1"/>
          <w:bCs w:val="1"/>
          <w:color w:val="auto"/>
        </w:rPr>
        <w:t>FORM 10-K</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4020" w:right="1120" w:hanging="3985"/>
        <w:spacing w:after="0" w:line="461" w:lineRule="auto"/>
        <w:tabs>
          <w:tab w:leader="none" w:pos="39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spacing w:after="0" w:line="2"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5980" w:type="dxa"/>
            <w:vAlign w:val="bottom"/>
          </w:tcPr>
          <w:p>
            <w:pPr>
              <w:ind w:left="3600"/>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84"/>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9"/>
              </w:rPr>
              <w:t>Commission file number: 001-34511</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7"/>
        </w:trPr>
        <w:tc>
          <w:tcPr>
            <w:tcW w:w="7300" w:type="dxa"/>
            <w:vAlign w:val="bottom"/>
            <w:gridSpan w:val="4"/>
          </w:tcPr>
          <w:p>
            <w:pPr>
              <w:jc w:val="center"/>
              <w:ind w:left="3471"/>
              <w:spacing w:after="0"/>
              <w:rPr>
                <w:sz w:val="20"/>
                <w:szCs w:val="20"/>
                <w:color w:val="auto"/>
              </w:rPr>
            </w:pPr>
            <w:r>
              <w:rPr>
                <w:rFonts w:ascii="Arial" w:cs="Arial" w:eastAsia="Arial" w:hAnsi="Arial"/>
                <w:sz w:val="18"/>
                <w:szCs w:val="18"/>
                <w:color w:val="auto"/>
                <w:w w:val="89"/>
              </w:rPr>
              <w:t>______________________________________</w:t>
            </w: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29"/>
        </w:trPr>
        <w:tc>
          <w:tcPr>
            <w:tcW w:w="6520" w:type="dxa"/>
            <w:vAlign w:val="bottom"/>
            <w:gridSpan w:val="2"/>
          </w:tcPr>
          <w:p>
            <w:pPr>
              <w:jc w:val="center"/>
              <w:ind w:left="4291"/>
              <w:spacing w:after="0"/>
              <w:rPr>
                <w:sz w:val="20"/>
                <w:szCs w:val="20"/>
                <w:color w:val="auto"/>
              </w:rPr>
            </w:pPr>
            <w:r>
              <w:rPr>
                <w:rFonts w:ascii="Arial" w:cs="Arial" w:eastAsia="Arial" w:hAnsi="Arial"/>
                <w:sz w:val="25"/>
                <w:szCs w:val="25"/>
                <w:b w:val="1"/>
                <w:bCs w:val="1"/>
                <w:color w:val="auto"/>
              </w:rPr>
              <w:t>FORTINET, INC.</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8"/>
        </w:trPr>
        <w:tc>
          <w:tcPr>
            <w:tcW w:w="8620" w:type="dxa"/>
            <w:vAlign w:val="bottom"/>
            <w:gridSpan w:val="5"/>
          </w:tcPr>
          <w:p>
            <w:pPr>
              <w:jc w:val="center"/>
              <w:ind w:left="215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6"/>
        </w:trPr>
        <w:tc>
          <w:tcPr>
            <w:tcW w:w="7300" w:type="dxa"/>
            <w:vAlign w:val="bottom"/>
            <w:gridSpan w:val="4"/>
          </w:tcPr>
          <w:p>
            <w:pPr>
              <w:jc w:val="center"/>
              <w:ind w:left="3491"/>
              <w:spacing w:after="0"/>
              <w:rPr>
                <w:sz w:val="20"/>
                <w:szCs w:val="20"/>
                <w:color w:val="auto"/>
              </w:rPr>
            </w:pPr>
            <w:r>
              <w:rPr>
                <w:rFonts w:ascii="Arial" w:cs="Arial" w:eastAsia="Arial" w:hAnsi="Arial"/>
                <w:sz w:val="16"/>
                <w:szCs w:val="16"/>
                <w:color w:val="auto"/>
                <w:w w:val="91"/>
              </w:rPr>
              <w:t>______________________________________</w:t>
            </w: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587"/>
        </w:trPr>
        <w:tc>
          <w:tcPr>
            <w:tcW w:w="65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25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77-0560389</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43"/>
        </w:trPr>
        <w:tc>
          <w:tcPr>
            <w:tcW w:w="6520" w:type="dxa"/>
            <w:vAlign w:val="bottom"/>
            <w:gridSpan w:val="2"/>
          </w:tcPr>
          <w:p>
            <w:pPr>
              <w:jc w:val="center"/>
              <w:ind w:right="1340"/>
              <w:spacing w:after="0"/>
              <w:rPr>
                <w:sz w:val="20"/>
                <w:szCs w:val="20"/>
                <w:color w:val="auto"/>
              </w:rPr>
            </w:pPr>
            <w:r>
              <w:rPr>
                <w:rFonts w:ascii="Arial" w:cs="Arial" w:eastAsia="Arial" w:hAnsi="Arial"/>
                <w:sz w:val="16"/>
                <w:szCs w:val="16"/>
                <w:b w:val="1"/>
                <w:bCs w:val="1"/>
                <w:color w:val="auto"/>
                <w:w w:val="91"/>
              </w:rPr>
              <w:t>(State or other jurisdiction of</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6"/>
              </w:rPr>
              <w:t>(I.R.S. Employer</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0"/>
        </w:trPr>
        <w:tc>
          <w:tcPr>
            <w:tcW w:w="652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2"/>
              </w:rPr>
              <w:t>incorporation or organization)</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3"/>
              </w:rPr>
              <w:t>Identification No.)</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3"/>
        </w:trPr>
        <w:tc>
          <w:tcPr>
            <w:tcW w:w="652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3"/>
              </w:rPr>
              <w:t>899 Kifer Road</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4"/>
        </w:trPr>
        <w:tc>
          <w:tcPr>
            <w:tcW w:w="65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Sunnyvale, California</w:t>
            </w:r>
          </w:p>
        </w:tc>
        <w:tc>
          <w:tcPr>
            <w:tcW w:w="2100" w:type="dxa"/>
            <w:vAlign w:val="bottom"/>
            <w:gridSpan w:val="3"/>
          </w:tcPr>
          <w:p>
            <w:pPr>
              <w:jc w:val="right"/>
              <w:ind w:right="17"/>
              <w:spacing w:after="0"/>
              <w:rPr>
                <w:sz w:val="20"/>
                <w:szCs w:val="20"/>
                <w:color w:val="auto"/>
              </w:rPr>
            </w:pPr>
            <w:r>
              <w:rPr>
                <w:rFonts w:ascii="Arial" w:cs="Arial" w:eastAsia="Arial" w:hAnsi="Arial"/>
                <w:sz w:val="18"/>
                <w:szCs w:val="18"/>
                <w:b w:val="1"/>
                <w:bCs w:val="1"/>
                <w:color w:val="auto"/>
              </w:rPr>
              <w:t>94086</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1"/>
        </w:trPr>
        <w:tc>
          <w:tcPr>
            <w:tcW w:w="652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3"/>
              </w:rPr>
              <w:t>(Zip Code)</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5"/>
        </w:trPr>
        <w:tc>
          <w:tcPr>
            <w:tcW w:w="6520" w:type="dxa"/>
            <w:vAlign w:val="bottom"/>
            <w:gridSpan w:val="2"/>
          </w:tcPr>
          <w:p>
            <w:pPr>
              <w:jc w:val="center"/>
              <w:ind w:left="4271"/>
              <w:spacing w:after="0"/>
              <w:rPr>
                <w:sz w:val="20"/>
                <w:szCs w:val="20"/>
                <w:color w:val="auto"/>
              </w:rPr>
            </w:pPr>
            <w:r>
              <w:rPr>
                <w:rFonts w:ascii="Arial" w:cs="Arial" w:eastAsia="Arial" w:hAnsi="Arial"/>
                <w:sz w:val="18"/>
                <w:szCs w:val="18"/>
                <w:b w:val="1"/>
                <w:bCs w:val="1"/>
                <w:color w:val="auto"/>
                <w:w w:val="90"/>
              </w:rPr>
              <w:t>(408) 235-7700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8620" w:type="dxa"/>
            <w:vAlign w:val="bottom"/>
            <w:gridSpan w:val="5"/>
          </w:tcPr>
          <w:p>
            <w:pPr>
              <w:jc w:val="center"/>
              <w:ind w:left="215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8"/>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65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Common Stock, $0.001 Par Value</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534"/>
        </w:trPr>
        <w:tc>
          <w:tcPr>
            <w:tcW w:w="652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w w:val="88"/>
              </w:rPr>
              <w:t>(Title of each class)</w:t>
            </w:r>
          </w:p>
        </w:tc>
        <w:tc>
          <w:tcPr>
            <w:tcW w:w="240" w:type="dxa"/>
            <w:vAlign w:val="bottom"/>
          </w:tcPr>
          <w:p>
            <w:pPr>
              <w:spacing w:after="0"/>
              <w:rPr>
                <w:sz w:val="24"/>
                <w:szCs w:val="24"/>
                <w:color w:val="auto"/>
              </w:rPr>
            </w:pPr>
          </w:p>
        </w:tc>
        <w:tc>
          <w:tcPr>
            <w:tcW w:w="3260" w:type="dxa"/>
            <w:vAlign w:val="bottom"/>
            <w:gridSpan w:val="5"/>
          </w:tcPr>
          <w:p>
            <w:pPr>
              <w:jc w:val="center"/>
              <w:ind w:left="419"/>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411"/>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480" w:type="dxa"/>
            <w:vAlign w:val="bottom"/>
          </w:tcPr>
          <w:p>
            <w:pPr>
              <w:spacing w:after="0"/>
              <w:rPr>
                <w:sz w:val="20"/>
                <w:szCs w:val="20"/>
                <w:color w:val="auto"/>
              </w:rPr>
            </w:pPr>
            <w:r>
              <w:rPr>
                <w:rFonts w:ascii="Arial" w:cs="Arial" w:eastAsia="Arial" w:hAnsi="Arial"/>
                <w:sz w:val="18"/>
                <w:szCs w:val="18"/>
                <w:color w:val="auto"/>
              </w:rPr>
              <w:t>Yes x</w:t>
            </w:r>
          </w:p>
        </w:tc>
        <w:tc>
          <w:tcPr>
            <w:tcW w:w="420" w:type="dxa"/>
            <w:vAlign w:val="bottom"/>
          </w:tcPr>
          <w:p>
            <w:pPr>
              <w:ind w:left="140"/>
              <w:spacing w:after="0"/>
              <w:rPr>
                <w:sz w:val="20"/>
                <w:szCs w:val="20"/>
                <w:color w:val="auto"/>
              </w:rPr>
            </w:pPr>
            <w:r>
              <w:rPr>
                <w:rFonts w:ascii="Arial" w:cs="Arial" w:eastAsia="Arial" w:hAnsi="Arial"/>
                <w:sz w:val="18"/>
                <w:szCs w:val="18"/>
                <w:color w:val="auto"/>
              </w:rPr>
              <w:t>No</w:t>
            </w:r>
          </w:p>
        </w:tc>
        <w:tc>
          <w:tcPr>
            <w:tcW w:w="500" w:type="dxa"/>
            <w:vAlign w:val="bottom"/>
          </w:tcPr>
          <w:p>
            <w:pPr>
              <w:ind w:left="40"/>
              <w:spacing w:after="0"/>
              <w:rPr>
                <w:sz w:val="20"/>
                <w:szCs w:val="20"/>
                <w:color w:val="auto"/>
              </w:rPr>
            </w:pPr>
            <w:r>
              <w:rPr>
                <w:rFonts w:ascii="Arial" w:cs="Arial" w:eastAsia="Arial" w:hAnsi="Arial"/>
                <w:sz w:val="18"/>
                <w:szCs w:val="18"/>
                <w:color w:val="auto"/>
              </w:rPr>
              <w:t>o</w:t>
            </w: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8"/>
                <w:szCs w:val="18"/>
                <w:color w:val="auto"/>
                <w:w w:val="96"/>
              </w:rPr>
              <w:t>Yes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o No</w:t>
            </w:r>
          </w:p>
        </w:tc>
        <w:tc>
          <w:tcPr>
            <w:tcW w:w="500" w:type="dxa"/>
            <w:vAlign w:val="bottom"/>
          </w:tcPr>
          <w:p>
            <w:pPr>
              <w:ind w:left="60"/>
              <w:spacing w:after="0"/>
              <w:rPr>
                <w:sz w:val="20"/>
                <w:szCs w:val="20"/>
                <w:color w:val="auto"/>
              </w:rPr>
            </w:pPr>
            <w:r>
              <w:rPr>
                <w:rFonts w:ascii="Arial" w:cs="Arial" w:eastAsia="Arial" w:hAnsi="Arial"/>
                <w:sz w:val="18"/>
                <w:szCs w:val="18"/>
                <w:color w:val="auto"/>
              </w:rPr>
              <w:t>x</w:t>
            </w:r>
          </w:p>
        </w:tc>
      </w:tr>
    </w:tbl>
    <w:p>
      <w:pPr>
        <w:sectPr>
          <w:pgSz w:w="11900" w:h="16838" w:orient="portrait"/>
          <w:cols w:equalWidth="0" w:num="1">
            <w:col w:w="10300"/>
          </w:cols>
          <w:pgMar w:left="240" w:top="229" w:right="135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27" w:lineRule="exact"/>
        <w:rPr>
          <w:sz w:val="20"/>
          <w:szCs w:val="20"/>
          <w:color w:val="auto"/>
        </w:rPr>
      </w:pPr>
    </w:p>
    <w:p>
      <w:pPr>
        <w:ind w:right="10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21" w:right="259" w:bottom="1440" w:gutter="0" w:footer="0" w:header="0"/>
        </w:sectPr>
      </w:pP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0"/>
          <w:szCs w:val="20"/>
          <w:color w:val="auto"/>
        </w:rPr>
      </w:pPr>
    </w:p>
    <w:p>
      <w:pPr>
        <w:sectPr>
          <w:pgSz w:w="11900" w:h="16838" w:orient="portrait"/>
          <w:cols w:equalWidth="0" w:num="4">
            <w:col w:w="2000" w:space="720"/>
            <w:col w:w="4780" w:space="720"/>
            <w:col w:w="1960" w:space="720"/>
            <w:col w:w="500"/>
          </w:cols>
          <w:pgMar w:left="240" w:top="121" w:right="25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0"/>
          <w:szCs w:val="20"/>
          <w:color w:val="auto"/>
        </w:rPr>
      </w:pPr>
    </w:p>
    <w:p>
      <w:pPr>
        <w:sectPr>
          <w:pgSz w:w="11900" w:h="16838" w:orient="portrait"/>
          <w:cols w:equalWidth="0" w:num="4">
            <w:col w:w="2000" w:space="720"/>
            <w:col w:w="4780" w:space="720"/>
            <w:col w:w="1960" w:space="720"/>
            <w:col w:w="500"/>
          </w:cols>
          <w:pgMar w:left="240" w:top="121" w:right="2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0"/>
          <w:szCs w:val="20"/>
          <w:color w:val="auto"/>
        </w:rPr>
      </w:pPr>
    </w:p>
    <w:p>
      <w:pPr>
        <w:sectPr>
          <w:pgSz w:w="11900" w:h="16838" w:orient="portrait"/>
          <w:cols w:equalWidth="0" w:num="3">
            <w:col w:w="7700" w:space="180"/>
            <w:col w:w="440" w:space="220"/>
            <w:col w:w="2860"/>
          </w:cols>
          <w:pgMar w:left="240" w:top="121" w:right="259" w:bottom="1440" w:gutter="0" w:footer="0" w:header="0"/>
          <w:type w:val="continuous"/>
        </w:sectPr>
      </w:pPr>
    </w:p>
    <w:p>
      <w:pPr>
        <w:ind w:right="60" w:firstLine="270"/>
        <w:spacing w:after="0" w:line="257" w:lineRule="auto"/>
        <w:rPr>
          <w:sz w:val="20"/>
          <w:szCs w:val="20"/>
          <w:color w:val="auto"/>
        </w:rPr>
      </w:pPr>
      <w:r>
        <w:rPr>
          <w:rFonts w:ascii="Arial" w:cs="Arial" w:eastAsia="Arial" w:hAnsi="Arial"/>
          <w:sz w:val="18"/>
          <w:szCs w:val="18"/>
          <w:color w:val="auto"/>
        </w:rPr>
        <w:t>The aggregate market value of voting stock held by non-affiliates of the registrant, as of June 30, 2016, the last business day of the registrant’s most recently completed second quarter, was $3,631,280,546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34" w:lineRule="exact"/>
        <w:rPr>
          <w:sz w:val="20"/>
          <w:szCs w:val="20"/>
          <w:color w:val="auto"/>
        </w:rPr>
      </w:pPr>
    </w:p>
    <w:p>
      <w:pPr>
        <w:jc w:val="right"/>
        <w:ind w:left="280" w:right="3740"/>
        <w:spacing w:after="0" w:line="438" w:lineRule="auto"/>
        <w:rPr>
          <w:sz w:val="20"/>
          <w:szCs w:val="20"/>
          <w:color w:val="auto"/>
        </w:rPr>
      </w:pPr>
      <w:r>
        <w:rPr>
          <w:rFonts w:ascii="Arial" w:cs="Arial" w:eastAsia="Arial" w:hAnsi="Arial"/>
          <w:sz w:val="18"/>
          <w:szCs w:val="18"/>
          <w:color w:val="auto"/>
        </w:rPr>
        <w:t>As of February 17, 2017, there were 175,320,023 shares of the registrant’s common stock outstanding. DOCUMENTS INCORPORATED BY REFERENCE</w:t>
      </w:r>
    </w:p>
    <w:p>
      <w:pPr>
        <w:spacing w:after="0" w:line="1"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Portions of the registrant’s definitive Proxy Statement relating to its 2017 Annual Meeting of Stockholders are incorporated by reference into Part III of this Annual Report on Form 10-K where indicated. Such Proxy Statement will be filed with the United States Securities and Exchange Commission (“SEC”) within 120 days after the end of the fiscal year to which this report relates.</w:t>
      </w:r>
    </w:p>
    <w:p>
      <w:pPr>
        <w:sectPr>
          <w:pgSz w:w="11900" w:h="16838" w:orient="portrait"/>
          <w:cols w:equalWidth="0" w:num="1">
            <w:col w:w="11400"/>
          </w:cols>
          <w:pgMar w:left="240" w:top="121"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FORTINET, INC.</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9"/>
              </w:rPr>
              <w:t>ANNUAL REPORT ON FORM 10-K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0"/>
              </w:rPr>
              <w:t>For the Year Ended December 31, 2016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gridSpan w:val="5"/>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gridSpan w:val="6"/>
            <w:vMerge w:val="restart"/>
          </w:tcPr>
          <w:p>
            <w:pPr>
              <w:jc w:val="center"/>
              <w:ind w:right="4340"/>
              <w:spacing w:after="0"/>
              <w:rPr>
                <w:sz w:val="20"/>
                <w:szCs w:val="20"/>
                <w:color w:val="auto"/>
              </w:rPr>
            </w:pPr>
            <w:r>
              <w:rPr>
                <w:rFonts w:ascii="Arial" w:cs="Arial" w:eastAsia="Arial" w:hAnsi="Arial"/>
                <w:sz w:val="18"/>
                <w:szCs w:val="18"/>
                <w:b w:val="1"/>
                <w:bCs w:val="1"/>
                <w:color w:val="auto"/>
              </w:rPr>
              <w:t>Part I</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140" w:type="dxa"/>
            <w:vAlign w:val="bottom"/>
            <w:gridSpan w:val="19"/>
          </w:tcPr>
          <w:p>
            <w:pPr>
              <w:spacing w:after="0"/>
              <w:rPr>
                <w:sz w:val="24"/>
                <w:szCs w:val="24"/>
                <w:color w:val="auto"/>
              </w:rPr>
            </w:pPr>
          </w:p>
        </w:tc>
        <w:tc>
          <w:tcPr>
            <w:tcW w:w="56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880" w:type="dxa"/>
            <w:vAlign w:val="bottom"/>
            <w:gridSpan w:val="16"/>
          </w:tcPr>
          <w:p>
            <w:pPr>
              <w:spacing w:after="0"/>
              <w:rPr>
                <w:sz w:val="21"/>
                <w:szCs w:val="21"/>
                <w:color w:val="auto"/>
              </w:rPr>
            </w:pPr>
          </w:p>
        </w:tc>
        <w:tc>
          <w:tcPr>
            <w:tcW w:w="56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Unresolved Staff Comments</w:t>
              </w:r>
            </w:hyperlink>
          </w:p>
        </w:tc>
        <w:tc>
          <w:tcPr>
            <w:tcW w:w="774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774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1720" w:type="dxa"/>
            <w:vAlign w:val="bottom"/>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332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5480" w:type="dxa"/>
            <w:vAlign w:val="bottom"/>
            <w:gridSpan w:val="6"/>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780" w:type="dxa"/>
            <w:vAlign w:val="bottom"/>
            <w:gridSpan w:val="2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6500" w:type="dxa"/>
            <w:vAlign w:val="bottom"/>
            <w:gridSpan w:val="1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Controls and Procedures</w:t>
              </w:r>
            </w:hyperlink>
          </w:p>
        </w:tc>
        <w:tc>
          <w:tcPr>
            <w:tcW w:w="3280" w:type="dxa"/>
            <w:vAlign w:val="bottom"/>
            <w:gridSpan w:val="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8020" w:type="dxa"/>
            <w:vAlign w:val="bottom"/>
            <w:gridSpan w:val="1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Directors, Executive Officers and Corporate Governance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5700" w:type="dxa"/>
            <w:vAlign w:val="bottom"/>
            <w:gridSpan w:val="7"/>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2500" w:type="dxa"/>
            <w:vAlign w:val="bottom"/>
            <w:gridSpan w:val="2"/>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Principal Accounting Fees and Services</w:t>
              </w:r>
            </w:hyperlink>
          </w:p>
        </w:tc>
        <w:tc>
          <w:tcPr>
            <w:tcW w:w="4340" w:type="dxa"/>
            <w:vAlign w:val="bottom"/>
            <w:gridSpan w:val="5"/>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gridSpan w:val="11"/>
          </w:tcPr>
          <w:p>
            <w:pPr>
              <w:spacing w:after="0"/>
              <w:rPr>
                <w:rFonts w:ascii="Arial" w:cs="Arial" w:eastAsia="Arial" w:hAnsi="Arial"/>
                <w:sz w:val="18"/>
                <w:szCs w:val="18"/>
                <w:color w:val="0000EE"/>
                <w:w w:val="89"/>
              </w:rPr>
            </w:pPr>
            <w:hyperlink w:anchor="page102">
              <w:r>
                <w:rPr>
                  <w:rFonts w:ascii="Arial" w:cs="Arial" w:eastAsia="Arial" w:hAnsi="Arial"/>
                  <w:sz w:val="18"/>
                  <w:szCs w:val="18"/>
                  <w:color w:val="0000EE"/>
                  <w:w w:val="89"/>
                </w:rPr>
                <w:t>Exhibits, Financial Statement Schedules</w:t>
              </w:r>
            </w:hyperlink>
          </w:p>
        </w:tc>
        <w:tc>
          <w:tcPr>
            <w:tcW w:w="6880" w:type="dxa"/>
            <w:vAlign w:val="bottom"/>
            <w:gridSpan w:val="9"/>
          </w:tcPr>
          <w:p>
            <w:pPr>
              <w:spacing w:after="0"/>
              <w:rPr>
                <w:sz w:val="24"/>
                <w:szCs w:val="24"/>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04">
              <w:r>
                <w:rPr>
                  <w:rFonts w:ascii="Arial" w:cs="Arial" w:eastAsia="Arial" w:hAnsi="Arial"/>
                  <w:sz w:val="18"/>
                  <w:szCs w:val="18"/>
                  <w:color w:val="0000EE"/>
                  <w:w w:val="85"/>
                </w:rPr>
                <w:t>Signatures</w:t>
              </w:r>
            </w:hyperlink>
          </w:p>
        </w:tc>
        <w:tc>
          <w:tcPr>
            <w:tcW w:w="2140" w:type="dxa"/>
            <w:vAlign w:val="bottom"/>
            <w:gridSpan w:val="8"/>
          </w:tcPr>
          <w:p>
            <w:pPr>
              <w:spacing w:after="0"/>
              <w:rPr>
                <w:sz w:val="21"/>
                <w:szCs w:val="21"/>
                <w:color w:val="auto"/>
              </w:rPr>
            </w:pPr>
          </w:p>
        </w:tc>
        <w:tc>
          <w:tcPr>
            <w:tcW w:w="6880" w:type="dxa"/>
            <w:vAlign w:val="bottom"/>
            <w:gridSpan w:val="9"/>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Fortinet is a global leader and innovator in network security. We provide high performance cybersecurity solutions to a wide variety of enterprises, service providers and government organizations of all sizes across the globe, including a majority of the 2016 Fortune 100. We provide protection against cyberattacks and the technology to take on increasing security performance requirements of the network. We offer a broad range of security products and solutions, providing customers with an integrated network security architecture and a single source of threat intelligence to identify and minimize security gaps.</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cyber threat environment is unprecedented both in terms of volume and sophistication of attacks. As a result, cybersecurity has increased in priority and management complexity for enterprises. The growing presence of the Internet of Things (“IoT”) and the move to the cloud necessitate increased levels of visibility and security orchestration across an expanding ecosystem of networks. Our common operating system, centralized management and open application program interfaces allow many of the solutions in our portfolio, along with those of our partner community, to be combined to create an Internet-based, integrated network security architecture (the “Fortinet Security Fabric”) designed to correlate threat intelligence, identify and respond to sophisticated threats and help protect complex next-generation environments.</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Fortinet Security Fabric provides an intelligent architectural approach to security that enables enterprises to weave together their traditionally discrete security solutions into an integrated whole. This end-to-end designed solution ensures ongoing security efficacy through a single source of threat intelligence, and provides a unified management and orchestration platform designed to minimize complexity and risk. Our patented cybersecurity innovations provide organizations with a broad range of security products and services focused on the edge and segmentation firewall, advanced threat protection (“ATP”), data center security, cloud security, secure access, endpoint and IoT device protection and connected unified threat management (“UTM”).</w:t>
      </w:r>
    </w:p>
    <w:p>
      <w:pPr>
        <w:spacing w:after="0" w:line="19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flagship integrated network security solution consists of our FortiGate physical, software and cloud solutions, which are deployable in the business environments of large enterprises, service providers and small and medium-sized businesses, as well as government organizations. These platforms provide a broad array of integrated security and networking functions to help protect data, applications and users from network- and content-level security threats. These functions, which can be integrated in a variety of ways, include firewall, intrusion prevention (“IPS”) anti-malware, application control, virtual private network (“VPN”), web-filtering, vulnerability management, anti-spam, mobile security, wireless controllers, access control and wide area network (“WAN”) acceleration. Our FortiGate appliance platform may be deployed as core firewalls, internal segmentation firewalls, next generation firewalls (“NGFW”), distributed firewalls, virtual firewalls, cloud firewalls, carrier class firewalls, data center firewalls (“DCFW”) and connected UTM systems. For access networks, we offer wireless access points and switch appliances, which integrate secure wireless and wired access capabilities into the FortiGate network security platform.</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FortiGate products integrate our high-performance Security Processing Unit (“SPU”), which is specifically designed for the accelerated processing of security and networking functions, and our FortiOS operating system, which provides a foundation for all FortiGate security functions. Our FortiGate, FortiManager, FortiAnalyzer and other related products work to provide deployment flexibility and visibility across physical and virtual networks and private, hybrid and public cloud infrastructure, as well as to endpoint and IoT devices. FortiManager provides customers with centralized management of multiple FortiGates, and FortiAnalyzer provides a single point of network log data collection. FortiSIEM provides organizations with a security intelligence solution covering the extended network from IoT to the cloud, with patented analytics that help manage network security, performance and compliance standards, all delivered through a single view. These products enable customers to implement security policies across large and increasingly distributed networks.</w:t>
      </w:r>
    </w:p>
    <w:p>
      <w:pPr>
        <w:spacing w:after="0" w:line="16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Fortinet Security Fabric also includes an array of products that further complement our FortiGate products to offer additional protection from security threats across networks. These products include our FortiMail email security, FortiSandbox ATP, FortiWeb web application firewall, FortiDDoS distributed denial of service attack mitigation appliances, FortiDB database security appliances, FortiClient endpoint security software, FortiAP secure wireless access points and FortiSwitch secure switch connectivity products.</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Supporting virtual and cloud-based deployments, we offer software licenses for the FortiGate, FortiManager, FortiAnalyzer, FortiWeb, FortiMail and FortiSandbox product lines that can be used in conjunction with Fortinet’s physical and virtual appliances to help ensure the visibility, management and protection of physical and virtualized environments. We also offer on-demand cloud-based versions of FortiGate and FortiWeb.</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complement our cybersecurity portfolio with FortiGuard security subscription and FortiCare technical support services, professional services and training services. Our FortiGuard security subscription uses global threat feeds and dedicated threat analysts to create real-time threat intelligence and security updates to complement and enhance Fortinet products. Our global FortiCare customer support team provides global technical support for all Fortinet products. We also provide a range of professional services to help organizations with the planning, design, implementation and optimization of their security infrastructures and technical training for customers and partners through our Network Security Expert Program.</w:t>
      </w:r>
    </w:p>
    <w:p>
      <w:pPr>
        <w:spacing w:after="0" w:line="17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typically sell our security solutions to channel partners, who in turn sell to end-customers. We also sell directly to end customers. Our end-customers are from a wide range of industries, including telecommunications, technology, government, financial services, education, retail, manufacturing and healthcare.</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During our year ended December 31, 2016, we generated total revenue of $1.28 billion and net income of $32.2 million. See Part II, Item 8 of this Annual Report on Form 10-K for more information on our consolidated balance sheets as of December 31, 2016 and 2015 and our consolidated statements of operations, comprehensive income, stockholders’ equity, and cash flows for each of the three years ended December 31, 2016, 2015 and 2014.</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were incorporated in Delaware in November 2000. Our principal executive office is located at 899 Kifer Road, Sunnyvale, California 94086 and our telephone number at that location is (408) 235-7700.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Architecture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proprietary SPU hardware architecture, FortiOS operating system and associated security and networking functions combine to form the Fortinet Security Fabric. This approach to security ties together all discrete security solutions into an integrated whole, which enables our products to perform security processing for networks with high throughput requirements across a broad threat landscape.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SPU</w:t>
      </w:r>
    </w:p>
    <w:p>
      <w:pPr>
        <w:spacing w:after="0" w:line="2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proprietary SPU consists of Application-Specific Integrated Circuits (“ASICs”) consisting of three main lines of processors: (i) the Content Processor (“SPU CP”), (ii) the Network Processor (“SPU NP”) and (iii) the System-on-a-Chip (“SPU SOC”). Our proprietary ASICs are designed to enhance the security processing capabilities implemented in software by accelerating computationally intensive tasks such as firewall policy enforcement, network address translation, IPS threat detection and encryption. This architecture provides the flexibility of implementing accelerated processing of new threat detection without requiring a new ASIC. The SPU CP is currently included in most of our entry-level and all of our mid-range and high-end FortiGate appliances. The SPU NP is currently included in some of our mid-range and high-end FortiGate appliances, delivering additional accelerated firewall and VPN performance. Entry-level FortiGate products (FortiGate 20 to 100 series) often use the SPU SOC2 or SPU SOC3 to provide the necessary acceleration at this level. Mid-range FortiGate products (FortiGate 200 to 900 series) use a central processing unit (“CPU”) and include the SPU NP and SPU CP hardware acceleration. The high-end FortiGate products (FortiGate 1000 to 7000 series) use multiple CPUs, SPU CPs and SPU NPs.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FortiOS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proprietary FortiOS operating system provides the foundation for the operation of all FortiGate appliances, whether physical, virtual, private or public cloud or on-demand based, and is at the heart of our Security Fabric implementation. The core kernel functions to the security processing feature sets work together to provide a highly integrated solution. FortiOS provides (i) multiple layers of security, including a hardened kernel layer providing protection for the FortiGate system, (ii) a network security layer providing security for end-customers’ network infrastructures and (iii) application content protection providing security for end-customers’ workstations and applications. FortiOS directs the operations of processors and SPUs and provides system management functions such as command-line, graphical user interfaces, multiple network and security topology views.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high-level functions and capabilities of FortiOS include:</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key enabling for the Fortinet Security Fabric architecture;</w:t>
      </w:r>
    </w:p>
    <w:p>
      <w:pPr>
        <w:spacing w:after="0" w:line="23" w:lineRule="exact"/>
        <w:rPr>
          <w:rFonts w:ascii="Arial" w:cs="Arial" w:eastAsia="Arial" w:hAnsi="Arial"/>
          <w:sz w:val="18"/>
          <w:szCs w:val="18"/>
          <w:color w:val="auto"/>
        </w:rPr>
      </w:pPr>
    </w:p>
    <w:p>
      <w:pPr>
        <w:ind w:left="1300" w:right="280" w:hanging="320"/>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helping enable FortiGate appliances to be configured into different security environments such as our Internal Network Firewall, NGFW and DCFW;</w:t>
      </w: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configuration of the physical aspects of the appliance such as ports, Wi-Fi and switching;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key network functions such as routing and deployment modes (network routing, transparent, sniffer, etc.);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implementation of security updates delivering ATP, such as IPS, antivirus and application control;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cloud-based web and email filtering databases;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integration with both cloud and on premises FortiSandbox technology;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policy objects and enforcement;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leak prevention and document finger printing;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real-time reporting and logging.</w:t>
      </w:r>
    </w:p>
    <w:p>
      <w:pPr>
        <w:spacing w:after="0" w:line="2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make updates to FortiOS available through our FortiCare technical support services. FortiOS also enables advanced, integrated routing and switching, allowing end-customers to deploy FortiGate devices within a wide variety of networks, as well as providing a direct replacement solution option for legacy switching and routing equipment. FortiOS implements a suite of commonly used standards-based routing protocols as well as address translation technologies, allowing the FortiGate appliance to integrate and operate in a wide variety of network environments. Additional features include virtual domain capabilities, traffic queuing and shaping. These features enable administrators to set the appropriate configurations and policies that meet their infrastructure needs. FortiOS also provides capabilities for logging of traffic for forensic analysis purposes which are particularly important for regulatory compliance initiatives like payment card industry data security standard. FortiOS is designed to help control network traffic in order to optimize performance by including functionality such as packet classification, queue disciplines, policy enforcement, congestion management, WAN optimization and caching.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core product offerings consist of our FortiGate product family, along with our FortiManager central management, FortiAnalyzer central logging and reporting product families, all of which are typically purchased to complement commercial and enterprise deployments. Our FortiGate physical and software licenses are sold with a set of broad security services. These security services are enabled by FortiGuard which provides extensive threat research and a global cloud network to deliver protection services to each FortiGate appliance.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FortiGate</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flagship FortiGate physical and software licenses offer a broad set of security and networking functions, including firewall, intrusion prevention, anti-malware, VPN, application control, web filtering, anti-spam and WAN acceleration. All FortiGate models run on our FortiOS operating system. FortiGate platforms can be centrally managed through both embedded web-based and command line interfaces, as well as through FortiManager, which provides central management architecture for thousands of FortiGate physical and software licenses across a range of hypervisor platforms.</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By combining multiple network security functions in our purpose-built security platform, the FortiGate appliances provide broad, high quality protection capabilities and deployment flexibility while reducing the operational burden and costs associated with managing multiple point products. With over 30 models in the FortiGate product line, FortiGate is designed to address security requirements for small- to medium-sized businesses, large enterprises, service providers and government organizations worldwide.</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Typically, all FortiGate physical appliances include our SPUs to accelerate content and network security features implemented within FortiOS. The significant differences between each model are the performance and scalability targets each model is designed to meet, while the security features and associated services offered are common throughout all models. The FortiGate-20 through -100 series models are designed for perimeter protection for small-to medium-sized businesses. The FortiGate-200 through -900 series models are designed for perimeter deployment in medium-sized to large enterprise networks. The FortiGate-1000 through -7000 series models deliver high performance and scalable network security functionality for perimeter, data center and core deployment in large enterprise and service provider networks.</w:t>
      </w:r>
    </w:p>
    <w:p>
      <w:pPr>
        <w:spacing w:after="0" w:line="178"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We also incorporate additional technologies within FortiGate appliances that differentiate our solutions, including data leakage protection, traffic optimization, secure socket layer inspection, threat vulnerability management and wireless controller technology. In addition to these in-built features, we offer a full range of wireless access points and controllers, complementing FortiGate with the flexibility of wireless local area network access.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FortiSandbox</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FortiSandbox technology delivers proactive detection and mitigation with the capability to generate a directly actionable protection capability. Available in both hardware and cloud-based form, the FortiSandbox technology has a dual-layer sandbox complemented by FortiGuard’s anti-malware intelligence. FortiSandbox allows suspicious code to be subject to a set of multi-layer protection techniques culminating in execution within an operating system to allow detailed real-time behavioral analysis to be performed. When malicious code is identified in this way, a signature can be generated locally for distribution across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Fortinet Security Fabric. Additional insight on the nature of the threat is provided through an intuitive dashboard showing threat information, including system activity, exploit efforts, web traffic and any related subsequent downloads. In addition to integrating within FortiOS, the FortiSandbox can also deliver its detection and local threat intelligence to registered FortiMail, FortiWeb appliances and FortiClient enabled end points.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FortiSIEM</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FortiSIEM family of products provides a cloud-ready security information and event management (“SIEM”) solution for enterprises and service providers. FortiSIEM unifies analytics that are traditionally monitored discretely, parses the information and then processes it in an event-based analytics engine for handling real-time searches, rules, dashboards and ad-hoc queries. This unification of diverse sources of data enables organizations to create comprehensive dashboards and reports to identify root causes of threats, and take the steps necessary to remediate and prevent them in the future. Our FortiSIEM products are available either through subscription or perpetual licenses.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Fortinet Management and Analysis Products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Our FortiManager and FortiAnalyzer physical and software products are typically sold in conjunction with most commercial and enterprise deployments.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FortiManager. </w:t>
      </w:r>
      <w:r>
        <w:rPr>
          <w:rFonts w:ascii="Arial" w:cs="Arial" w:eastAsia="Arial" w:hAnsi="Arial"/>
          <w:sz w:val="18"/>
          <w:szCs w:val="18"/>
          <w:color w:val="auto"/>
        </w:rPr>
        <w:t>Our FortiManager family of products provides a central and scalable management solution for our FortiGate products,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updates, configuration, policy settings and security updates. One FortiManager product is capable of managing thousands of FortiGate units. FortiManager facilitates the coordination of policy-based provisioning, device configuration and operating system revision management, as well as network security monitoring and device control.</w:t>
      </w:r>
    </w:p>
    <w:p>
      <w:pPr>
        <w:spacing w:after="0" w:line="18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 xml:space="preserve">FortiAnalyzer. </w:t>
      </w:r>
      <w:r>
        <w:rPr>
          <w:rFonts w:ascii="Arial" w:cs="Arial" w:eastAsia="Arial" w:hAnsi="Arial"/>
          <w:sz w:val="16"/>
          <w:szCs w:val="16"/>
          <w:color w:val="auto"/>
        </w:rPr>
        <w:t>Our FortiAnalyzer family of products provides centralized network logging, analyzing and reporting solutions that securely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and log data from our FortiGate devices and other Fortinet products as well as third-party devices to enable network logging, analysis and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FortiGuard Security Subscription Services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Security requirements are dynamic due to the constantly changing nature of threats. Our FortiGuard Labs global threat research team uses automated and manual processes to identify emerging threats, collects threat samples, and replicates, reviews, characterizes and collates attack data. Based on this research, we develop updates for virus signatures, attack definitions, scanning engines and other security solution components to distribute to end-customers. Our FortiGuard security subscription services are designed to allow us to quickly deliver new threat detection capabilities to end-customers worldwide as new threats evolve. End-customers purchase FortiGuard security subscription services in advance, typically with terms of one to three years, to obtain access to regular updates for application control, antivirus, intrusion prevention, web filtering and anti-spam functions for our FortiGate products; antivirus, web filtering and VPN functions for our FortiClient software; antivirus and anti-spam functions for our FortiMail products; vulnerability management for our FortiGate, FortiAnalyzer and FortiMonitor products; database functions for our FortiDB appliance; web functions for our FortiWeb appliances; and ATP for our FortiSandbox on premise and cloud products. We provide FortiGuard security subscription services 24 hours a day, seven days a week.</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FortiCare Technical Support Services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FortiCare services portfolio includes technical support and extended product warranty, as well as advanced services to assist customers with the implementation and maintenance of their security appliances. For our standard technical support, our channel partners may provide first level support to the end-customer, especially for small- and medium-sized end-customers. We also provide all levels of support to our end-customers, as well as second- and third-level support where appropriate. We also provide knowledge management tools and customer self-help portals to help augment our support capabilities in an efficient and scalable manner. We deliver technical support to partners and end-customers 24 hours a day, seven days a week through regional technical support centers located worldwide. In addition to our appliance technical support services, we offer a range of advanced services, including premium support and professional services.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offer professional services to end-customers including Technical Account Managers (“TAMs”), Resident Engineers (“REs”) and professional service consultants for implementations.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Dedicated support engineers are available to help identify and eliminate issues before problems arise. These TAMs and REs are seasoned professionals with broad and deep experience in the security and networking field. Each TAM and RE acts as a single point of contact and customer advocate within Fortinet, and is focused on building and maintaining a deep understanding of our customers’ businesses and security requirements.</w:t>
      </w:r>
    </w:p>
    <w:p>
      <w:pPr>
        <w:spacing w:after="0" w:line="166"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Our professional services consultants help in the design of deployments of our products and work closely with end-customer engineers, managers and other project team members to implement our products according to design, utilizing network analysis tools, attack simulation software and scripts.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Services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We offer training services to our end-customers and channel partners through our training department and authorized training partners. We have also implemented a training certification program, Network Security Expert, to help ensure an understanding of our products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typically sell our security solutions to channel partners, who in turn sell to end-customers of various sizes and, at times, we also sell directly to end-customers. Our end-customers include small and medium-sized businesses, large enterprises, government organizations, and service providers, across a wide range of industries, including telecommunications, technology, government, financial services, education, retail, manufacturing and healthcare. An end-customer deployment may involve one of our appliances or thousands, depending on our end-customer’s size and security requirements. We also offer access to our products via the cloud through certain cloud providers such as Amazon Web Services and Microsoft Azure. Many of our customers also purchase our FortiGuard security subscription services and FortiCare technical support services. For information regarding our geographic revenue based on billing address, see Note 14 to our consolidated financial statements in Part II, Item 8 of this Annual Report on Form 10-K.</w:t>
      </w:r>
    </w:p>
    <w:p>
      <w:pPr>
        <w:spacing w:after="0" w:line="16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One distributor, Exclusive Networks Group (“Exclusive”), which distributed our solutions to a large group of resellers and end-customers, accounted for 15%, 18% and 20% of total revenue during 2014, 2015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primarily sell our products and services through a distribution model. We sell to distributors that sell to networking security and enterprise-focused resellers and service providers, who, in turn, sell to our end-customers. In certain cases, we sell directly to government-focused resellers, as well as to large service providers and financial institutions who have large purchasing power and unique customer deployment demands. We work with many technology distributors, including Exclusive, Fine Tec Computer, Ingram Micro Inc. and Arrow Electronics, Inc., and enterprise security-focused resellers including Westcon and Tech Data.</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support our channel partners with a dedicated team of experienced channel account managers, sales professionals and sales engineers who provide business planning, joint marketing strategy, and pre-sales and operational sales support. Additionally, our sales teams help drive and support large enterprise and service provider sales through a direct touch model. Our sales professionals and engineers typically work closely with our channel partners and directly engage with large end-customers to address their unique security and deployment requirements. To support our broadly dispersed global channel and end-customer base, we have sales professionals in over 80 countries around the world.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marketing strategy is focused on building our brand and driving end-customer demand for our security solutions. We use a combination of internal marketing professionals and a network of regional and global channel partners. Our internal marketing organization is responsible for messaging, branding, demand generation, product marketing, channel marketing, event marketing, digital marketing, communications, analyst relations, public relations and sales enablement. We focus our resources on campaigns, programs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2016, we continued to invest in sales and marketing to capture market share, particularly in the enterprise market where enterprise customers tend to have a higher lifetime value, and to further improve our growth. We intend to continue to make investments in our sales resources and infrastructure and marketing strategy, which are critical to support our growth.</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outsource the manufacturing of our security appliance products to a variety of contract manufacturers and original design manufacturers. Our current manufacturing partners include Micro-Star International Co., Wistron Corporation, Flextronics International Ltd, Senao Networks, Inc., Adlink Technology, Inc. and a number of Taiwan-based manufacturers. We submit purchase orders to our contract manufacturers that describe the type and quantities of our products to be manufactured, the delivery date and other delivery terms. Once our products are manufactured, they are sent to either our warehouse in California, or to our logistics partner in Taoyuan City, Taiwan, where accessory packaging and quality-control testing are performed. We believe that outsourcing our manufacturing and a substantial portion of our logistics enables us to focus resources on our core competencies. Our proprietary SPUs, which are the key to the performance of our appliances, are built by contract manufacturers including Faraday Technology Corporation (“Faraday”), Kawasaki Microelectronics America, Inc. (“K-Micro”) and Renesas Electronics Corporation (“Renesas”). These contract manufacturers use foundries operated by either United Microelectronics Corporation (“UMC”) or Taiwan Semiconductor Manufacturing Company Limited (“TSMC”), or their own foundry, such as Renesas’ fab.</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components included in our products are sourced from various suppliers by us or more frequently by our contract manufacturers. Some of the components important to our business, including specific types of CPUs from Intel Corporation (“Intel”), network chips from Broadcom Corporation (“Broadcom”), Marvell Technology Group Ltd. (“Marvell”) and Intel, and solid-state drives (silicon-based storage devices) from Intel, ADATA Technology Co., Ltd. (“ADATA”), OCZ Technology Group, Inc. (“OCZ”), Samsung Electronics Co., Ltd. (“Samsung”), and Western Digital Technologies, Inc. (“Western Digital”), are available from a limited or sole source of supply.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 long-term contracts related to the manufacturing of our ASICs or other components that guarantee any capacity or pricing terms.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focus our research and development efforts on developing new products and systems, and adding new features to existing products and systems. Our development strategy is to identify features, products and systems for both software and hardware that are, or are expected to be, important to our end-customers. Our success in designing, developing, manufacturing and selling new or enhanced products will depend on a variety of factors, including the identification of market demand for new products, product selection, timely implementation of product design and development, product performance, effective manufacturing and assembly processes and sales and marketing.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rely primarily on patent, trademark, copyright and trade secrets laws, confidentiality procedures and contractual provisions to protect our technology. As of December 31, 2016, we had 358 issued United States (“U.S.”) and foreign patents and 292 pending U.S. and foreign patent applications. We also license software from third parties for inclusion in our products, including open source software and other software available on commercially reasonable terms.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Despite our efforts to protect our rights in our technology, unauthorized parties may attempt to copy aspects of our products or obtain and use information that we regard as proprietary. We generally enter into confidentiality 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 of the U.S., and many foreign countries do not enforce these laws as diligently as government agencies and private parties in the U.S.</w:t>
      </w:r>
    </w:p>
    <w:p>
      <w:pPr>
        <w:spacing w:after="0" w:line="17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industry is characterized by the existence of a large number of patents and frequent claims and related litigation regarding patent and other intellectual property rights. Third parties have asserted, are currently asserting and may in the future assert patent, copyright, trademark or other intellectual property rights against us, our channel partners or our end-customers.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may offer a license to their technology, the terms of any offered license may not be acceptable and the failure to obtain a license or the costs associated with any license could cause our business, operating results or financial condition to be materially and adversely affected. We typically indemnify our end-customers, distributors and certain resellers against claims that our products infringe the intellectual property of third parties.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information regarding seasonality in our sales, see the section entitled “Management’s Discussion and Analysis of Financial Condition and Results of Operations—Quarterly Results of Operations—Seasonality, Cyclicality and Quarterly Revenue Trends” in Part II, Item 7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markets for our products are extremely competitive and are characterized by rapid technological change. The principal competitive factors in our markets include the following:</w:t>
      </w:r>
    </w:p>
    <w:p>
      <w:pPr>
        <w:spacing w:after="0" w:line="197" w:lineRule="exact"/>
        <w:rPr>
          <w:sz w:val="20"/>
          <w:szCs w:val="20"/>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performance, features, effectiveness, interoperability and reliability;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add and integrate new networking and security features and technological expertise;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 of products and services and total cost of ownership;</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and distribution capabilities;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size and financial stability of operations; 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Among others, our competitors include Check Point Software Technologies Ltd. (“Check Point”), Cisco Systems, Inc. (“Cisco”), F5 Networks,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(“F5 Networks”), FireEye, Inc. (“FireEye”), Intel, Juniper Networks, Inc. (“Juniper”), Palo Alto Networks, Inc. (“Palo Alto Networks”), SonicWALL,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(“SonicWALL”), Sophos Group Plc (“Sophos”) and Symantec Corporation (“Symantec”).</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we compete favorably based on our products’ performance, reliability and breadth,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functionality.</w:t>
      </w:r>
    </w:p>
    <w:p>
      <w:pPr>
        <w:spacing w:after="0" w:line="19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Conditions in our markets could change rapidly and significantly as a result of technological advancements or continuing market consolidation. The development and market acceptance of alternative technologies could decrease the demand for our products or render them obsolete. Our competitors may introduce products that are less costly, provide superior performance, market their products better, or achieve greater market acceptance than us. In addition, our larger competitors often have broader product lines and are in a better position to withstand any significant reduction in capital spending by end-customers in these markets,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As of December 31, 2016, our total headcount was 4,665 employees and contractors. None of our U.S. employees are represented by a labor union; however, our employees in certain European countries have the right to be represented by external labor organizations if they maintain up-to-date union membership. We have not experienced any work stoppages, and we consider our relations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web site is located at www.fortinet.com, and our investor relations web site is located at http://investor.fortinet.com.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are available free of charge on our investor relations web site as soon as reasonably practicable after we electronically file such material with, or furnish it to, the SEC. You may also access all of our public filings through the SEC’s website at www.sec.gov. Further, a copy of this Annual Report on Form 10-K is located at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SEC’s Public Reference Room at 100 F Street, NE, Washington, D.C. 20549. Information on the operation of the Public Reference Room can be obtained by calling the SEC at 1-800-SEC-0330.</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press and earnings releases, as part of our investor relations web site. The contents of these web sites are not intended to be incorporated by reference into this report or in any other report or document we file.</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2" w:right="31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38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logistics, shipping delays,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and the time it takes for our sales personnel to reach productivity;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and operating margin, and on the productivity and effectiveness of execution of our sales and marketing teams;</w:t>
      </w:r>
    </w:p>
    <w:p>
      <w:pPr>
        <w:spacing w:after="0" w:line="170"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the accuracy and timing of point-of-sale reporting by our “sell-through” channel partners, which impacts our ability to recognize revenue;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markets;</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partners, or end-customers;</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40" w:hanging="644"/>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such fluctuations may impact the actual prices that our partners and customers are willing to pay for our products and services;</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cloud-based platforms on the timing of our revenue recognition, billings and free cash flow;</w:t>
      </w:r>
    </w:p>
    <w:p>
      <w:pPr>
        <w:spacing w:after="0" w:line="225"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31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policy changes enacted and uncertainty with respect to immigration laws, trade policy, foreign imports and tax laws related to international commerce;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 such as changes in the revenue recognition standards or accounting for leases, as well as the significant costs that may be incurred to adopt and comply with these new pronouncements;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future expansion plans; and</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w:t>
      </w:r>
    </w:p>
    <w:p>
      <w:pPr>
        <w:spacing w:after="0" w:line="2"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and spending environments,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declining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and free cash flow growth may slow or may not continue.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Billings, revenue and free cash flow growth may slow, or we may experience a decrease in billings, revenue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and our failure for any reason to continue to capitalize on growth opportunities and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security subscription and FortiCare technical support services which may decline, and because we recognize revenue from FortiGuard security subscription and FortiCare technical support services over the term of the relevant service period, downturns or upturns in sales of FortiGuard security subscription and FortiCare technical support services are not immediately reflected in full in our operating results.</w:t>
      </w:r>
    </w:p>
    <w:p>
      <w:pPr>
        <w:spacing w:after="0" w:line="187" w:lineRule="exact"/>
        <w:rPr>
          <w:sz w:val="20"/>
          <w:szCs w:val="20"/>
          <w:color w:val="auto"/>
        </w:rPr>
      </w:pPr>
    </w:p>
    <w:p>
      <w:pPr>
        <w:ind w:right="120" w:firstLine="648"/>
        <w:spacing w:after="0" w:line="267" w:lineRule="auto"/>
        <w:rPr>
          <w:sz w:val="20"/>
          <w:szCs w:val="20"/>
          <w:color w:val="auto"/>
        </w:rPr>
      </w:pPr>
      <w:r>
        <w:rPr>
          <w:rFonts w:ascii="Arial" w:cs="Arial" w:eastAsia="Arial" w:hAnsi="Arial"/>
          <w:sz w:val="17"/>
          <w:szCs w:val="17"/>
          <w:color w:val="auto"/>
        </w:rPr>
        <w:t>Our FortiGuard security subscription and FortiCare technical support services revenue has historically accounted for a significant percentage of our total revenue. Revenue from the sale of new, or from the renewal of existing, FortiGuard security subscription and FortiCare technical support services contracts may decline and fluctuate as a result of a number of factors, including fluctuations in purchases of FortiGate appliances,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services contracts decline, our revenue and revenue growth may decline and our business could suffer. In addition, in the event significant customers require payment terms for FortiGuard security subscription or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and in some instances has been as long as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or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or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U.S., and we are therefore subject to a number of risks associated with international sales and operations.</w:t>
      </w:r>
    </w:p>
    <w:p>
      <w:pPr>
        <w:spacing w:after="0" w:line="170"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U.S. headquartered business’ sales in certain countries outside of the U.S.;</w:t>
      </w:r>
    </w:p>
    <w:p>
      <w:pPr>
        <w:spacing w:after="0" w:line="170"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costs of complying with U.S. or other foreign laws and regulations for foreign operations, including the U.S. Foreign Corrupt Practices Act, the United Kingdom (“UK”) Bribery Act 2010, import and export control laws, tariffs, trade barriers and economic sanctions;</w:t>
      </w:r>
    </w:p>
    <w:p>
      <w:pPr>
        <w:spacing w:after="0" w:line="146" w:lineRule="exact"/>
        <w:rPr>
          <w:rFonts w:ascii="Arial" w:cs="Arial" w:eastAsia="Arial" w:hAnsi="Arial"/>
          <w:sz w:val="17"/>
          <w:szCs w:val="17"/>
          <w:color w:val="auto"/>
        </w:rPr>
      </w:pPr>
    </w:p>
    <w:p>
      <w:pPr>
        <w:ind w:left="1300" w:right="4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for political unrest, changes and uncertainty, and for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employment and other laws.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exportation of our products and services, any of which could have a material adverse effect on our business and results of operations.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and medium-sized businesses, service providers and government organizations. While we have increased sales in recent periods to large and medium-sized enterprises and service providers, our sales volume varies by quarter. We also have experienced less traction selling to certain government organizations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88" w:lineRule="exact"/>
        <w:rPr>
          <w:sz w:val="20"/>
          <w:szCs w:val="20"/>
          <w:color w:val="auto"/>
        </w:rPr>
      </w:pPr>
    </w:p>
    <w:p>
      <w:pPr>
        <w:ind w:left="1300" w:right="5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enterprises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700" w:hanging="644"/>
        <w:spacing w:after="0" w:line="30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unanticipated changes in the capital resources or purchasing behavior of large end-customers, including changes in the volume and frequency of their purchases and changes in the mix of products and services and related payment terms;</w:t>
      </w:r>
    </w:p>
    <w:p>
      <w:pPr>
        <w:spacing w:after="0" w:line="146"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Large enterprises and medium-sized businesses, service providers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product purchases by large enterprises and medium-sized businesses, service providers and government organizations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Large enterprises and medium-sized businesses,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 provisions that can lead to a delay in revenue recognition, and expect greater payment flexibility from vendors. In addition, large enterprises and medium-sized businesses, service providers and government organizations may require that our products and services be sold differently from how we offer our products and services, which could negatively impact our operating results. Our large enterprise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If we are unable to effectively manage our inventory and that of our channel partners, our results of operations could be adversely affected.</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Chairman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distraction, of our senior management for any reason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for qualified employees in network security and especially in the locations where we have a substantial presence and need for highly-skilled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in some regions, we may have difficulty adding new end-customers or increasing sales to our existing end-customers and our business may be adversely affected.</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Although we have a channel sales model, members of our sales organization often engage in direct interaction with our prospective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Our ability to grow our revenue depends, in large part, on our success in recruiting, training and retaining sufficient numbers of sales personnel to support our growth and on the effectiveness of those personnel.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For example, we realigned our sales organization in early 2016 and it has taken more time than we expected to ramp up the productivity of our realigned sales organization, which negatively impacted our revenue growth in the third quarter of 2016 in some regions. Furthermore, hiring sales personnel in new countries requires additional setup and upfront costs that we may not recover if the sales personnel fail to achieve full productivity. If our new sales employees do not become fully productive on the timelines that we have projected, our revenue will not increase at anticipated levels and our ability to achieve long term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adversely impact our financial results and the trading price of our common stock.</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sales prices for our products and services may decline for a variety of reasons,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and gross profits at levels that will allow us to maintain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50" w:lineRule="exact"/>
        <w:rPr>
          <w:sz w:val="20"/>
          <w:szCs w:val="20"/>
          <w:color w:val="auto"/>
        </w:rPr>
      </w:pPr>
    </w:p>
    <w:p>
      <w:pPr>
        <w:ind w:right="40" w:firstLine="648"/>
        <w:spacing w:after="0" w:line="307"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in 2016, the portion of billings during the last two weeks of the quarter was 37%, and, on average over the past eight quarters, our billings during the last two weeks accounted for 35%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5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enterprise,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and increased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significant portion of our sales is generated through a limited number of distributors, and substantially all of our revenue is generated through sales by our channel partners, including distributors and resellers. We depend upon our channel partners to generate a significant portion of our sales opportunities and manage the sales process. To the extent our channel partners are unsuccessful in selling our products, or we are unable to enter into arrangements with and retain a sufficient number of high-quality channel partners in each of the regions in which we sell products, and if we are unable to keep them motivated to sell our products, our ability to sell our products and operating results will be harmed. The termination of our relationship with any significant channel partner may adversely impact our sales and operating results.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During 2014, 2015 and 2016, Exclusive, which distributed our solutions to a large group of resellers and end-customers, accounted for 15%, 18% and 20% of our total revenue, respectively.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Different customers deploy and use our products in different ways, and certain deployments and usages may subject our products to adverse conditions that may negatively impact the effectiveness and useful lifetime of our products.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92" w:lineRule="exact"/>
        <w:rPr>
          <w:sz w:val="20"/>
          <w:szCs w:val="20"/>
          <w:color w:val="auto"/>
        </w:rPr>
      </w:pPr>
    </w:p>
    <w:p>
      <w:pPr>
        <w:ind w:left="1300" w:right="3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business and operations have experienced growth, and if we do not appropriately manage any future growth, including through the expansion of our real estate holdings, or are unable to improve our systems and processes, our operating results will be negatively affected.</w:t>
      </w:r>
    </w:p>
    <w:p>
      <w:pPr>
        <w:spacing w:after="0" w:line="160" w:lineRule="exact"/>
        <w:rPr>
          <w:sz w:val="20"/>
          <w:szCs w:val="20"/>
          <w:color w:val="auto"/>
        </w:rPr>
      </w:pPr>
    </w:p>
    <w:p>
      <w:pPr>
        <w:ind w:right="40" w:firstLine="648"/>
        <w:spacing w:after="0" w:line="288" w:lineRule="auto"/>
        <w:rPr>
          <w:sz w:val="20"/>
          <w:szCs w:val="20"/>
          <w:color w:val="auto"/>
        </w:rPr>
      </w:pPr>
      <w:r>
        <w:rPr>
          <w:rFonts w:ascii="Arial" w:cs="Arial" w:eastAsia="Arial" w:hAnsi="Arial"/>
          <w:sz w:val="17"/>
          <w:szCs w:val="17"/>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a large amount of our orders in the last few weeks of any given quarter, a significant interruption in our email service or other systems could result in delayed order fulfillment and decreased billings and revenue for that quarter.</w:t>
      </w:r>
    </w:p>
    <w:p>
      <w:pPr>
        <w:spacing w:after="0" w:line="16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and administrative systems and controls, and continue to manage headcount, capital and processes in an efficient manner. We may not be able to successfully implement requisite improvements to these systems, controls and processes, such as system capacity,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 it may be necessary to expand our real estate holdings to meet our projected growing need for office space. We recently approved plans to purchase office buildings in Vancouver and Ottawa, Canada, and we are considering plans to significantly expand our headquarters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with respect to our potential expansion plans in California, risks related to construction. Future changes in growth or fluctuations in cash flow may also negatively impact our ability to pay for these projects. Additionally, inaccuracies in our projected capital expenditures could negatively impact our business, operating results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new enterprise resource planning (“ERP”) system.</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We recently implemented a new ERP system. The ERP system is critical to our ability to provide important information to our management, obtain and deliver products, provide services and customer support, send invoices and track payments, fulfill contractual obligations, accurately maintain books and records, provide accurate, timely and reliable reports on our financial and operating results and otherwise operate our business. ERP system implementations also require transformation of business and financial processes in order to reap the benefits of the ERP system; any such transformation involves risks inherent in the conversion to a new computer system, including potential disruption to our normal operations. The implementation and maintenance of the new ERP system has required, and will continue to require, the investment of significant financial and human resources. In addition, we may choose to upgrade or expand the functionality of our ERP system, leading to additional costs. We may also discover deficiencies in our design or implementation or maintenance of the new ERP system that could adversely affect our ability to process orders, ship products, provide services and customer support, send invoices and track payments, fulfill contractual obligations, accurately maintain books and records, provide accurate,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timely and reliable reports on our financial and operating results, or otherwise operate our business. Additionally, if the system does not operate as intended, the effectiveness of our internal control over financial reporting could be adversely affected or our ability to assess it adequately could be delayed.</w:t>
      </w:r>
    </w:p>
    <w:p>
      <w:pPr>
        <w:spacing w:after="0" w:line="12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and sales return reserves, stock-based compensation expense, valuation of inventory, investments, accounting for business combination, goodwill and other long-lived assets, restructuring, accounting for income taxes, and litigation and settlement costs.</w:t>
      </w:r>
    </w:p>
    <w:p>
      <w:pPr>
        <w:spacing w:after="0" w:line="16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Faraday, K-Micro and Renesas.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proprietary SPU, which is the key to the performance of our appliances, is fabricated by contract manufacturers in foundries operated by UMC and TSMC on a purchase order basis, and UMC and TSMC do not guarantee any capacity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could reject orders or could try to increase pricing. Accordingly, the foundries are not obligated to continue to fulfill our supply requirements, and due to the long lead time that a new foundry would require, we could suffer temporary or long term inventory shortages of our SPU as well as increased costs.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the determination of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17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or loss of sales and customers, or increase component costs resulting in lower gross margins.</w:t>
      </w:r>
    </w:p>
    <w:p>
      <w:pPr>
        <w:spacing w:after="0" w:line="16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network chips from Broadcom, Marvell and Intel, and memory devices from Intel, ADATA, OCZ, Samsung and Western Digital.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7"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significant portion of our operating expenses are incurred outside the U.S. These expenses are denominated in foreign currencies and are subject to fluctuations due to changes in foreign currency exchange rates, particularly changes in the Euro and Canadian dollar and, to a lesser extent, the British Pound. Additionally, fluctuations in the exchange rate of the Canadian dollar may negatively impact our real estate purchase and development plans in Vancouver and Ottawa.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U.S., which may also adversely affect our financial condition and results of operations.</w:t>
      </w:r>
    </w:p>
    <w:p>
      <w:pPr>
        <w:spacing w:after="0" w:line="16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product safety, product labelling, environmental laws, consumer protection laws, anti-bribery laws, import and export controls, federal securities laws and tax laws and regulations. In certain jurisdictions, these regulatory requirements may be more stringent than in the U.S.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Failure to comply with these requirements by either us or our channel partners could subject us to investigations, fines, other penalties and damages, which could have an adverse effect on our business, operating results, financial condition and prospects. As an example, the U.S. Department of Justice (“DOJ”), on its own behalf or on behalf of the General Services Administration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DOJ continues to actively pursue such claims. Violations of certain regulatory and contractual requirements could also result in us being suspended or debarred from future government contracting. Any of these outcomes could have an adverse effect on our revenue, operating results, financial condition and prospects.</w:t>
      </w:r>
    </w:p>
    <w:p>
      <w:pPr>
        <w:spacing w:after="0" w:line="18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example,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Efforts to withdraw from or materially modify NAFTA or other international trade agreements, to change tax provisions related to global manufacturing and sales or to impose new tariffs, economic sanctions or related legislation, any of which could our adversely affect our financial condition and results of operations.</w:t>
      </w:r>
    </w:p>
    <w:p>
      <w:pPr>
        <w:spacing w:after="0" w:line="27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business benefits from free trade agreements, such as the North American Free Trade Agreement (“NAFTA”), and we also rely on various U.S. corporate tax provisions related to international commerce, as we develop, market and sell our products and services globally. Efforts to withdraw from or materially modify NAFTA or other international trade agreements, or to change corporate tax policy related to international commerce, could adversely affect our financial condition and results of operations as could the continuing uncertainty regarding whether such actions will be taken. Moreover, efforts to implement changes related to export or import regulations (including the imposition of new border taxes or tariffs on foreign imports), economic sanctions or related policies. 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U.S., and we are, or may in the future be, subject to these laws and regulations.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General Services Administration regulations.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U.S. and other high cost manufacturing locations, and we may not manufacture all products in locations that meet the requirements of the U.S. government.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antivirus and our intrusion prevention services may falsely detect viruses or other threats that do not actually exist. This risk is heightened by the inclusion of a “heuristics” feature in our products, which attempts to identify viruses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w:t>
      </w:r>
    </w:p>
    <w:p>
      <w:pPr>
        <w:spacing w:after="0" w:line="268" w:lineRule="auto"/>
        <w:rPr>
          <w:sz w:val="20"/>
          <w:szCs w:val="20"/>
          <w:color w:val="auto"/>
        </w:rPr>
      </w:pPr>
      <w:r>
        <w:rPr>
          <w:rFonts w:ascii="Arial" w:cs="Arial" w:eastAsia="Arial" w:hAnsi="Arial"/>
          <w:sz w:val="17"/>
          <w:szCs w:val="17"/>
          <w:color w:val="auto"/>
        </w:rPr>
        <w:t>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transfer funds or disclose information in order to gain access to our network and confidential information. We cannot guarantee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 organization end-customers require higher levels of support than smaller end-customers because of their more complex deployments. If we, our channel partners or other third parties fail to meet the requirements of our larger end-customers, it may be more difficult to execute on our strategy to increase our penetration with large enterprises, service providers and government organizations. As a result, our failure to maintain high quality support services would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are subject to taxes in the U.S.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3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court decisions, tax rulings and interpretations of tax laws, and regulations by international, federal or local governmental authorities; or</w:t>
      </w:r>
    </w:p>
    <w:p>
      <w:pPr>
        <w:spacing w:after="0" w:line="248" w:lineRule="exact"/>
        <w:rPr>
          <w:rFonts w:ascii="Arial" w:cs="Arial" w:eastAsia="Arial" w:hAnsi="Arial"/>
          <w:sz w:val="16"/>
          <w:szCs w:val="16"/>
          <w:color w:val="auto"/>
        </w:rPr>
      </w:pPr>
    </w:p>
    <w:p>
      <w:pPr>
        <w:ind w:left="1300" w:right="12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U.S. to the taxation of earnings of our foreign subsidiaries,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Tax authorities in France are currently examining the inter-company relationship between Fortinet, Inc., Fortinet France and Fortinet Singapore. We are in the early stages of this inquiry and as of yet no official audit has been opened. We regularly assess the likelihood of adverse outcomes resulting from such examinations to determine the adequacy of our provision for income taxes.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Organisation for Economic Co-operation and Development (the “OECD”), an international association comprised of 34 countries, including the U.S., has been working on a Base Erosion and Profit Sharing Project. As part of this project, the OECD issued in 2015, and is expected to continue to issue, guidelines and proposals that may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7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we are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order to remain competitive, we may seek to acquire additional businesses, products, or technologies and intellectual property, such as patents. For example, we closed our acquisitions of Meru and AccelOps in the third quarter of 2015 and the second quarter of 2016, respectively. For any past acquisition or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system, sales and support processes and systems,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office center in Vancouver, Canada is subject to the risk of flooding and is also in a region known for seismic activity. In addition, natural disasters could affect our manufacturing vendors, suppliers or logistics providers’ ability to perform services, such as obtaining product components and manufacturing products, or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in the delay of the manufacture, deployment or shipment of our products, our business, financial condition and results of operations would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Moreover, business models based on software-as-a-service (“SaaS”) and infrastructure-as-a-service (“Iaas”), both of which are hosted or cloud-based services, have become increasingly in-demand by our end-customers and adopted by other providers, including our competitors. While part of our platform is cloud-based, most of our platform is currently deployed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premise, and therefore, if customers demand that our platform be provided through a SaaS or IaaS business model, we would be required to make additional investments in our infrastructure and personnel to be able to more fully provide our platform through a SaaS or IaaS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and IaaS business models and the future demand for such models by customers. Additionally, if we are unable to meet the demand to provide our services through a SaaS or IaaS model, we may lose customers to competitors.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spend substantial amounts of time and money to research and develop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enterprise,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market for network security products is intensely competitive, and we expect competition to intensify in the future. Our competitors include companies such as Check Point, Cisco, F5 Networks, FireEye, Intel, Juniper, Palo Alto Networks, SonicWALL, Sophos and Symantec.</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establish cooperative relationships among themselves or with third parties that may further enhance their resources.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3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timely manner. In addition, recent changes to the patent laws in the U.S.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U.S., and many foreign countries do not enforce these laws as diligently as government agencies and private parties in the U.S.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several ongoing patent lawsuits, several non-practicing entity patent holding companies have sent us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2016, our internal controls over financial reporting were effective, we cannot predict the outcome of our testing in 2017 or future periods. We may incur additional expenses and commitment of management’s time in connection with further evaluations, both of which could materially increase our operating expenses and accordingly reduce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revenue recognition (which are effective for us beginning on January 1, 2018) and accounting for leases, as well as the significant costs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or announcements regarding any stock repurchase programs and the timing and amount of shares we purchase under such programs. For example, during 2016, the closing price of our common stock ranged from $23.83 to $37.17 per share.</w:t>
      </w:r>
    </w:p>
    <w:p>
      <w:pPr>
        <w:spacing w:after="0" w:line="154" w:lineRule="exact"/>
        <w:rPr>
          <w:sz w:val="20"/>
          <w:szCs w:val="20"/>
          <w:color w:val="auto"/>
        </w:rPr>
      </w:pPr>
    </w:p>
    <w:p>
      <w:pPr>
        <w:ind w:firstLine="531"/>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31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corporate headquarters is located in Sunnyvale, California and comprises approximately 164,000 square feet of office and building space. Along with our corporate headquarters, as of December 31, 2016, we also owned approximately 200,000 square feet in Union City, California used as a distribution facility; approximately 94,000 square feet of land and buildings adjacent to our corporate headquarters intended to support growth in our business operations; and approximately 64,000 square feet of office and building space in Sophia, France and Ottawa, Canada predominantly used as sales and/or support offices and for research and development work.</w:t>
      </w:r>
    </w:p>
    <w:p>
      <w:pPr>
        <w:spacing w:after="0" w:line="13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in January 2017, we purchased 10,000 square feet of land and building adjacent to our corporate headquarters. We have also made real estate purchases that are currently in escrow and purchases that are signed but not yet in escrow totaling 350,000 square feet intended to support growth in our business operations.</w:t>
      </w:r>
    </w:p>
    <w:p>
      <w:pPr>
        <w:spacing w:after="0" w:line="4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also lease approximately 132,000 square feet of space in Vancouver, Canada under lease agreements that expire in 2020 to support our research and development and operations. We maintain additional offices throughout the U.S. and various international locations, including Japan, France, India, China, the UK, Mexico and Germany. We believe that our existing properties are sufficient and suitable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operating expenses and capital expenditures in connection with such new or expanded facilities.</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information regarding the geographical location of our property and equipment, see Note 14 to our consolidated financial statements in Part II, Item 8 of this Annual Report on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believe that the possibility that any of the current pending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October 2016, we received a letter from the United States Attorney's Office for the Northern District of California requesting information relating to our compliance with the Trade Agreements Act. This inquiry is ongoing and we are fully cooperating with this inquiry.</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“FTNT.” The following table sets forth, for the time periods indicated, the high and low closing sales price of our common stock, as reported on the NASDAQ Global Select Market.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2016</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2015</w:t>
            </w:r>
          </w:p>
        </w:tc>
        <w:tc>
          <w:tcPr>
            <w:tcW w:w="86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2"/>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Low</w:t>
            </w:r>
          </w:p>
        </w:tc>
        <w:tc>
          <w:tcPr>
            <w:tcW w:w="260" w:type="dxa"/>
            <w:vAlign w:val="bottom"/>
          </w:tcPr>
          <w:p>
            <w:pPr>
              <w:spacing w:after="0"/>
              <w:rPr>
                <w:sz w:val="20"/>
                <w:szCs w:val="20"/>
                <w:color w:val="auto"/>
              </w:rPr>
            </w:pPr>
          </w:p>
        </w:tc>
        <w:tc>
          <w:tcPr>
            <w:tcW w:w="780" w:type="dxa"/>
            <w:vAlign w:val="bottom"/>
          </w:tcPr>
          <w:p>
            <w:pPr>
              <w:jc w:val="right"/>
              <w:ind w:right="212"/>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2"/>
              <w:spacing w:after="0"/>
              <w:rPr>
                <w:sz w:val="20"/>
                <w:szCs w:val="20"/>
                <w:color w:val="auto"/>
              </w:rPr>
            </w:pPr>
            <w:r>
              <w:rPr>
                <w:rFonts w:ascii="Arial" w:cs="Arial" w:eastAsia="Arial" w:hAnsi="Arial"/>
                <w:sz w:val="16"/>
                <w:szCs w:val="16"/>
                <w:b w:val="1"/>
                <w:bCs w:val="1"/>
                <w:color w:val="auto"/>
              </w:rPr>
              <w:t>Low</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37.17</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48.83</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39.97</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30.63</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35.48</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29.22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February 17, 2017, there were 62 holders of record of our common stock. A substantially greater number of holders of our common stock are “street name” or beneficial holders, whose shares are held by banks, brokers and other financial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This performance graph shall not be deemed “filed” for purposes of Section 18 of the Exchange Act, or incorporated by reference into any filing of Fortinet under the Securities Act of 1933, as amended (the “Securities Act</w:t>
      </w:r>
      <w:r>
        <w:rPr>
          <w:rFonts w:ascii="Arial" w:cs="Arial" w:eastAsia="Arial" w:hAnsi="Arial"/>
          <w:sz w:val="18"/>
          <w:szCs w:val="18"/>
          <w:color w:val="auto"/>
        </w:rPr>
        <w:t>”</w:t>
      </w:r>
      <w:r>
        <w:rPr>
          <w:rFonts w:ascii="Arial" w:cs="Arial" w:eastAsia="Arial" w:hAnsi="Arial"/>
          <w:sz w:val="18"/>
          <w:szCs w:val="18"/>
          <w:i w:val="1"/>
          <w:iCs w:val="1"/>
          <w:color w:val="auto"/>
        </w:rPr>
        <w:t>), or the Exchange Act, except as shall be expressly set forth by specific reference in such filing.</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following graph compares the cumulative five-year total return for our common stock, the NASDAQ Composite Index and the NASDAQ Computer Index. Such returns are based on historical results and are not intended to suggest future performance. Data for the NASDAQ Composite Index and the NASDAQ Computer Index assume reinvestment of dividends. We have never declared or paid cash dividends on our capital stock, nor do we anticipate paying any such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Among Fortinet, Inc., The NASDAQ Composite Index and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5848985" cy="314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December</w:t>
            </w:r>
          </w:p>
        </w:tc>
        <w:tc>
          <w:tcPr>
            <w:tcW w:w="14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Arial" w:cs="Arial" w:eastAsia="Arial" w:hAnsi="Arial"/>
                <w:sz w:val="16"/>
                <w:szCs w:val="16"/>
                <w:color w:val="auto"/>
                <w:w w:val="86"/>
              </w:rPr>
              <w:t>December</w:t>
            </w:r>
          </w:p>
        </w:tc>
      </w:tr>
      <w:tr>
        <w:trPr>
          <w:trHeight w:val="206"/>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74"/>
              <w:spacing w:after="0"/>
              <w:rPr>
                <w:sz w:val="20"/>
                <w:szCs w:val="20"/>
                <w:color w:val="auto"/>
              </w:rPr>
            </w:pPr>
            <w:r>
              <w:rPr>
                <w:rFonts w:ascii="Arial" w:cs="Arial" w:eastAsia="Arial" w:hAnsi="Arial"/>
                <w:sz w:val="16"/>
                <w:szCs w:val="16"/>
                <w:color w:val="auto"/>
              </w:rPr>
              <w:t>2011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34"/>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2016</w:t>
            </w:r>
          </w:p>
        </w:tc>
      </w:tr>
      <w:tr>
        <w:trPr>
          <w:trHeight w:val="33"/>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Fortinet,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r>
      <w:tr>
        <w:trPr>
          <w:trHeight w:val="264"/>
        </w:trPr>
        <w:tc>
          <w:tcPr>
            <w:tcW w:w="4220" w:type="dxa"/>
            <w:vAlign w:val="bottom"/>
          </w:tcPr>
          <w:p>
            <w:pPr>
              <w:ind w:left="20"/>
              <w:spacing w:after="0"/>
              <w:rPr>
                <w:sz w:val="20"/>
                <w:szCs w:val="20"/>
                <w:color w:val="auto"/>
              </w:rPr>
            </w:pPr>
            <w:r>
              <w:rPr>
                <w:rFonts w:ascii="Arial" w:cs="Arial" w:eastAsia="Arial" w:hAnsi="Arial"/>
                <w:sz w:val="14"/>
                <w:szCs w:val="14"/>
                <w:color w:val="auto"/>
              </w:rPr>
              <w:t>NASDAQ Composite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207</w:t>
            </w:r>
          </w:p>
        </w:tc>
      </w:tr>
      <w:tr>
        <w:trPr>
          <w:trHeight w:val="27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NASDAQ Computer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7" w:lineRule="exact"/>
        <w:rPr>
          <w:sz w:val="20"/>
          <w:szCs w:val="20"/>
          <w:color w:val="auto"/>
        </w:rPr>
      </w:pPr>
    </w:p>
    <w:p>
      <w:pPr>
        <w:ind w:right="320" w:firstLine="8"/>
        <w:spacing w:after="0" w:line="261" w:lineRule="auto"/>
        <w:tabs>
          <w:tab w:leader="none" w:pos="1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that $100 was invested on December 31, 2011 in stock or index, including reinvestment of dividends. Stockholder returns over the indicated period should not be considered indicative of future stockholder returns.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January 2016, our board of directors approved a new Share Repurchase Program (the “2016 Repurchase Program”), which authorizes the repurchase of up to $200.0 million of our outstanding common stock through December 31, 2017. In October 2016, our board of directors authorized the purchase of an additional $100.0 million of shares of our common stock under the 2016 Repurchase Program, increasing our current authorization to $300.0 million through December 31, 2017. Under the 2016 Repurchase Program, share repurchases may be made by us from time to time in privately negotiated transactions or in open market transactions. The 2016 Repurchase Program does not require us to purchase a minimum number of shares, and may be suspended, modified or discontinued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122" w:right="39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during the three months ended December 31, 2016 (in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 Number of Shares</w:t>
            </w:r>
          </w:p>
        </w:tc>
        <w:tc>
          <w:tcPr>
            <w:tcW w:w="140" w:type="dxa"/>
            <w:vAlign w:val="bottom"/>
          </w:tcPr>
          <w:p>
            <w:pPr>
              <w:spacing w:after="0"/>
              <w:rPr>
                <w:sz w:val="14"/>
                <w:szCs w:val="14"/>
                <w:color w:val="auto"/>
              </w:rPr>
            </w:pPr>
          </w:p>
        </w:tc>
        <w:tc>
          <w:tcPr>
            <w:tcW w:w="1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 Number of Shares</w:t>
            </w: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Purchased as Part of Publicly</w:t>
            </w:r>
          </w:p>
        </w:tc>
        <w:tc>
          <w:tcPr>
            <w:tcW w:w="206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Purchased Under the Plans or</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1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Announced Plan or Program</w:t>
            </w: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9"/>
                <w:szCs w:val="9"/>
                <w:color w:val="auto"/>
              </w:rPr>
            </w:pPr>
          </w:p>
        </w:tc>
        <w:tc>
          <w:tcPr>
            <w:tcW w:w="206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Purchased</w:t>
            </w:r>
          </w:p>
        </w:tc>
        <w:tc>
          <w:tcPr>
            <w:tcW w:w="120" w:type="dxa"/>
            <w:vAlign w:val="bottom"/>
            <w:vMerge w:val="restart"/>
          </w:tcPr>
          <w:p>
            <w:pPr>
              <w:spacing w:after="0"/>
              <w:rPr>
                <w:sz w:val="9"/>
                <w:szCs w:val="9"/>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vMerge w:val="restart"/>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0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 2016</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578,044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578,044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206,548</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November 1 - November 30, 2016</w:t>
            </w:r>
          </w:p>
        </w:tc>
        <w:tc>
          <w:tcPr>
            <w:tcW w:w="2060" w:type="dxa"/>
            <w:vAlign w:val="bottom"/>
          </w:tcPr>
          <w:p>
            <w:pPr>
              <w:jc w:val="right"/>
              <w:ind w:right="37"/>
              <w:spacing w:after="0"/>
              <w:rPr>
                <w:sz w:val="20"/>
                <w:szCs w:val="20"/>
                <w:color w:val="auto"/>
              </w:rPr>
            </w:pPr>
            <w:r>
              <w:rPr>
                <w:rFonts w:ascii="Arial" w:cs="Arial" w:eastAsia="Arial" w:hAnsi="Arial"/>
                <w:sz w:val="18"/>
                <w:szCs w:val="18"/>
                <w:color w:val="auto"/>
              </w:rPr>
              <w:t>205,455</w:t>
            </w:r>
          </w:p>
        </w:tc>
        <w:tc>
          <w:tcPr>
            <w:tcW w:w="12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205,455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 2016</w:t>
            </w:r>
          </w:p>
        </w:tc>
        <w:tc>
          <w:tcPr>
            <w:tcW w:w="2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375,048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375,048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189,172</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following selected consolidated financial data set forth below was derived from our historical audited consolidated financial statements and should be read in conjunction with the section titled “Management’s Discussion and Analysis of Financial Condition and Results of Operations” and “Financial Statements and Supplementary Data,” and other financial data included elsewhere in this Annual Report on Form 10-K. Our historical results of operations are not indicative of our future results of operations.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gridSpan w:val="4"/>
          </w:tcPr>
          <w:p>
            <w:pPr>
              <w:jc w:val="center"/>
              <w:ind w:left="593"/>
              <w:spacing w:after="0"/>
              <w:rPr>
                <w:sz w:val="20"/>
                <w:szCs w:val="20"/>
                <w:color w:val="auto"/>
              </w:rPr>
            </w:pPr>
            <w:r>
              <w:rPr>
                <w:rFonts w:ascii="Arial" w:cs="Arial" w:eastAsia="Arial" w:hAnsi="Arial"/>
                <w:sz w:val="16"/>
                <w:szCs w:val="16"/>
                <w:b w:val="1"/>
                <w:bCs w:val="1"/>
                <w:color w:val="auto"/>
                <w:w w:val="91"/>
              </w:rPr>
              <w:t>Year Ended December 31,</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20"/>
                <w:szCs w:val="20"/>
                <w:color w:val="auto"/>
              </w:rPr>
            </w:pPr>
          </w:p>
        </w:tc>
        <w:tc>
          <w:tcPr>
            <w:tcW w:w="10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2015</w:t>
            </w:r>
          </w:p>
        </w:tc>
        <w:tc>
          <w:tcPr>
            <w:tcW w:w="26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2014</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80" w:type="dxa"/>
            <w:vAlign w:val="bottom"/>
            <w:gridSpan w:val="5"/>
          </w:tcPr>
          <w:p>
            <w:pPr>
              <w:jc w:val="center"/>
              <w:ind w:right="271"/>
              <w:spacing w:after="0"/>
              <w:rPr>
                <w:sz w:val="20"/>
                <w:szCs w:val="20"/>
                <w:color w:val="auto"/>
              </w:rPr>
            </w:pPr>
            <w:r>
              <w:rPr>
                <w:rFonts w:ascii="Arial" w:cs="Arial" w:eastAsia="Arial" w:hAnsi="Arial"/>
                <w:sz w:val="16"/>
                <w:szCs w:val="16"/>
                <w:b w:val="1"/>
                <w:bCs w:val="1"/>
                <w:color w:val="auto"/>
                <w:w w:val="88"/>
              </w:rPr>
              <w:t>(in thousands, except per share amounts)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1,275,443</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1,009,268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770,364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615,297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533,639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42,944</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59,324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72,090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100,475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32,187</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7,987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25,343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44,273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66,836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8"/>
                <w:szCs w:val="18"/>
                <w:color w:val="auto"/>
                <w:vertAlign w:val="subscript"/>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0.15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0.27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0.42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0.15</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172,621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170,385</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163,831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162,435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158,074</w:t>
            </w: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176,338</w:t>
            </w: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176,141</w:t>
            </w: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169,289</w:t>
            </w:r>
          </w:p>
        </w:tc>
        <w:tc>
          <w:tcPr>
            <w:tcW w:w="3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168,183</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166,329</w:t>
            </w:r>
          </w:p>
        </w:tc>
      </w:tr>
      <w:tr>
        <w:trPr>
          <w:trHeight w:val="575"/>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20"/>
                <w:szCs w:val="20"/>
                <w:color w:val="auto"/>
              </w:rPr>
            </w:pPr>
          </w:p>
        </w:tc>
        <w:tc>
          <w:tcPr>
            <w:tcW w:w="10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2015</w:t>
            </w:r>
          </w:p>
        </w:tc>
        <w:tc>
          <w:tcPr>
            <w:tcW w:w="26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2014</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ind w:right="132"/>
              <w:spacing w:after="0"/>
              <w:rPr>
                <w:sz w:val="20"/>
                <w:szCs w:val="20"/>
                <w:color w:val="auto"/>
              </w:rPr>
            </w:pPr>
            <w:r>
              <w:rPr>
                <w:rFonts w:ascii="Arial" w:cs="Arial" w:eastAsia="Arial" w:hAnsi="Arial"/>
                <w:sz w:val="16"/>
                <w:szCs w:val="16"/>
                <w:b w:val="1"/>
                <w:bCs w:val="1"/>
                <w:color w:val="auto"/>
                <w:w w:val="88"/>
              </w:rPr>
              <w:t>(in thousands)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1,310,508</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1,164,310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991,744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843,045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739,586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2,139,941</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1,790,510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1,424,774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1,168,464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975,497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837,681</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755,377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675,966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585,760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510,934</w:t>
            </w:r>
          </w:p>
        </w:tc>
      </w:tr>
      <w:tr>
        <w:trPr>
          <w:trHeight w:val="702"/>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124"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79"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international sales;</w:t>
      </w:r>
    </w:p>
    <w:p>
      <w:pPr>
        <w:spacing w:after="0" w:line="26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functionality and value in our standalone and bundled security subscription and support service offerings;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growing our sales to enterprise, service provider and government organizations, the impact of sales to these organizations on our long-term growth, expansion and operating results, and the effectiveness of our internal sales organization;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managing our continued investments in sales and marketing, and the impact of those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integration of acquired companies and technologies and expectations related to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success and expansion of our recently implemented ERP system;</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adoption of new accounting standards, including those related to revenue recognition and accounting for leases.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discussed under the heading “Risk Factors” in Part I, Item 1A of this Annual Report on Form 10-K and those discussed in other documents we file with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We provide high performance cybersecurity solutions to a wide variety of enterprises, service providers and government organizations of all sizes across the globe, including a majority of the 2016 Fortune 100. Our cybersecurity solutions are designed to provide broad, rapid protection against dynamic and sophisticated security threats, while simplifying the IT and security infrastructure of our end-customers.</w:t>
      </w:r>
    </w:p>
    <w:p>
      <w:pPr>
        <w:spacing w:after="0" w:line="166"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evolving cyber threat environment is unprecedented both in terms of volume and sophistication of attacks. As a result, cybersecurity has increased both in priority and in management complexity for organizations of all sizes, especially enterprises. In addition, the growth of IoT devices and the decision by organizations to increasingly move computing and infrastructure resources to the cloud necessitate increased visibility and security orchestration across a widely distributed ecosystem of networks. Our common operating system, centralized management and open application program interfaces allow many of the solutions in our portfolio, as well as those of our partner community, to be combined to create an integrated security architecture. The Fortinet Security Fabric is designed to address sophisticated threats and next-generation environments, including IoT and the cloud. The Fortinet Security Fabric connects our products, services and ecosystem partner solutions to help provide visibility and protection at all points in the network, from endpoint to data center to the cloud, regardless of whether deployed in physical, virtual or hybrid cloud environments or on endpoint devices. The Fortinet Security Fabric delivers integrated scalability, access control, awareness, security, traffic segmentation, centralized management and orchestration. The Fortinet Security Fabric is built around an open framework to ensure interoperability and synchronization of intelligence and response, and does so across the distributed network security infrastructure, including both from the cloud and for the cloud. At the core of the Fortinet Security Fabric are our FortiGate physical and software licenses, which ship with a broad set of security services, including firewall, VPN, anti-malware, anti-spam, application control, intrusion prevention, access control, web filtering, traffic and device segmentation and ATP. Many of these security services are tuned and updated by our FortiGuard Labs team, which provides threat research and a global cloud network of data collection and intelligence resources to deliver subscription-based services to FortiGate appliances and software products.</w:t>
      </w:r>
    </w:p>
    <w:p>
      <w:pPr>
        <w:spacing w:after="0" w:line="16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Enterprise customers select the form and deployment method that best meet their specific security requirements, such as a high-speed DCFW at the network core, a NGFW at the edge, an internal segmentation firewall (“ISFW”) between network zones, a distributed enterprise firewall at branch sites or software and hardware-based solutions designed for virtualized and cloud environments. Many smaller businesses also tend to deploy UTM devices. We derive a substantial majority of product sales from our FortiGate appliances, which range from the FortiGate-20 to -100 series, designed for small businesses, FortiGate-200 to -900 series for medium-sized businesses, to the FortiGate-1000 to -7000 series for large enterprises and service providers. Our network security platform also includes our FortiGuard security subscription services, which end-customers can subscribe to in order to obtain access to dynamic updates to application control, anti-virus, intrusion prevention, web filtering, and anti-spam functionality. End-customers may also purchase FortiManager and FortiAnalyzer products in conjunction with a FortiGate deployment to provide enterprise-class centralized management, analysis and reporting capabilities. FortiSIEM provides organizations with a solution for analyzing and managing network security, performance and compliance standards across our and other vendors’ products. Finally, end-customers may purchase FortiCare technical support services for our products and FortiCare professional services to assist in the design, implementation and maintenance of their networks.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complement our core FortiGate product line with other appliances and software licenses that offer additional protection from security threats to other critical areas of the enterprise. These products include our FortiMail email security, FortiSandbox ATP, FortiWeb web application firewall, FortiDDoS, and FortiDB database security appliances, as well as our FortiClient endpoint security software, FortiAP secure wireless access points and FortiSwitch secure switch connectivity products.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Sales of complementary products and software licenses have outpaced our overall growth in recent quarters. Our strong technology advantages also position us to effectively deliver security to the cloud and for the cloud. Sales of our cloud related products and services across public, private and hybrid cloud environments continue to grow faster than other part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2" w:right="29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recorded total revenue of $1.28 billion in 2016, an increase of 26% compared to 2015. Product revenue was $548.1 million in 2016, an increase of 15% compared to 2015. Service revenue was $727.3 million in 2016, an increase of 37% compared to 2015.</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cash equivalents and investments were $1.31 billion as of December 31, 2016, an increase of $146.2 million, or 13%, from December 31,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Deferred revenue was $1.04 billion as of December 31, 2016, an increase of $244.0 million, or 31%, from December 31, 2015</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$345.7 million in 2016, an increase of $63.2 million, or 22%, compared to 2015.</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repurchased 3.9 million shares of common stock under our previously-announced Share Repurchase Program for an aggregate purchase price of $110.8 million in 2016.</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Revenue grew in 2016 as our strategy of investing in sales and marketing enabled us to continue to gain market share and customers. Our sales increased in 2016, primarily due to the strength in sales of our enterprise service bundles and the Fortinet Security Fabric. We are also starting to see a shift from product revenues to higher-margin, recurring service revenues. On a geographic basis, revenue continues to be diversified globally, which remains a key strength of our business.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percentage of our FortiGate related billings from mid-range products increased from 25% in 2015 to 28% in 2016 and the entry-level products remained at 34% in 2016, consistent with billings in 2015. The percentage of our FortiGate related billings from high-end products decreased from 41% in 2015 to 38% in 2016. The sale of non-FortiGate products also grew significantly, such as growth in our FortiSandbox ATP products. We also saw more deals that included multiple Fortinet products in physical, virtual and cloud environments.</w:t>
      </w:r>
    </w:p>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2016, operating expenses increased by $187.0 million, or 26%, as compared to 2015. The increase was primarily driven by our investments made to expand our sales coverage, grow our marketing capabilities, develop new products and scale our customer support. We also continue to invest in research and development to strengthen our technology leadership position. We believe that continued product innovation has strengthened our technology and resulted in market share gains. In addition, we incurred expenses from business design and reengineering related to the implementation of a new ERP system. Headcount increased by 16% to 4,665 employees and contractors as of December 31, 2016, up from 4,018 as of December 31,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sales strategy is based on a distribution model whereby we primarily sell our products, software licenses and services directly to distributors which sell to resellers and service providers, which, in turn, sell to our end-customers. In certain cases, we sell directly to government-focused resellers, large service providers and major systems integrators, which have significant purchasing power and unique customer deployment requirements. We also offer our products through Amazon Web Services and Microsoft Azure. While the revenue from such sales are still relatively insignificant, they are rapidly increasing and are aligned with the networking trends of our customers and the industry as a whole.</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Typically, FortiGuard security subscription services and FortiCare technical support services are purchased along with our physical products and software licenses, most frequently as part of a bundle offering that includes hardware and services functionality. We generally invoice at the time of our sale for the total price of the products and security and technical support services, and the invoice is payable within 30 to 90 days. We also invoice certain software licenses and services on a monthly basis.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generally recognize product revenue up front and ratably recognize revenue for the sale of new, and the renewal of existing, FortiGuard security subscription and FortiCare technical support services contracts. We recognize revenue for certain software licenses up front as product revenue and, to a lesser extent, recognize other software licenses over the term of the agreement as services revenue. We recognize the security and support revenue over the service period, which is typically one to three years, but can be as long as five years. Sales of new and renewal services are a source of recurring revenue and increase our deferred revenue balance, which contributes significantly to our positive cash flow from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monitor a number of financial and liquidity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“—Components of Operating Results,”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4"/>
          </w:tcPr>
          <w:p>
            <w:pPr>
              <w:jc w:val="center"/>
              <w:ind w:left="612"/>
              <w:spacing w:after="0"/>
              <w:rPr>
                <w:sz w:val="20"/>
                <w:szCs w:val="20"/>
                <w:color w:val="auto"/>
              </w:rPr>
            </w:pPr>
            <w:r>
              <w:rPr>
                <w:rFonts w:ascii="Arial" w:cs="Arial" w:eastAsia="Arial" w:hAnsi="Arial"/>
                <w:sz w:val="16"/>
                <w:szCs w:val="16"/>
                <w:b w:val="1"/>
                <w:bCs w:val="1"/>
                <w:color w:val="auto"/>
                <w:w w:val="91"/>
              </w:rPr>
              <w:t>Year Ended or As of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20"/>
                <w:szCs w:val="20"/>
                <w:color w:val="auto"/>
              </w:rPr>
            </w:pPr>
          </w:p>
        </w:tc>
        <w:tc>
          <w:tcPr>
            <w:tcW w:w="132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2015</w:t>
            </w:r>
          </w:p>
        </w:tc>
        <w:tc>
          <w:tcPr>
            <w:tcW w:w="54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(in thousands)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1,275,443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1,009,268</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770,364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1,035,349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791,303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558,757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1,515,089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1,232,014</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896,493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1,310,508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1,164,310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991,744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345,708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282,547</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196,582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278,526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245,189</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164,385</w:t>
            </w:r>
          </w:p>
        </w:tc>
      </w:tr>
    </w:tbl>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Our deferred revenue consists of amounts that have been invoiced but that have not yet been recognized as revenue.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growth and the mix of short-term and long-term deferred revenue because it represents a significant portion of revenue to be recognized in future periods. Deferred revenue was $1.04 billion as of December 31, 2016, an increase of $244.0 million, or 31%, from December 31, 2015</w:t>
      </w:r>
      <w:r>
        <w:rPr>
          <w:rFonts w:ascii="Arial" w:cs="Arial" w:eastAsia="Arial" w:hAnsi="Arial"/>
          <w:sz w:val="17"/>
          <w:szCs w:val="17"/>
          <w:color w:val="0000FF"/>
        </w:rPr>
        <w:t>.</w:t>
      </w:r>
    </w:p>
    <w:p>
      <w:pPr>
        <w:spacing w:after="0" w:line="17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Billings (Non-GAAP). </w:t>
      </w:r>
      <w:r>
        <w:rPr>
          <w:rFonts w:ascii="Arial" w:cs="Arial" w:eastAsia="Arial" w:hAnsi="Arial"/>
          <w:sz w:val="16"/>
          <w:szCs w:val="16"/>
          <w:color w:val="auto"/>
        </w:rPr>
        <w:t>We define billings as revenue recognized in accordance with GAAP plus the change in deferred revenue from the beginning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end of the period less any deferred revenue balances acquired from business combination(s) during the period. We consider billings to be a useful metric for management and investors because billings drive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$1.52 billion for 2016, an increase of 23% compared to $1.23 billion in 2015.</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billings to revenue, the most directly comparable financial measure calculated and presented in accordance with GAAP,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1,275,443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1,009,268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770,364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change in deferred revenue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232,546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126,129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Less deferred revenue balance acquired in business combination</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1,515,089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1,232,014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896,493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Free cash flow (Non-GAAP). </w:t>
      </w:r>
      <w:r>
        <w:rPr>
          <w:rFonts w:ascii="Arial" w:cs="Arial" w:eastAsia="Arial" w:hAnsi="Arial"/>
          <w:sz w:val="18"/>
          <w:szCs w:val="18"/>
          <w:color w:val="auto"/>
        </w:rPr>
        <w:t>We define free cash flow as net cash provided by operating activities minus capital expenditures such as purchases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and other property and equipment. We consider free cash flow to be a liquidity measure that provides useful information to management and investors about the amount of cash generated by the business that, after capital expenditures, can be used for strategic opportunities, including investing in our business, making strategic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acquisitions, repurchasing outstanding common stock and strengthening the balance sheet. Analysis of free cash flow facilitates management’s comparison of our operating results to those of our peer companies. A limitation of using free cash flow rather than the GAAP measure of net cash provided by operating activities as a means for evaluating liquidity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 reconciliation of free cash flow to net cash provided by operating activities, the most directly comparable financial measure calculated and presented in accordance with GAAP, is provided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4"/>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345,708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282,547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196,582</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(67,182)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104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278,526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245,189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164,385</w:t>
            </w: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generate the majority of our revenue from sales of our products, software licenses and amortization of amounts included in deferred revenue related to previous sales of FortiGuard security subscription and FortiCare technical support services. Revenue is recognized when persuasive evidence of an arrangement exists, delivery has occurred or services have been rendered, the sales price is fixed or determinable and collectability is reasonably assured.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revenue is comprised of the following:</w:t>
      </w:r>
    </w:p>
    <w:p>
      <w:pPr>
        <w:spacing w:after="0" w:line="117" w:lineRule="exact"/>
        <w:rPr>
          <w:sz w:val="20"/>
          <w:szCs w:val="20"/>
          <w:color w:val="auto"/>
        </w:rPr>
      </w:pPr>
    </w:p>
    <w:p>
      <w:pPr>
        <w:ind w:left="1300" w:right="80" w:hanging="644"/>
        <w:spacing w:after="0" w:line="25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Product revenue</w:t>
      </w:r>
      <w:r>
        <w:rPr>
          <w:rFonts w:ascii="Arial" w:cs="Arial" w:eastAsia="Arial" w:hAnsi="Arial"/>
          <w:sz w:val="18"/>
          <w:szCs w:val="18"/>
          <w:color w:val="auto"/>
        </w:rPr>
        <w:t>. Product revenue is primarily generated from sales of our appliances. The substantial majority of our product revenue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generated by our FortiGate line of appliances, and we do not expect this to change in the foreseeable future. Product revenue also includes revenue derived from sales of software. As a percentage of total revenue, we expect that our product revenue may vary from quarter-to-quarter based on seasonal and cyclical factors, as discussed below under “—Quarterly Results of Operations”, and we expect the trend to continue in 2017.</w:t>
      </w:r>
    </w:p>
    <w:p>
      <w:pPr>
        <w:spacing w:after="0" w:line="188" w:lineRule="exact"/>
        <w:rPr>
          <w:rFonts w:ascii="Arial" w:cs="Arial" w:eastAsia="Arial" w:hAnsi="Arial"/>
          <w:sz w:val="18"/>
          <w:szCs w:val="18"/>
          <w:color w:val="auto"/>
        </w:rPr>
      </w:pPr>
    </w:p>
    <w:p>
      <w:pPr>
        <w:ind w:left="1300" w:right="40" w:hanging="644"/>
        <w:spacing w:after="0" w:line="269"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Service revenue</w:t>
      </w:r>
      <w:r>
        <w:rPr>
          <w:rFonts w:ascii="Arial" w:cs="Arial" w:eastAsia="Arial" w:hAnsi="Arial"/>
          <w:sz w:val="17"/>
          <w:szCs w:val="17"/>
          <w:color w:val="auto"/>
        </w:rPr>
        <w:t>. Service revenue is generated primarily from FortiGuard security subscription services related to application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antivirus, intrusion prevention, web filtering, anti-spam, ATP and vulnerability management updates, and from FortiCare technical support services for software updates, maintenance releases and patches, Internet access to technical content, telephone and Internet access to technical support personnel and hardware support. We recognize revenue from FortiGuard security subscription and FortiCare technical support services over the contractual service period. Our typical contractual support and subscription term is one to three years. We also generate a small portion of our revenue from professional services and training services, for which we recognize revenue as the services are provided, and cloud-based services, for which we recognize revenue as the subscription service is delivered over the term, which is typically one year, or on a monthly usage basis. We are also starting to see a shift from product revenues to higher-margin, recurring service revenues, which reflects our ongoing success in driving sales of low-end and high-end service bundles, as well as increases in certain software sales and time based service models. Our service revenue growth rate depends significantly on the growth of our customer base, the expansion of our service bundle offerings, the expansion and introduction of new service offerings and the renewal of service contracts by our existing customers.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cost of revenue is comprised of the following:</w:t>
      </w:r>
    </w:p>
    <w:p>
      <w:pPr>
        <w:spacing w:after="0" w:line="225" w:lineRule="exact"/>
        <w:rPr>
          <w:sz w:val="20"/>
          <w:szCs w:val="20"/>
          <w:color w:val="auto"/>
        </w:rPr>
      </w:pPr>
    </w:p>
    <w:p>
      <w:pPr>
        <w:ind w:left="1300" w:right="4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Cost of product revenue</w:t>
      </w:r>
      <w:r>
        <w:rPr>
          <w:rFonts w:ascii="Arial" w:cs="Arial" w:eastAsia="Arial" w:hAnsi="Arial"/>
          <w:sz w:val="18"/>
          <w:szCs w:val="18"/>
          <w:color w:val="auto"/>
        </w:rPr>
        <w:t>. A substantial majority of the cost of product revenue consists of third-party contract manufacturers' costs,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 costs of materials used in production. Our cost of product revenue also includes supplies, shipping costs, personnel costs associated with logistics and quality control, facility-related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1300" w:right="280"/>
        <w:spacing w:after="0" w:line="324" w:lineRule="auto"/>
        <w:rPr>
          <w:sz w:val="20"/>
          <w:szCs w:val="20"/>
          <w:color w:val="auto"/>
        </w:rPr>
      </w:pPr>
      <w:r>
        <w:rPr>
          <w:rFonts w:ascii="Arial" w:cs="Arial" w:eastAsia="Arial" w:hAnsi="Arial"/>
          <w:sz w:val="18"/>
          <w:szCs w:val="18"/>
          <w:color w:val="auto"/>
        </w:rPr>
        <w:t>costs, excess and obsolete inventory costs, warranty costs, and amortization and impairment of intangible assets, if applicable. Personnel costs include salaries, benefits and bonuses, as well as stock-based compensation.</w:t>
      </w:r>
    </w:p>
    <w:p>
      <w:pPr>
        <w:spacing w:after="0" w:line="143" w:lineRule="exact"/>
        <w:rPr>
          <w:sz w:val="20"/>
          <w:szCs w:val="20"/>
          <w:color w:val="auto"/>
        </w:rPr>
      </w:pPr>
    </w:p>
    <w:p>
      <w:pPr>
        <w:ind w:left="1300" w:right="92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Cost of service revenue</w:t>
      </w:r>
      <w:r>
        <w:rPr>
          <w:rFonts w:ascii="Arial" w:cs="Arial" w:eastAsia="Arial" w:hAnsi="Arial"/>
          <w:sz w:val="18"/>
          <w:szCs w:val="18"/>
          <w:color w:val="auto"/>
        </w:rPr>
        <w:t>. Cost of service revenue is primarily comprised of salaries, benefits and bonuses, as well as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 of service revenue also includes supplies and facility-related costs.</w:t>
      </w:r>
    </w:p>
    <w:p>
      <w:pPr>
        <w:spacing w:after="0" w:line="170"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i w:val="1"/>
          <w:iCs w:val="1"/>
          <w:color w:val="auto"/>
        </w:rPr>
        <w:t>Gross margin</w:t>
      </w:r>
      <w:r>
        <w:rPr>
          <w:rFonts w:ascii="Arial" w:cs="Arial" w:eastAsia="Arial" w:hAnsi="Arial"/>
          <w:sz w:val="17"/>
          <w:szCs w:val="17"/>
          <w:color w:val="auto"/>
        </w:rPr>
        <w:t>. Gross profit as a percentage of revenue, or gross margin, has been and will continue to be affected by a variety of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average sales price of our products, any excess inventory write-offs, product costs, the mix of products sold and the mix of revenue between products, software licenses and services. Service revenue and software licenses have had a positive effect on our total gross margin given the higher gross margins compared to product gross margins. During 2016, product gross margin was positively impacted by higher sales of software products, as well as inventory management and warehouse efficiencies. Service gross margins remained relatively comparable in 2016 compared to 2015. We believe our overall gross margin will remain at a relatively comparable level in 2017.</w:t>
      </w:r>
    </w:p>
    <w:p>
      <w:pPr>
        <w:spacing w:after="0" w:line="178" w:lineRule="exact"/>
        <w:rPr>
          <w:sz w:val="20"/>
          <w:szCs w:val="20"/>
          <w:color w:val="auto"/>
        </w:rPr>
      </w:pPr>
    </w:p>
    <w:p>
      <w:pPr>
        <w:ind w:right="40" w:firstLine="531"/>
        <w:spacing w:after="0" w:line="312"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Our operating expenses consist of research and development, sales and marketing, general and administrative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charges. Personnel costs are the most significant component of operating expenses and consist primarily of salaries, benefits, bonuses, stock-based compensation, and sales commissions, as applicable. We expect personnel costs to continue to increase in absolute dollars as we expand our workforce.</w:t>
      </w:r>
    </w:p>
    <w:p>
      <w:pPr>
        <w:spacing w:after="0" w:line="147" w:lineRule="exact"/>
        <w:rPr>
          <w:sz w:val="20"/>
          <w:szCs w:val="20"/>
          <w:color w:val="auto"/>
        </w:rPr>
      </w:pPr>
    </w:p>
    <w:p>
      <w:pPr>
        <w:ind w:left="1300" w:right="80" w:hanging="644"/>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consists primarily of personnel costs. Additional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 ASIC and system prototypes and certification-related expenses, depreciation of capital equipment and facility-related expenses. The majority of our research and development is focused on both software development and the ongoing development of our hardware platform. We record all research and development expenses as incurred. Our research and development teams are primarily located in Canada and the U.S.</w:t>
      </w:r>
    </w:p>
    <w:p>
      <w:pPr>
        <w:spacing w:after="0" w:line="188" w:lineRule="exact"/>
        <w:rPr>
          <w:rFonts w:ascii="Arial" w:cs="Arial" w:eastAsia="Arial" w:hAnsi="Arial"/>
          <w:sz w:val="18"/>
          <w:szCs w:val="18"/>
          <w:color w:val="auto"/>
        </w:rPr>
      </w:pPr>
    </w:p>
    <w:p>
      <w:pPr>
        <w:ind w:left="1300" w:right="40" w:hanging="644"/>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is the largest component of our operating expenses and primarily consists of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Additional sales and marketing expenses include promotional lead generation and other marketing expenses, travel, depreciation of capital equipment and facility-related expenses. We intend to hire additional personnel focused on sales and marketing and expand our sales and marketing efforts worldwide in order to capture additional market share in the high-return enterprise market, where customers tend to provide a higher lifetime value.</w:t>
      </w:r>
    </w:p>
    <w:p>
      <w:pPr>
        <w:spacing w:after="0" w:line="188" w:lineRule="exact"/>
        <w:rPr>
          <w:rFonts w:ascii="Arial" w:cs="Arial" w:eastAsia="Arial" w:hAnsi="Arial"/>
          <w:sz w:val="18"/>
          <w:szCs w:val="18"/>
          <w:color w:val="auto"/>
        </w:rPr>
      </w:pPr>
    </w:p>
    <w:p>
      <w:pPr>
        <w:ind w:left="1300" w:right="140" w:hanging="644"/>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consists of personnel costs, as well as professional fees, depreciation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equipment and software, facility-related expenses, expenses associated with the ERP system implementation and business acquisition costs. General and administrative personnel include our executive, finance, human resources, information technology and legal organizations. Our professional fees principally consist of outside legal, auditing, accounting, tax, information technology and other consulting costs.</w:t>
      </w:r>
    </w:p>
    <w:p>
      <w:pPr>
        <w:spacing w:after="0" w:line="188"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relate to alignment activities performed in connection with the Meru and AccelOps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to reduce our cost structure and improve operational efficiencies, resulting in workforce reductions, contract terminations and other charges.</w:t>
      </w:r>
    </w:p>
    <w:p>
      <w:pPr>
        <w:spacing w:after="0" w:line="18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income earned on our cash, cash equivalents and investments. We have historically invested our cash in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debt securities, commercial paper, U.S. government and agency securities, municipal bonds, money market funds and certificates of deposit.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 expense</w:t>
      </w:r>
      <w:r>
        <w:rPr>
          <w:rFonts w:ascii="Arial" w:cs="Arial" w:eastAsia="Arial" w:hAnsi="Arial"/>
          <w:sz w:val="16"/>
          <w:szCs w:val="16"/>
          <w:color w:val="auto"/>
        </w:rPr>
        <w:t>—</w:t>
      </w:r>
      <w:r>
        <w:rPr>
          <w:rFonts w:ascii="Arial" w:cs="Arial" w:eastAsia="Arial" w:hAnsi="Arial"/>
          <w:sz w:val="16"/>
          <w:szCs w:val="16"/>
          <w:i w:val="1"/>
          <w:iCs w:val="1"/>
          <w:color w:val="auto"/>
        </w:rPr>
        <w:t>net</w:t>
      </w:r>
      <w:r>
        <w:rPr>
          <w:rFonts w:ascii="Arial" w:cs="Arial" w:eastAsia="Arial" w:hAnsi="Arial"/>
          <w:sz w:val="16"/>
          <w:szCs w:val="16"/>
          <w:color w:val="auto"/>
        </w:rPr>
        <w:t>. Other expense—net consists primarily of foreign exchange gains and losses relate to foreign currency exchange remeasurement.</w:t>
      </w:r>
    </w:p>
    <w:p>
      <w:pPr>
        <w:spacing w:after="0" w:line="24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We are subject to tax in the U.S., as well as other tax jurisdictions or countries in which we conduct business.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from our non-U.S. activities are subject to income taxes in the local country which are generally lower than U.S. tax rates, and may be subject to U.S. income taxes. Our effective tax rate differs from the U.S. statutory rate primarily due to foreign income subject to different tax rates than the U.S., research and development tax credits, withholding taxes and nondeductible stock-based compensation expense.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income tax provision for 2016 was comprised of domestic income taxes, foreign income taxes and foreign withholding taxes. Our effective tax rate approximates the U.S. federal statutory tax rates plus the impact of state taxes, excess tax benefits related to stock-based compensation expense, research and development tax credits, foreign withholding tax, nondeductible stock-based compensation expense, and foreign income subject to lower tax rates than income earned in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believe that, of the significant accounting policies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derive the majority of our revenue from sales of our hardware, software, FortiGuard security subscription and FortiCare technical support services, and other services through our channel partners and a direct sales force.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38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Binding contracts or purchase orders are generally used to determine the existence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w:t>
      </w:r>
    </w:p>
    <w:p>
      <w:pPr>
        <w:spacing w:after="0" w:line="170"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Delivery has occurred or services have been rendered. </w:t>
      </w:r>
      <w:r>
        <w:rPr>
          <w:rFonts w:ascii="Arial" w:cs="Arial" w:eastAsia="Arial" w:hAnsi="Arial"/>
          <w:sz w:val="18"/>
          <w:szCs w:val="18"/>
          <w:color w:val="auto"/>
        </w:rPr>
        <w:t>Product delivery occurs when we fulfill an order and title and risk of loss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Software license delivery occurs upon electronic transfer of the license key to the customer. Service revenue is deferred and recognized ratably over the contractual service period, which is typically from one to three years and, to a lesser extent, up to five years, and is generally recognized upon delivery or completion of service.</w:t>
      </w:r>
    </w:p>
    <w:p>
      <w:pPr>
        <w:spacing w:after="0" w:line="186"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Sales price is fixed or determinable. </w:t>
      </w:r>
      <w:r>
        <w:rPr>
          <w:rFonts w:ascii="Arial" w:cs="Arial" w:eastAsia="Arial" w:hAnsi="Arial"/>
          <w:sz w:val="18"/>
          <w:szCs w:val="18"/>
          <w:color w:val="auto"/>
        </w:rPr>
        <w:t>We assess whether the sales price is fixed or determinable based on the payment terms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and when the sales price is deemed final.</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Collectability is reasonably assured</w:t>
      </w:r>
      <w:r>
        <w:rPr>
          <w:rFonts w:ascii="Arial" w:cs="Arial" w:eastAsia="Arial" w:hAnsi="Arial"/>
          <w:sz w:val="18"/>
          <w:szCs w:val="18"/>
          <w:color w:val="auto"/>
        </w:rPr>
        <w:t>. We assess collectability based primarily on creditworthiness as determined by credit checks,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and payment history.</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recognize product revenue for sales to distributors that have no general right of return and direct sales to end-customers upon shipment, based on general revenue recognition accounting guidance once all other revenue recognition criteria have been met. Certain distributors are granted stock rotation rights, limited rights of return and rebates for sales of our products. The arrangement fee for this group of distributors is not typically fixed or determinable when products are shipped and revenue is therefore deferred and recognized upon sell-through. For sales that include end-customer acceptance criteria, revenue is recognized upon acceptance. We recognize software license revenue upon delivery. Historically, software license revenue has not been material.</w:t>
      </w:r>
    </w:p>
    <w:p>
      <w:pPr>
        <w:spacing w:after="0" w:line="158" w:lineRule="exact"/>
        <w:rPr>
          <w:sz w:val="20"/>
          <w:szCs w:val="20"/>
          <w:color w:val="auto"/>
        </w:rPr>
      </w:pPr>
    </w:p>
    <w:p>
      <w:pPr>
        <w:ind w:right="40" w:firstLine="693"/>
        <w:spacing w:after="0" w:line="312" w:lineRule="auto"/>
        <w:rPr>
          <w:sz w:val="20"/>
          <w:szCs w:val="20"/>
          <w:color w:val="auto"/>
        </w:rPr>
      </w:pPr>
      <w:r>
        <w:rPr>
          <w:rFonts w:ascii="Arial" w:cs="Arial" w:eastAsia="Arial" w:hAnsi="Arial"/>
          <w:sz w:val="16"/>
          <w:szCs w:val="16"/>
          <w:color w:val="auto"/>
        </w:rPr>
        <w:t>Substantially all of our products have been sold in combination with services, which consist of security subscriptions and technical support services. Security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4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Service revenue consists of sales from our FortiGuard security subscription and FortiCare technical support services, professional and training services and other services that include software as a service (“SaaS”) and infrastructure as a service (“IaaS”), both of which are hosted or cloud-based services. We recognize revenue from these arrangements as the subscription service is delivered over the term, which is typically one year, or on a monthly usage basis. To date, SaaS and IaaS revenues have not represented a significant percentage of our total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reduce revenue for estimates of sales returns and allowances and record reductions to revenue for rebates and estimated commitments related to price protection and other customer incentive programs.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sales arrangements typically contain multiple elements, such as hardware, security subscription, technical support services and other services. The majority of our hardware appliance products contain our operating system software that together function to deliver the essential functionality of the product. Our products and services generally qualify as separate units of accounting. We allocate revenue to each unit of accounting based on an estimated selling price using vendor-specific objective evidence (“VSOE”) of selling price, if it exists, or third-party evidence (“TPE”) of selling price. If neither VSOE nor TPE of selling price exists for a deliverable, we use our best estimate of selling price (“BESP”) for that deliverable. Revenue allocated to each element is then recognized when the basic revenue recognition criteria are met for each element.</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our hardware appliances, we use BESP as our selling price estimate. For our support and other services, we generally use VSOE as our selling price estimate. We determine VSOE of fair value for elements of an arrangement based on the historical pricing and discounting practices for those services when sold separately. In establishing VSOE, we require that a substantial majority of the selling prices for a service fall within a reasonably narrow pricing range, generally evidenced by a substantial majority of such historical stand-alone transactions falling within a reasonably narrow range as a percentage of list price. When we are unable to establish a selling price using VSOE for our support and other services, we use BESP in our allocation of arrangement consideration. We determine BESP for a product or service by considering multiple historical factors including, but not limited to, cost of products, gross margin objectives, pricing practices, geographies, customer classes and distribution channels that fall within a reasonably narrow range as a percentage of list price.</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multiple-element arrangements where software deliverables are included, revenue is allocated to the non-software deliverables and to the software deliverables as a group using the relative estimated selling prices of each of the deliverables in the arrangement based on the estimated selling price hierarchy. The amount allocated to the software deliverables is then allocated to each software deliverable using the residual method when VSOE of fair value exists. If evidence of VSOE of fair value of one or more undelivered elements does not exist, all software allocated revenue is deferred and recognized when delivery of those elements occurs or when fair value can be established. When the undelivered element for which we do not have VSOE of fair value is support, revenue for the entire arrangement is recognized ratably over the support period. The same residual method and VSOE of fair value principles apply for our multiple element arrangements that contain only software elements.</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currently are evaluating the impact of the new standard related to revenue recognition, and we may incur significant costs to adopt and to comply with this new pronouncement. See Note 1 to our consolidated financial statements in Part II, Item 8 of this Annual Report on Form 10-K for further discussion.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ind w:right="120" w:firstLine="648"/>
        <w:spacing w:after="0" w:line="306" w:lineRule="auto"/>
        <w:rPr>
          <w:sz w:val="20"/>
          <w:szCs w:val="20"/>
          <w:color w:val="auto"/>
        </w:rPr>
      </w:pPr>
      <w:r>
        <w:rPr>
          <w:rFonts w:ascii="Arial" w:cs="Arial" w:eastAsia="Arial" w:hAnsi="Arial"/>
          <w:sz w:val="18"/>
          <w:szCs w:val="18"/>
          <w:i w:val="1"/>
          <w:iCs w:val="1"/>
          <w:color w:val="auto"/>
        </w:rPr>
        <w:t xml:space="preserve">Employee Stock Options. </w:t>
      </w:r>
      <w:r>
        <w:rPr>
          <w:rFonts w:ascii="Arial" w:cs="Arial" w:eastAsia="Arial" w:hAnsi="Arial"/>
          <w:sz w:val="18"/>
          <w:szCs w:val="18"/>
          <w:color w:val="auto"/>
        </w:rPr>
        <w:t>We estimate the fair value of employee stock options awarded to our employees using the Black-Scholes-Merton (“Black-Scholes”) pricing model. For all employee stock options, we recognize expense over the requisite service period using the straight-line method. Our option pricing model requires the input of subjective assumptions, including the expected stock price volatility, expected term, risk-free interest rates and expected dividend yield of our common stock. The assumptions used in our option pricing model represent management’s best estimates. These estimates involve inherent uncertainties and the application of management’s judgment. A 10% change in any of these assumptions would not have a significant impact on our stock-based compensation expense.</w:t>
      </w:r>
    </w:p>
    <w:p>
      <w:pPr>
        <w:spacing w:after="0" w:line="15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We estimate the fair value of the rights to acquire stock under our employee stock purchase plan (“ESPP”)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Black-Scholes pricing model and we recognize expense over the requisite service period using the straight-line method. The pricing model requires the input of the fair value of our common stock and assumptions, including the expected term of the award, expected volatility of the price of our common stock, risk-free interest rates and expected dividend yield of our common stock. Our ESPP provides for consecutive six-month offering periods and we use our own historical volatility data in the valuation of ESPP shares. A 10% change in any of these assumptions would not have a significant impact on our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of Inventory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Inventory is recorded at the lower of cost (using the first-in, first-out method) or market, after we give appropriate consideration to obsolescence and inventory in excess of anticipated future demand. In assessing the ultimate recoverability of inventory, we make estimates regarding future customer demand, the timing of new product introductions, economic trends and market conditions. If the actual product demand is significantly lower than forecasted, we could be required to record additional inventory write-downs which would be charged to cost of product revenue. Any write-downs could have an adverse impact on our gross margins and profitability.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include the results of operations of the businesses that we acquire as of the respective dates of acquisition. We allocate the fair value of the purchase price of our business acquisitions to the tangible assets acquired, liabilities assumed, and intangible assets acquired,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charges are recorded in the period in which they are identified.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restructuring expenses consist of severance and other one-time benefits, contract terminations and other expenses. Liabilities for costs associated with a restructuring activity are measured at fair value. One-time termination benefits are expensed at the date we notify the employee, unless the employee must provide future service, in which case the benefits are expensed ratably over the future service period. A liability for terminating a contract before the end of its term, which termination is usually done by giving written notice to the counterparty within the notification period specified by the contract or by otherwise negotiating a termination with the counterparty, is recognized at fair value on the notification date. A liability for costs that will continue to be incurred under a contract for its remaining term without economic benefit to the entity is recognized at the cease-use date. Other costs primarily consist of asset write-offs, which are expensed when incurred.</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continually evaluate the adequacy of the remaining liabilities under our restructuring initiatives. Although we believe that these estimates accurately reflect the costs of our restructuring plan, actual results may differ and thereby require us to record an additional provision or reverse a portion of such a provision.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58"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We recognize tax benefits from an uncertain tax position only if it is more likely than not, based on the technical merits of the position that the tax position will be sustained on examination by the taxing authorities. The tax benefits recognized in the financial statements from such positions are then measured based on the largest benefit that has a greater than 50% likelihood of being realized upon ultimate settlement.</w:t>
      </w:r>
    </w:p>
    <w:p>
      <w:pPr>
        <w:spacing w:after="0" w:line="16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operations become deductible expenses under applicable income tax laws, or loss or credit carryforwards are utilized.</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exist. Any adjustment to the net deferred tax asset valuation allowance would be recorded in the consolidated statements of operations for the period that the adjustment is determined to be required.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make estimates and judgments about our future taxable income that are based on assumptions that are consistent with our plans and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Should the actual amounts differ from our estimates, the amount of our tax expense and liabilities could be materially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1"/>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Revenue: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548,110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476,782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360,558</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Service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727,333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532,486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409,806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1,275,443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1,009,268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770,364</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190,398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151,300</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Service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128,853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96,379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79,709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cost of revenue</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337,837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286,777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231,009</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286,384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209,258</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Service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598,480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436,107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330,097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gross profit</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937,606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722,491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539,355</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158,129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122,880</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626,501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470,371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315,804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41,347</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Restructuring charges</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894,662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707,614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480,031</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59,324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61,549</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10,961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9,018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36,206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32,187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7,987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25,343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46</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1"/>
              </w:rPr>
              <w:t>Year Ended December 31,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53"/>
              <w:spacing w:after="0"/>
              <w:rPr>
                <w:sz w:val="20"/>
                <w:szCs w:val="20"/>
                <w:color w:val="auto"/>
              </w:rPr>
            </w:pPr>
            <w:r>
              <w:rPr>
                <w:rFonts w:ascii="Arial" w:cs="Arial" w:eastAsia="Arial" w:hAnsi="Arial"/>
                <w:sz w:val="16"/>
                <w:szCs w:val="16"/>
                <w:b w:val="1"/>
                <w:bCs w:val="1"/>
                <w:color w:val="auto"/>
              </w:rPr>
              <w:t>2016</w:t>
            </w:r>
          </w:p>
        </w:tc>
        <w:tc>
          <w:tcPr>
            <w:tcW w:w="1820" w:type="dxa"/>
            <w:vAlign w:val="bottom"/>
            <w:gridSpan w:val="7"/>
          </w:tcPr>
          <w:p>
            <w:pPr>
              <w:jc w:val="center"/>
              <w:ind w:left="1091"/>
              <w:spacing w:after="0"/>
              <w:rPr>
                <w:sz w:val="20"/>
                <w:szCs w:val="20"/>
                <w:color w:val="auto"/>
              </w:rPr>
            </w:pPr>
            <w:r>
              <w:rPr>
                <w:rFonts w:ascii="Arial" w:cs="Arial" w:eastAsia="Arial" w:hAnsi="Arial"/>
                <w:sz w:val="16"/>
                <w:szCs w:val="16"/>
                <w:b w:val="1"/>
                <w:bCs w:val="1"/>
                <w:color w:val="auto"/>
                <w:w w:val="89"/>
              </w:rPr>
              <w:t>2015</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63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8"/>
          </w:tcPr>
          <w:p>
            <w:pPr>
              <w:jc w:val="center"/>
              <w:ind w:right="40"/>
              <w:spacing w:after="0"/>
              <w:rPr>
                <w:sz w:val="20"/>
                <w:szCs w:val="20"/>
                <w:color w:val="auto"/>
              </w:rPr>
            </w:pPr>
            <w:r>
              <w:rPr>
                <w:rFonts w:ascii="Arial" w:cs="Arial" w:eastAsia="Arial" w:hAnsi="Arial"/>
                <w:sz w:val="16"/>
                <w:szCs w:val="16"/>
                <w:b w:val="1"/>
                <w:bCs w:val="1"/>
                <w:color w:val="auto"/>
                <w:w w:val="90"/>
              </w:rPr>
              <w:t>(as percentage of total revenue)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3200" w:type="dxa"/>
            <w:vAlign w:val="bottom"/>
          </w:tcPr>
          <w:p>
            <w:pPr>
              <w:ind w:left="8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Arial" w:cs="Arial" w:eastAsia="Arial" w:hAnsi="Arial"/>
                <w:sz w:val="18"/>
                <w:szCs w:val="18"/>
                <w:color w:val="auto"/>
                <w:w w:val="79"/>
              </w:rPr>
              <w:t>100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200" w:type="dxa"/>
            <w:vAlign w:val="bottom"/>
          </w:tcPr>
          <w:p>
            <w:pPr>
              <w:ind w:left="820"/>
              <w:spacing w:after="0"/>
              <w:rPr>
                <w:sz w:val="20"/>
                <w:szCs w:val="20"/>
                <w:color w:val="auto"/>
              </w:rPr>
            </w:pPr>
            <w:r>
              <w:rPr>
                <w:rFonts w:ascii="Arial" w:cs="Arial" w:eastAsia="Arial" w:hAnsi="Arial"/>
                <w:sz w:val="18"/>
                <w:szCs w:val="18"/>
                <w:color w:val="auto"/>
              </w:rPr>
              <w:t>Total cost of revenue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3200" w:type="dxa"/>
            <w:vAlign w:val="bottom"/>
          </w:tcPr>
          <w:p>
            <w:pPr>
              <w:ind w:left="820"/>
              <w:spacing w:after="0"/>
              <w:rPr>
                <w:sz w:val="20"/>
                <w:szCs w:val="20"/>
                <w:color w:val="auto"/>
              </w:rPr>
            </w:pPr>
            <w:r>
              <w:rPr>
                <w:rFonts w:ascii="Arial" w:cs="Arial" w:eastAsia="Arial" w:hAnsi="Arial"/>
                <w:sz w:val="18"/>
                <w:szCs w:val="18"/>
                <w:color w:val="auto"/>
              </w:rPr>
              <w:t>Total gross margin</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w w:val="95"/>
              </w:rPr>
              <w:t>0.3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660"/>
              <w:spacing w:after="0"/>
              <w:rPr>
                <w:sz w:val="20"/>
                <w:szCs w:val="20"/>
                <w:color w:val="auto"/>
              </w:rPr>
            </w:pPr>
            <w:r>
              <w:rPr>
                <w:rFonts w:ascii="Arial" w:cs="Arial" w:eastAsia="Arial" w:hAnsi="Arial"/>
                <w:sz w:val="18"/>
                <w:szCs w:val="18"/>
                <w:i w:val="1"/>
                <w:iCs w:val="1"/>
                <w:color w:val="auto"/>
              </w:rPr>
              <w:t>2016 and 2015</w:t>
            </w: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3"/>
          </w:tcPr>
          <w:p>
            <w:pPr>
              <w:jc w:val="right"/>
              <w:ind w:right="1057"/>
              <w:spacing w:after="0"/>
              <w:rPr>
                <w:sz w:val="20"/>
                <w:szCs w:val="20"/>
                <w:color w:val="auto"/>
              </w:rPr>
            </w:pPr>
            <w:r>
              <w:rPr>
                <w:rFonts w:ascii="Arial" w:cs="Arial" w:eastAsia="Arial" w:hAnsi="Arial"/>
                <w:sz w:val="16"/>
                <w:szCs w:val="16"/>
                <w:b w:val="1"/>
                <w:bCs w:val="1"/>
                <w:color w:val="auto"/>
                <w:w w:val="95"/>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gridSpan w:val="3"/>
          </w:tcPr>
          <w:p>
            <w:pPr>
              <w:jc w:val="right"/>
              <w:ind w:right="54"/>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ind w:left="480"/>
              <w:spacing w:after="0"/>
              <w:rPr>
                <w:sz w:val="20"/>
                <w:szCs w:val="20"/>
                <w:color w:val="auto"/>
              </w:rPr>
            </w:pPr>
            <w:r>
              <w:rPr>
                <w:rFonts w:ascii="Arial" w:cs="Arial" w:eastAsia="Arial" w:hAnsi="Arial"/>
                <w:sz w:val="16"/>
                <w:szCs w:val="16"/>
                <w:b w:val="1"/>
                <w:bCs w:val="1"/>
                <w:color w:val="auto"/>
              </w:rPr>
              <w:t>%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1"/>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57"/>
              <w:spacing w:after="0"/>
              <w:rPr>
                <w:sz w:val="20"/>
                <w:szCs w:val="20"/>
                <w:color w:val="auto"/>
              </w:rPr>
            </w:pPr>
            <w:r>
              <w:rPr>
                <w:rFonts w:ascii="Arial" w:cs="Arial" w:eastAsia="Arial" w:hAnsi="Arial"/>
                <w:sz w:val="16"/>
                <w:szCs w:val="16"/>
                <w:b w:val="1"/>
                <w:bCs w:val="1"/>
                <w:color w:val="auto"/>
              </w:rPr>
              <w:t>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7"/>
          </w:tcPr>
          <w:p>
            <w:pPr>
              <w:ind w:left="20"/>
              <w:spacing w:after="0"/>
              <w:rPr>
                <w:sz w:val="20"/>
                <w:szCs w:val="20"/>
                <w:color w:val="auto"/>
              </w:rPr>
            </w:pPr>
            <w:r>
              <w:rPr>
                <w:rFonts w:ascii="Arial" w:cs="Arial" w:eastAsia="Arial" w:hAnsi="Arial"/>
                <w:sz w:val="16"/>
                <w:szCs w:val="16"/>
                <w:b w:val="1"/>
                <w:bCs w:val="1"/>
                <w:color w:val="auto"/>
                <w:w w:val="96"/>
              </w:rPr>
              <w:t>(in thousands, except percentages)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548,110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476,782</w:t>
            </w: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71,328</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727,333</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532,486</w:t>
            </w:r>
          </w:p>
        </w:tc>
        <w:tc>
          <w:tcPr>
            <w:tcW w:w="15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194,847</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1,275,443</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1,009,268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266,175</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536,706</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435,282</w:t>
            </w: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101,424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477,393</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366,018</w:t>
            </w:r>
          </w:p>
        </w:tc>
        <w:tc>
          <w:tcPr>
            <w:tcW w:w="15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111,375</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Asia Pacific (“APAC”)</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261,344</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207,968</w:t>
            </w:r>
          </w:p>
        </w:tc>
        <w:tc>
          <w:tcPr>
            <w:tcW w:w="1520" w:type="dxa"/>
            <w:vAlign w:val="bottom"/>
            <w:gridSpan w:val="5"/>
          </w:tcPr>
          <w:p>
            <w:pPr>
              <w:jc w:val="right"/>
              <w:ind w:right="119"/>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53,376</w:t>
            </w:r>
          </w:p>
        </w:tc>
        <w:tc>
          <w:tcPr>
            <w:tcW w:w="1420" w:type="dxa"/>
            <w:vAlign w:val="bottom"/>
          </w:tcPr>
          <w:p>
            <w:pPr>
              <w:ind w:left="10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1,275,443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1,009,268</w:t>
            </w:r>
          </w:p>
        </w:tc>
        <w:tc>
          <w:tcPr>
            <w:tcW w:w="1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266,175</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Total revenue increased by $266.2 million, or 26%, in 2016 compared to 2015. We continued to experience global diversification of revenue in 2016. Revenue from all our regions grew, with EMEA contributing the largest portion of our revenue growth both on an absolute dollar and on a percentage basis. Product revenue increased by $71.3 million, or 15%, in</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spacing w:after="0" w:line="343" w:lineRule="auto"/>
        <w:rPr>
          <w:sz w:val="20"/>
          <w:szCs w:val="20"/>
          <w:color w:val="auto"/>
        </w:rPr>
      </w:pPr>
      <w:r>
        <w:rPr>
          <w:rFonts w:ascii="Arial" w:cs="Arial" w:eastAsia="Arial" w:hAnsi="Arial"/>
          <w:sz w:val="16"/>
          <w:szCs w:val="16"/>
          <w:color w:val="auto"/>
        </w:rPr>
        <w:t xml:space="preserve">2016 compared to 2015. The increase in product revenue was primarily driven by greater sales volume in our FortiGate product family across all product categories and in particular for our high-end and mid-range products for large enterprise customers. Sales of non-FortiGate products, such as FortiSandbox, also grew significantly. Service revenue increased by $194.8 million, or 37%, in 2016 compared to 2015.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 We are also starting to see a shift from product revenues </w:t>
      </w:r>
      <w:r>
        <w:rPr>
          <w:rFonts w:ascii="Arial" w:cs="Arial" w:eastAsia="Arial" w:hAnsi="Arial"/>
          <w:sz w:val="19"/>
          <w:szCs w:val="19"/>
          <w:color w:val="auto"/>
        </w:rPr>
        <w:t>t</w:t>
      </w:r>
      <w:r>
        <w:rPr>
          <w:rFonts w:ascii="Arial" w:cs="Arial" w:eastAsia="Arial" w:hAnsi="Arial"/>
          <w:sz w:val="16"/>
          <w:szCs w:val="16"/>
          <w:color w:val="auto"/>
        </w:rPr>
        <w:t>o higher-margin, recurring service revenues, which reflect our ongoing success in driving sales of low-end and high-end service bundles.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5"/>
          </w:tcPr>
          <w:p>
            <w:pPr>
              <w:ind w:left="600"/>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7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571"/>
              <w:spacing w:after="0"/>
              <w:rPr>
                <w:sz w:val="20"/>
                <w:szCs w:val="20"/>
                <w:color w:val="auto"/>
              </w:rPr>
            </w:pPr>
            <w:r>
              <w:rPr>
                <w:rFonts w:ascii="Arial" w:cs="Arial" w:eastAsia="Arial" w:hAnsi="Arial"/>
                <w:sz w:val="16"/>
                <w:szCs w:val="16"/>
                <w:b w:val="1"/>
                <w:bCs w:val="1"/>
                <w:color w:val="auto"/>
              </w:rPr>
              <w:t>Change</w:t>
            </w: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w w:val="99"/>
              </w:rPr>
              <w:t>(in thousands, except percentages)</w:t>
            </w: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208,984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190,398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18,586</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10%</w:t>
            </w:r>
          </w:p>
        </w:tc>
      </w:tr>
      <w:tr>
        <w:trPr>
          <w:trHeight w:val="27"/>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128,853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96,379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32,474</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34</w:t>
            </w:r>
          </w:p>
        </w:tc>
      </w:tr>
      <w:tr>
        <w:trPr>
          <w:trHeight w:val="297"/>
        </w:trPr>
        <w:tc>
          <w:tcPr>
            <w:tcW w:w="3640" w:type="dxa"/>
            <w:vAlign w:val="bottom"/>
            <w:tcBorders>
              <w:bottom w:val="single" w:sz="8" w:color="CCEEFF"/>
            </w:tcBorders>
          </w:tcPr>
          <w:p>
            <w:pPr>
              <w:jc w:val="center"/>
              <w:ind w:right="1970"/>
              <w:spacing w:after="0"/>
              <w:rPr>
                <w:sz w:val="20"/>
                <w:szCs w:val="20"/>
                <w:color w:val="auto"/>
              </w:rPr>
            </w:pPr>
            <w:r>
              <w:rPr>
                <w:rFonts w:ascii="Arial" w:cs="Arial" w:eastAsia="Arial" w:hAnsi="Arial"/>
                <w:sz w:val="18"/>
                <w:szCs w:val="18"/>
                <w:color w:val="auto"/>
                <w:w w:val="89"/>
              </w:rPr>
              <w:t>Total cost of revenue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337,837</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286,777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51,060</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18%</w:t>
            </w: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98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c>
          <w:tcPr>
            <w:tcW w:w="1980" w:type="dxa"/>
            <w:vAlign w:val="bottom"/>
          </w:tcPr>
          <w:p>
            <w:pPr>
              <w:spacing w:after="0"/>
              <w:rPr>
                <w:sz w:val="21"/>
                <w:szCs w:val="21"/>
                <w:color w:val="auto"/>
              </w:rPr>
            </w:pP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Total gross margin increased by 1.9 percentage points in 2016 compared to 2015, as both product and service gross margins increased. Product gross margin increased by 1.8 percentage points in 2016 compared to 2015. Product gross margin was positively impacted by higher sales of software products such as certain of our virtualized security solutions and by lower warranty related costs, and was partially offset by higher inventory reserves.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Service gross margin increased during 2016 as compared to 2015, as we scaled efficiencies resulting from an increased mix on higher-margin service revenue. Cost of service revenue increased by $32.5 million, and was comprised primarily of personnel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3"/>
          </w:tcPr>
          <w:p>
            <w:pPr>
              <w:jc w:val="right"/>
              <w:ind w:right="1057"/>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3"/>
          </w:tcPr>
          <w:p>
            <w:pPr>
              <w:jc w:val="right"/>
              <w:ind w:right="1076"/>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0"/>
              <w:spacing w:after="0"/>
              <w:rPr>
                <w:sz w:val="20"/>
                <w:szCs w:val="20"/>
                <w:color w:val="auto"/>
              </w:rPr>
            </w:pPr>
            <w:r>
              <w:rPr>
                <w:rFonts w:ascii="Arial" w:cs="Arial" w:eastAsia="Arial" w:hAnsi="Arial"/>
                <w:sz w:val="16"/>
                <w:szCs w:val="16"/>
                <w:b w:val="1"/>
                <w:bCs w:val="1"/>
                <w:color w:val="auto"/>
                <w:w w:val="95"/>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183,084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158,129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24,955</w:t>
            </w:r>
          </w:p>
        </w:tc>
        <w:tc>
          <w:tcPr>
            <w:tcW w:w="14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626,501</w:t>
            </w:r>
          </w:p>
        </w:tc>
        <w:tc>
          <w:tcPr>
            <w:tcW w:w="148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470,371</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156,130</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81,080</w:t>
            </w:r>
          </w:p>
        </w:tc>
        <w:tc>
          <w:tcPr>
            <w:tcW w:w="1480" w:type="dxa"/>
            <w:vAlign w:val="bottom"/>
            <w:gridSpan w:val="3"/>
          </w:tcPr>
          <w:p>
            <w:pPr>
              <w:jc w:val="right"/>
              <w:ind w:right="97"/>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71,514</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9,566</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48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894,662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707,614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187,048</w:t>
            </w:r>
          </w:p>
        </w:tc>
        <w:tc>
          <w:tcPr>
            <w:tcW w:w="14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Research and development expense increased by $25.0 million, or 16%, in 2016 compared to 2015, primarily due to an increase of $19.0 million in personnel costs as a result of increased headcount to support the development of new products and continued enhancements of our existing products. Depreciation and other occupancy-related costs increased by $6.6 million. We intend to continue to invest in our research and development organization, but expect research and development expense as a percentage of total revenue to remain at a relatively comparable level in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Sales and marketing expense increased by $156.1 million, or 33%, in 2016 compared to 2015, primarily due to an increase of $122.3 million in personnel costs as we continued to increase our sales and marketing headcount in order to drive continued market share gains globally. In addition, depreciation expense and other occupancy-related expense increased by $14.0 million, and travel and entertainment expense increased by $8.1 million. Marketing-related expense increased by $7.6 million as we invested significantly in marketing programs to capture market share, particularly in the large enterprise market, including costs related to trade shows and lead generation. As a percentage of total revenue, sales and marketing expense increased as we accelerated the investment in our sales force and marketing programs to drive future growth. We intend to continue to make investments in our sales resources and infrastructure and marketing strategy, which are critical to support growth, but expect sales and marketing expense as a percentage of total revenue to decline in 2017.</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General and administrative expense increased by $9.6 million, or 13%, in 2016 compared to 2015. Personnel costs increased by $9.6 million as we continued to increase headcount in order to support our expanding business and ERP implementation. During 2016, we expensed $7.8 million of third-party costs relating to the implementation and maintenance of the ERP system implementation compared to $5.4 million in 2015. These increases were partially offset by lower professional fees of $6.7 million in 2016. As a percentage of total revenue, we expect general and administrative expense to increase compared to 2016 as we continue to expand our ERP capabilities and implement the new revenue recognition standard.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Restructuring expenses of $4.0 million in 2016 primarily relate to our restructuring activities to improve operating efficiencies due to the acquisition of AccelOps and certain other activities. Restructuring charges of $7.6 million during 2015 relate to restructuring activities in connection with the Meru acquisition. See Note 9 to the consolidated financial statements for additional details, including the types of expenses incurred and cash payments made. See also the “Liquidity and Capital Resources” section of this Part II, Item 7, “Management’s Discussion and Analysis of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740" w:type="dxa"/>
            <w:vAlign w:val="bottom"/>
            <w:gridSpan w:val="4"/>
          </w:tcPr>
          <w:p>
            <w:pPr>
              <w:jc w:val="right"/>
              <w:ind w:right="87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w w:val="99"/>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7,303</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5,295</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2,008</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(7,099)</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(3,167)</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(3,932)</w:t>
            </w: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124</w:t>
            </w:r>
          </w:p>
        </w:tc>
      </w:tr>
    </w:tbl>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Interest income increased in 2016 as compared to 2015, primarily due to interest earned on invested balances of cash, cash equivalents and investments. Interest income varies depending on our average investment balances during the period, types and mix of investments, and market interest rates. The increase in other expense—net in 2016 as compared to 2015 was the result of higher foreign currency exchange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82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ind w:left="320"/>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840" w:type="dxa"/>
            <w:vAlign w:val="bottom"/>
          </w:tcPr>
          <w:p>
            <w:pPr>
              <w:jc w:val="right"/>
              <w:ind w:right="933"/>
              <w:spacing w:after="0"/>
              <w:rPr>
                <w:sz w:val="20"/>
                <w:szCs w:val="20"/>
                <w:color w:val="auto"/>
              </w:rPr>
            </w:pPr>
            <w:r>
              <w:rPr>
                <w:rFonts w:ascii="Arial" w:cs="Arial" w:eastAsia="Arial" w:hAnsi="Arial"/>
                <w:sz w:val="16"/>
                <w:szCs w:val="16"/>
                <w:b w:val="1"/>
                <w:bCs w:val="1"/>
                <w:color w:val="auto"/>
              </w:rPr>
              <w:t>Change</w:t>
            </w:r>
          </w:p>
        </w:tc>
        <w:tc>
          <w:tcPr>
            <w:tcW w:w="1640" w:type="dxa"/>
            <w:vAlign w:val="bottom"/>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60" w:type="dxa"/>
            <w:vAlign w:val="bottom"/>
            <w:gridSpan w:val="3"/>
          </w:tcPr>
          <w:p>
            <w:pPr>
              <w:ind w:left="320"/>
              <w:spacing w:after="0"/>
              <w:rPr>
                <w:sz w:val="20"/>
                <w:szCs w:val="20"/>
                <w:color w:val="auto"/>
              </w:rPr>
            </w:pPr>
            <w:r>
              <w:rPr>
                <w:rFonts w:ascii="Arial" w:cs="Arial" w:eastAsia="Arial" w:hAnsi="Arial"/>
                <w:sz w:val="16"/>
                <w:szCs w:val="16"/>
                <w:b w:val="1"/>
                <w:bCs w:val="1"/>
                <w:color w:val="auto"/>
              </w:rPr>
              <w:t>(in thousands, except percentages)</w:t>
            </w:r>
          </w:p>
        </w:tc>
        <w:tc>
          <w:tcPr>
            <w:tcW w:w="164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0"/>
              </w:rPr>
              <w:t>10,961</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9,018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rPr>
              <w:t>1,943</w:t>
            </w:r>
          </w:p>
        </w:tc>
        <w:tc>
          <w:tcPr>
            <w:tcW w:w="16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w w:val="94"/>
              </w:rPr>
              <w:t>22%</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Arial" w:cs="Arial" w:eastAsia="Arial" w:hAnsi="Arial"/>
                <w:sz w:val="18"/>
                <w:szCs w:val="18"/>
                <w:color w:val="auto"/>
              </w:rPr>
              <w:t>(28)%</w:t>
            </w:r>
          </w:p>
        </w:tc>
        <w:tc>
          <w:tcPr>
            <w:tcW w:w="1640" w:type="dxa"/>
            <w:vAlign w:val="bottom"/>
          </w:tcPr>
          <w:p>
            <w:pPr>
              <w:ind w:left="128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40" w:firstLine="648"/>
        <w:spacing w:after="0" w:line="257" w:lineRule="auto"/>
        <w:rPr>
          <w:sz w:val="20"/>
          <w:szCs w:val="20"/>
          <w:color w:val="auto"/>
        </w:rPr>
      </w:pPr>
      <w:r>
        <w:rPr>
          <w:rFonts w:ascii="Arial" w:cs="Arial" w:eastAsia="Arial" w:hAnsi="Arial"/>
          <w:sz w:val="18"/>
          <w:szCs w:val="18"/>
          <w:color w:val="auto"/>
        </w:rPr>
        <w:t>Our effective tax rate was 25% for 2016, compared with an effective tax rate of 53% for 2015. The provision for income taxes for 2016 was comprised primarily of U.S. federal and state taxes, other foreign income taxes, foreign withholding taxes, an increase in tax reserves, as well as transfer pricing allocations that impact jurisdictional income taxed at various tax rates. The decrease in the effective tax rate in 2016 was primarily due to the recognition of excess tax benefits for income tax provision from the adoption of ASU 2016-09. In 2016, due to the early adoption of ASU 2016-09, approximately $10.8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of excess tax benefits were recognized in the income tax provision. In 2015, there were no excess tax benefits included in the income tax provision.</w:t>
      </w:r>
    </w:p>
    <w:p>
      <w:pPr>
        <w:spacing w:after="0" w:line="23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It is our policy to classify accrued interest and penalties related to unrecognized tax benefits in the provision for income taxes. As of December 31, 2016, we had accrued $9.5 million for estimated interest related to uncertain tax provisions compared to an accrual of $5.5 million as of December 31, 2015.</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the next twelve months, we do not believe there will be a decrease in uncertain tax benefits that could significantly impact our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46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gridSpan w:val="3"/>
          </w:tcPr>
          <w:p>
            <w:pPr>
              <w:jc w:val="right"/>
              <w:ind w:right="1076"/>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476,782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360,558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116,224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32%</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532,486</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409,806</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122,680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30</w:t>
            </w: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1,009,268</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770,364</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238,904</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31%</w:t>
            </w: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435,282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324,659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110,623</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34%</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366,018</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270,537</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95,481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35</w:t>
            </w: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APAC</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207,968</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175,168</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32,800</w:t>
            </w:r>
          </w:p>
        </w:tc>
        <w:tc>
          <w:tcPr>
            <w:tcW w:w="1420" w:type="dxa"/>
            <w:vAlign w:val="bottom"/>
          </w:tcPr>
          <w:p>
            <w:pPr>
              <w:ind w:left="1060"/>
              <w:spacing w:after="0"/>
              <w:rPr>
                <w:sz w:val="20"/>
                <w:szCs w:val="20"/>
                <w:color w:val="auto"/>
              </w:rPr>
            </w:pPr>
            <w:r>
              <w:rPr>
                <w:rFonts w:ascii="Arial" w:cs="Arial" w:eastAsia="Arial" w:hAnsi="Arial"/>
                <w:sz w:val="18"/>
                <w:szCs w:val="18"/>
                <w:color w:val="auto"/>
              </w:rPr>
              <w:t>19</w:t>
            </w: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1,009,268</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770,364</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238,904</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31%</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Total revenue increased by $238.9 million, or 31%, in 2015 compared to 2014. Total revenue in 2015 of $1.01 billion included Meru’s revenue from July 8, 2015 to December 31, 2015 of $28.1 million, or 3% of total revenue. Excluding Meru’s revenue, our revenue was $981.2 million, an increase of 27% compared to the same period last year. We continued to experience global diversification of revenue in 2015. The Americas region contributed the largest portion of our revenue growth on an absolute dollar basis and all three regions showed growth on a percentage basis. Product revenue increased by $116.2 million, or 32%, in 2015 compared to 2014. The increase in product revenue was primarily driven by greater sales volume in our FortiGate product family across all product categories, particularly in our high-end products for large enterprise customers. Service revenue increased by $122.7 million, or 30%, in 2015 compared to 2014.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5"/>
          </w:tcPr>
          <w:p>
            <w:pPr>
              <w:ind w:left="600"/>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7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571"/>
              <w:spacing w:after="0"/>
              <w:rPr>
                <w:sz w:val="20"/>
                <w:szCs w:val="20"/>
                <w:color w:val="auto"/>
              </w:rPr>
            </w:pPr>
            <w:r>
              <w:rPr>
                <w:rFonts w:ascii="Arial" w:cs="Arial" w:eastAsia="Arial" w:hAnsi="Arial"/>
                <w:sz w:val="16"/>
                <w:szCs w:val="16"/>
                <w:b w:val="1"/>
                <w:bCs w:val="1"/>
                <w:color w:val="auto"/>
              </w:rPr>
              <w:t>Change</w:t>
            </w: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w w:val="99"/>
              </w:rPr>
              <w:t>(in thousands, except percentages)</w:t>
            </w: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190,398</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151,300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39,098</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26%</w:t>
            </w:r>
          </w:p>
        </w:tc>
      </w:tr>
      <w:tr>
        <w:trPr>
          <w:trHeight w:val="27"/>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96,379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79,709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16,670</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21</w:t>
            </w:r>
          </w:p>
        </w:tc>
      </w:tr>
      <w:tr>
        <w:trPr>
          <w:trHeight w:val="297"/>
        </w:trPr>
        <w:tc>
          <w:tcPr>
            <w:tcW w:w="3640" w:type="dxa"/>
            <w:vAlign w:val="bottom"/>
            <w:tcBorders>
              <w:bottom w:val="single" w:sz="8" w:color="CCEEFF"/>
            </w:tcBorders>
          </w:tcPr>
          <w:p>
            <w:pPr>
              <w:jc w:val="center"/>
              <w:ind w:right="1970"/>
              <w:spacing w:after="0"/>
              <w:rPr>
                <w:sz w:val="20"/>
                <w:szCs w:val="20"/>
                <w:color w:val="auto"/>
              </w:rPr>
            </w:pPr>
            <w:r>
              <w:rPr>
                <w:rFonts w:ascii="Arial" w:cs="Arial" w:eastAsia="Arial" w:hAnsi="Arial"/>
                <w:sz w:val="18"/>
                <w:szCs w:val="18"/>
                <w:color w:val="auto"/>
                <w:w w:val="89"/>
              </w:rPr>
              <w:t>Total cost of revenue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286,777</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231,009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55,768</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24%</w:t>
            </w: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198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1980" w:type="dxa"/>
            <w:vAlign w:val="bottom"/>
          </w:tcPr>
          <w:p>
            <w:pPr>
              <w:spacing w:after="0"/>
              <w:rPr>
                <w:sz w:val="21"/>
                <w:szCs w:val="21"/>
                <w:color w:val="auto"/>
              </w:rPr>
            </w:pPr>
          </w:p>
        </w:tc>
      </w:tr>
    </w:tbl>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Total gross margin increased by 1.6 percentage points in 2015 compared to 2014, as both product and service gross margins increased. Product gross margin increased by 2.1 percentage points in 2015 compared to 2014, primarily due to a greater mix of high-end FortiGate product sales compared to the same period last year, such as our FortiGate-5000 series. In addition, product gross margin was positively impacted by higher sales of software products such as certain of our virtualized security solutions, as well as by inventory management efficiencies.</w:t>
      </w:r>
    </w:p>
    <w:p>
      <w:pPr>
        <w:spacing w:after="0" w:line="171"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Service gross margin increased during 2015 as compared to 2014, as we scaled efficiencies resulting from our ability to charge more for our FortiGuard security subscription and FortiCare technical support offerings. Cost of service revenue increased by $16.7 million primarily due to an $11.6 million increase in personnel costs related to headcount increases.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3"/>
          </w:tcPr>
          <w:p>
            <w:pPr>
              <w:jc w:val="right"/>
              <w:ind w:right="1074"/>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158,129</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122,880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35,249</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470,371</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315,804</w:t>
            </w:r>
          </w:p>
        </w:tc>
        <w:tc>
          <w:tcPr>
            <w:tcW w:w="1520" w:type="dxa"/>
            <w:vAlign w:val="bottom"/>
            <w:tcBorders>
              <w:bottom w:val="single" w:sz="8" w:color="CCEEFF"/>
            </w:tcBorders>
            <w:gridSpan w:val="3"/>
            <w:shd w:val="clear" w:color="auto" w:fill="CCEEFF"/>
          </w:tcPr>
          <w:p>
            <w:pPr>
              <w:jc w:val="right"/>
              <w:ind w:right="1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154,567</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71,514</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41,347</w:t>
            </w:r>
          </w:p>
        </w:tc>
        <w:tc>
          <w:tcPr>
            <w:tcW w:w="1520" w:type="dxa"/>
            <w:vAlign w:val="bottom"/>
            <w:gridSpan w:val="3"/>
          </w:tcPr>
          <w:p>
            <w:pPr>
              <w:jc w:val="right"/>
              <w:ind w:right="1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30,167</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7,600</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707,614</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480,031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227,583</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 not meaningful</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Research and development expense increased by $35.2 million, or 29%, in 2015 compared to 2014, primarily due to an increase of $25.8 million in personnel costs as a result of increased headcount to support the development of new products and continued enhancements of our existing products. Depreciation and other occupancy-related costs increased by $3.6 million. In addition, during 2014, we had a reversal of $3.0 million related to a previously recorded liability for estimated contingent consideration.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Sales and marketing expense increased by $154.6 million, or 49%, in 2015 compared to 2014, primarily due to an increase of $108.0 million in personnel costs as we continued to increase our sales and marketing headcount. Marketing-related expenses increased by $16.9 million as we invested significantly in marketing investments to drive broader market awareness, create a global marketing engine, build broad market lead generation and nurture programs and accelerate pipeline. In addition, we incurred increases in travel expenses of $9.1 million, and depreciation and occupancy-related costs of $9.3 million. As a</w:t>
      </w:r>
    </w:p>
    <w:p>
      <w:pPr>
        <w:sectPr>
          <w:pgSz w:w="11900" w:h="16838" w:orient="portrait"/>
          <w:cols w:equalWidth="0" w:num="1">
            <w:col w:w="11420"/>
          </w:cols>
          <w:pgMar w:left="240" w:top="122"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percentage of total revenue, sales and marketing expense increased as we accelerated the investment in our sales force and marketing programs to drive future growth.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General and administrative expense increased by $30.2 million, or 73%, in 2015 compared to 2014. Personnel costs increased by $14.6 million as we continued to increase headcount in order to support our expanding business. In addition, professional fees increased by $6.9 million, primarily due to legal services related to the assertion of our intellectual property and other rights. In 2015, we also incurred $5.4 million in third party expenses related to business process design and reengineering in preparation of an ERP system implementation and $1.7 million of costs related to the Meru acquisition.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Restructuring expenses of $7.6 million in 2015, primarily relate to the restructuring activities in connection with the Meru acquisition to reduce our cost structure and improve operational efficiencies. See Note 9 to the consolidated financial statements for additional details, including types of expenses incurred and the timing of future expenses and cash payments. See also the “Liquidity and Capital Resources” section of this Part II, Item 7, “Management’s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740" w:type="dxa"/>
            <w:vAlign w:val="bottom"/>
            <w:gridSpan w:val="4"/>
          </w:tcPr>
          <w:p>
            <w:pPr>
              <w:jc w:val="right"/>
              <w:ind w:right="874"/>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1"/>
        </w:trPr>
        <w:tc>
          <w:tcPr>
            <w:tcW w:w="3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2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gridSpan w:val="3"/>
          </w:tcPr>
          <w:p>
            <w:pPr>
              <w:jc w:val="right"/>
              <w:ind w:right="853"/>
              <w:spacing w:after="0"/>
              <w:rPr>
                <w:sz w:val="20"/>
                <w:szCs w:val="20"/>
                <w:color w:val="auto"/>
              </w:rPr>
            </w:pPr>
            <w:r>
              <w:rPr>
                <w:rFonts w:ascii="Arial" w:cs="Arial" w:eastAsia="Arial" w:hAnsi="Arial"/>
                <w:sz w:val="16"/>
                <w:szCs w:val="16"/>
                <w:b w:val="1"/>
                <w:bCs w:val="1"/>
                <w:color w:val="auto"/>
                <w:w w:val="99"/>
              </w:rPr>
              <w:t>(in thousands, except percentages)</w:t>
            </w:r>
          </w:p>
        </w:tc>
        <w:tc>
          <w:tcPr>
            <w:tcW w:w="172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5,295</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(98)</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(3,167)</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(3,168)</w:t>
            </w:r>
          </w:p>
        </w:tc>
        <w:tc>
          <w:tcPr>
            <w:tcW w:w="480" w:type="dxa"/>
            <w:vAlign w:val="bottom"/>
          </w:tcPr>
          <w:p>
            <w:pPr>
              <w:spacing w:after="0"/>
              <w:rPr>
                <w:sz w:val="21"/>
                <w:szCs w:val="21"/>
                <w:color w:val="auto"/>
              </w:rPr>
            </w:pPr>
          </w:p>
        </w:tc>
        <w:tc>
          <w:tcPr>
            <w:tcW w:w="1780" w:type="dxa"/>
            <w:vAlign w:val="bottom"/>
          </w:tcPr>
          <w:p>
            <w:pPr>
              <w:jc w:val="right"/>
              <w:ind w:right="353"/>
              <w:spacing w:after="0"/>
              <w:rPr>
                <w:sz w:val="20"/>
                <w:szCs w:val="20"/>
                <w:color w:val="auto"/>
              </w:rPr>
            </w:pPr>
            <w:r>
              <w:rPr>
                <w:rFonts w:ascii="Arial" w:cs="Arial" w:eastAsia="Arial" w:hAnsi="Arial"/>
                <w:sz w:val="18"/>
                <w:szCs w:val="18"/>
                <w:color w:val="auto"/>
              </w:rPr>
              <w:t>1</w:t>
            </w:r>
          </w:p>
        </w:tc>
        <w:tc>
          <w:tcPr>
            <w:tcW w:w="172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Interest income and other expense—net remained relatively consistent in 2015 compared to 2014. Interest income varies depending on our average investment balances during the period, types and mix of investments, and market interest rates. Other expense—net consisted primarily of foreign exchange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382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jc w:val="right"/>
              <w:ind w:right="674"/>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20"/>
                <w:szCs w:val="20"/>
                <w:color w:val="auto"/>
              </w:rPr>
            </w:pPr>
          </w:p>
        </w:tc>
        <w:tc>
          <w:tcPr>
            <w:tcW w:w="1840" w:type="dxa"/>
            <w:vAlign w:val="bottom"/>
          </w:tcPr>
          <w:p>
            <w:pPr>
              <w:jc w:val="right"/>
              <w:ind w:right="93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5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6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9,018</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36,206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(27,188)</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Arial" w:cs="Arial" w:eastAsia="Arial" w:hAnsi="Arial"/>
                <w:sz w:val="18"/>
                <w:szCs w:val="18"/>
                <w:color w:val="auto"/>
              </w:rPr>
              <w:t>(6)%</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effective tax rate was 53% for 2015, compared with an effective tax rate of 59% for 2014. The provision for income taxes for 2015 was comprised primarily of U.S. federal and state taxes, other foreign income taxes, foreign withholding taxes and an increase in tax reserves, as well as the inclusion of stock-based compensation benefits and transfer pricing allocations which impacted jurisdictional income taxed at various tax rates. The decrease in the effective tax rate in 2015 was primarily due to higher research and development credits, additional tax benefits related to stock-based compensation expense and lower foreign withholding taxes.</w:t>
      </w:r>
    </w:p>
    <w:p>
      <w:pPr>
        <w:spacing w:after="0" w:line="18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It is our policy to classify accrued interest and penalties related to unrecognized tax benefits in the provision for income taxes. As of December 31, 2015, we had accrued $5.5 million for estimated interest related to uncertain tax provisions compared to an accrual of $1.7 million as of December 31, 2014.</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of Operations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following table sets forth our unaudited quarterly statements of operations data for the last eight quarters. The information for each of these quarters has been prepared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 31,</w:t>
            </w: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 30,</w:t>
            </w:r>
          </w:p>
        </w:tc>
        <w:tc>
          <w:tcPr>
            <w:tcW w:w="20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 31,</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 31,</w:t>
            </w:r>
          </w:p>
        </w:tc>
        <w:tc>
          <w:tcPr>
            <w:tcW w:w="2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Sept 30,</w:t>
            </w: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6"/>
                <w:szCs w:val="16"/>
                <w:b w:val="1"/>
                <w:bCs w:val="1"/>
                <w:color w:val="auto"/>
              </w:rPr>
              <w:t>Mar 31,</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7"/>
              </w:rPr>
              <w:t xml:space="preserve">2016 </w:t>
            </w:r>
            <w:r>
              <w:rPr>
                <w:rFonts w:ascii="Arial" w:cs="Arial" w:eastAsia="Arial" w:hAnsi="Arial"/>
                <w:sz w:val="21"/>
                <w:szCs w:val="21"/>
                <w:b w:val="1"/>
                <w:bCs w:val="1"/>
                <w:color w:val="auto"/>
                <w:w w:val="97"/>
                <w:vertAlign w:val="superscript"/>
              </w:rPr>
              <w:t>(3)</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thousands, except per share 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Consolidated Statements of</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Operations Data:</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127,972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97,509</w:t>
            </w:r>
          </w:p>
        </w:tc>
        <w:tc>
          <w:tcPr>
            <w:tcW w:w="0" w:type="dxa"/>
            <w:vAlign w:val="bottom"/>
          </w:tcPr>
          <w:p>
            <w:pPr>
              <w:spacing w:after="0"/>
              <w:rPr>
                <w:sz w:val="1"/>
                <w:szCs w:val="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203,905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188,674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174,750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160,004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151,770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140,331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125,008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115,377</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362,830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316,646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311,391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284,576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296,529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260,068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212,886</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Product </w:t>
            </w:r>
            <w:r>
              <w:rPr>
                <w:rFonts w:ascii="Arial" w:cs="Arial" w:eastAsia="Arial" w:hAnsi="Arial"/>
                <w:sz w:val="18"/>
                <w:szCs w:val="18"/>
                <w:color w:val="auto"/>
                <w:vertAlign w:val="superscript"/>
              </w:rPr>
              <w:t>(1)(2)</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56,616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50,267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52,788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49,313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55,466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46,167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47,397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41,368</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Service </w:t>
            </w:r>
            <w:r>
              <w:rPr>
                <w:rFonts w:ascii="Arial" w:cs="Arial" w:eastAsia="Arial" w:hAnsi="Arial"/>
                <w:sz w:val="18"/>
                <w:szCs w:val="18"/>
                <w:color w:val="auto"/>
                <w:vertAlign w:val="superscript"/>
              </w:rPr>
              <w:t>(1)(2)</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34,275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34,532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31,715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28,331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26,510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25,534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22,101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22,234</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3"/>
              </w:rPr>
              <w:t>Total cost of revenue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81,976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63,602</w:t>
            </w:r>
          </w:p>
        </w:tc>
        <w:tc>
          <w:tcPr>
            <w:tcW w:w="0" w:type="dxa"/>
            <w:vAlign w:val="bottom"/>
          </w:tcPr>
          <w:p>
            <w:pPr>
              <w:spacing w:after="0"/>
              <w:rPr>
                <w:sz w:val="1"/>
                <w:szCs w:val="1"/>
                <w:color w:val="auto"/>
              </w:rPr>
            </w:pPr>
          </w:p>
        </w:tc>
      </w:tr>
      <w:tr>
        <w:trPr>
          <w:trHeight w:val="237"/>
        </w:trPr>
        <w:tc>
          <w:tcPr>
            <w:tcW w:w="2420" w:type="dxa"/>
            <w:vAlign w:val="bottom"/>
          </w:tcPr>
          <w:p>
            <w:pPr>
              <w:ind w:left="820"/>
              <w:spacing w:after="0"/>
              <w:rPr>
                <w:sz w:val="20"/>
                <w:szCs w:val="20"/>
                <w:color w:val="auto"/>
              </w:rPr>
            </w:pPr>
            <w:r>
              <w:rPr>
                <w:rFonts w:ascii="Arial" w:cs="Arial" w:eastAsia="Arial" w:hAnsi="Arial"/>
                <w:sz w:val="18"/>
                <w:szCs w:val="18"/>
                <w:color w:val="auto"/>
              </w:rPr>
              <w:t>Total gross profit</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271,939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231,847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226,888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206,932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214,553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188,367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170,287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149,284</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20" w:type="dxa"/>
            <w:vAlign w:val="bottom"/>
          </w:tcPr>
          <w:p>
            <w:pPr>
              <w:ind w:left="380"/>
              <w:spacing w:after="0"/>
              <w:rPr>
                <w:sz w:val="20"/>
                <w:szCs w:val="20"/>
                <w:color w:val="auto"/>
              </w:rPr>
            </w:pPr>
            <w:r>
              <w:rPr>
                <w:rFonts w:ascii="Arial" w:cs="Arial" w:eastAsia="Arial" w:hAnsi="Arial"/>
                <w:sz w:val="18"/>
                <w:szCs w:val="18"/>
                <w:color w:val="auto"/>
                <w:w w:val="91"/>
              </w:rPr>
              <w:t>Research and development</w:t>
            </w:r>
          </w:p>
        </w:tc>
        <w:tc>
          <w:tcPr>
            <w:tcW w:w="200" w:type="dxa"/>
            <w:vAlign w:val="bottom"/>
          </w:tcPr>
          <w:p>
            <w:pPr>
              <w:spacing w:after="0"/>
              <w:rPr>
                <w:sz w:val="20"/>
                <w:szCs w:val="20"/>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45,589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47,239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45,502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44,754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42,814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8"/>
                <w:szCs w:val="18"/>
                <w:color w:val="auto"/>
              </w:rPr>
              <w:t>42,110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37,389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35,816</w:t>
            </w:r>
          </w:p>
        </w:tc>
        <w:tc>
          <w:tcPr>
            <w:tcW w:w="0" w:type="dxa"/>
            <w:vAlign w:val="bottom"/>
          </w:tcPr>
          <w:p>
            <w:pPr>
              <w:spacing w:after="0"/>
              <w:rPr>
                <w:sz w:val="1"/>
                <w:szCs w:val="1"/>
                <w:color w:val="auto"/>
              </w:rPr>
            </w:pPr>
          </w:p>
        </w:tc>
      </w:tr>
      <w:tr>
        <w:trPr>
          <w:trHeight w:val="115"/>
        </w:trPr>
        <w:tc>
          <w:tcPr>
            <w:tcW w:w="2420" w:type="dxa"/>
            <w:vAlign w:val="bottom"/>
          </w:tcPr>
          <w:p>
            <w:pPr>
              <w:ind w:left="380"/>
              <w:spacing w:after="0"/>
              <w:rPr>
                <w:sz w:val="20"/>
                <w:szCs w:val="20"/>
                <w:color w:val="auto"/>
              </w:rPr>
            </w:pPr>
            <w:r>
              <w:rPr>
                <w:rFonts w:ascii="Arial" w:cs="Arial" w:eastAsia="Arial" w:hAnsi="Arial"/>
                <w:sz w:val="9"/>
                <w:szCs w:val="9"/>
                <w:color w:val="auto"/>
              </w:rPr>
              <w:t>(1)</w:t>
            </w:r>
          </w:p>
        </w:tc>
        <w:tc>
          <w:tcPr>
            <w:tcW w:w="2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8"/>
                <w:szCs w:val="18"/>
                <w:color w:val="auto"/>
                <w:vertAlign w:val="superscript"/>
              </w:rPr>
              <w:t>(1)(2)</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162,873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154,831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162,694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146,103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136,840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120,994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111,928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100,609</w:t>
            </w:r>
          </w:p>
        </w:tc>
        <w:tc>
          <w:tcPr>
            <w:tcW w:w="0" w:type="dxa"/>
            <w:vAlign w:val="bottom"/>
          </w:tcPr>
          <w:p>
            <w:pPr>
              <w:spacing w:after="0"/>
              <w:rPr>
                <w:sz w:val="1"/>
                <w:szCs w:val="1"/>
                <w:color w:val="auto"/>
              </w:rPr>
            </w:pPr>
          </w:p>
        </w:tc>
      </w:tr>
      <w:tr>
        <w:trPr>
          <w:trHeight w:val="236"/>
        </w:trPr>
        <w:tc>
          <w:tcPr>
            <w:tcW w:w="2420" w:type="dxa"/>
            <w:vAlign w:val="bottom"/>
          </w:tcPr>
          <w:p>
            <w:pPr>
              <w:ind w:left="380"/>
              <w:spacing w:after="0"/>
              <w:rPr>
                <w:sz w:val="20"/>
                <w:szCs w:val="20"/>
                <w:color w:val="auto"/>
              </w:rPr>
            </w:pPr>
            <w:r>
              <w:rPr>
                <w:rFonts w:ascii="Arial" w:cs="Arial" w:eastAsia="Arial" w:hAnsi="Arial"/>
                <w:sz w:val="18"/>
                <w:szCs w:val="18"/>
                <w:color w:val="auto"/>
                <w:w w:val="93"/>
              </w:rPr>
              <w:t>General and administrative</w:t>
            </w:r>
          </w:p>
        </w:tc>
        <w:tc>
          <w:tcPr>
            <w:tcW w:w="200" w:type="dxa"/>
            <w:vAlign w:val="bottom"/>
          </w:tcPr>
          <w:p>
            <w:pPr>
              <w:spacing w:after="0"/>
              <w:rPr>
                <w:sz w:val="20"/>
                <w:szCs w:val="20"/>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17,451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22,006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22,184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19,439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20,315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8"/>
                <w:szCs w:val="18"/>
                <w:color w:val="auto"/>
              </w:rPr>
              <w:t>21,220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18,018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115"/>
        </w:trPr>
        <w:tc>
          <w:tcPr>
            <w:tcW w:w="2420" w:type="dxa"/>
            <w:vAlign w:val="bottom"/>
          </w:tcPr>
          <w:p>
            <w:pPr>
              <w:ind w:left="380"/>
              <w:spacing w:after="0"/>
              <w:rPr>
                <w:sz w:val="20"/>
                <w:szCs w:val="20"/>
                <w:color w:val="auto"/>
              </w:rPr>
            </w:pPr>
            <w:r>
              <w:rPr>
                <w:rFonts w:ascii="Arial" w:cs="Arial" w:eastAsia="Arial" w:hAnsi="Arial"/>
                <w:sz w:val="9"/>
                <w:szCs w:val="9"/>
                <w:color w:val="auto"/>
              </w:rPr>
              <w:t>(1)</w:t>
            </w:r>
          </w:p>
        </w:tc>
        <w:tc>
          <w:tcPr>
            <w:tcW w:w="2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420" w:type="dxa"/>
            <w:vAlign w:val="bottom"/>
          </w:tcPr>
          <w:p>
            <w:pPr>
              <w:ind w:left="820"/>
              <w:spacing w:after="0"/>
              <w:rPr>
                <w:sz w:val="20"/>
                <w:szCs w:val="20"/>
                <w:color w:val="auto"/>
              </w:rPr>
            </w:pPr>
            <w:r>
              <w:rPr>
                <w:rFonts w:ascii="Arial" w:cs="Arial" w:eastAsia="Arial" w:hAnsi="Arial"/>
                <w:sz w:val="18"/>
                <w:szCs w:val="18"/>
                <w:color w:val="auto"/>
              </w:rPr>
              <w:t>Total operating</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8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226,746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226,359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230,933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210,624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201,686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190,207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167,335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148,386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9"/>
        </w:trPr>
        <w:tc>
          <w:tcPr>
            <w:tcW w:w="2420" w:type="dxa"/>
            <w:vAlign w:val="bottom"/>
          </w:tcPr>
          <w:p>
            <w:pPr>
              <w:ind w:left="40"/>
              <w:spacing w:after="0"/>
              <w:rPr>
                <w:sz w:val="20"/>
                <w:szCs w:val="20"/>
                <w:color w:val="auto"/>
              </w:rPr>
            </w:pPr>
            <w:r>
              <w:rPr>
                <w:rFonts w:ascii="Arial" w:cs="Arial" w:eastAsia="Arial" w:hAnsi="Arial"/>
                <w:sz w:val="18"/>
                <w:szCs w:val="18"/>
                <w:color w:val="auto"/>
              </w:rPr>
              <w:t>Income (loss) before income</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43,507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13,036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(benefit from)</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97"/>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25,166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4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1"/>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9"/>
          <w:szCs w:val="9"/>
          <w:color w:val="auto"/>
        </w:rPr>
      </w:pPr>
      <w:r>
        <w:rPr>
          <w:rFonts w:ascii="Arial" w:cs="Arial" w:eastAsia="Arial" w:hAnsi="Arial"/>
          <w:sz w:val="14"/>
          <w:szCs w:val="14"/>
          <w:color w:val="auto"/>
        </w:rPr>
        <w:t>Includes stock-based compensation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 31,</w:t>
            </w: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 30,</w:t>
            </w: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 31,</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 31,</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 30,</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Mar 31,</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Cost of service revenue</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5,157</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17,378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16,990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15,815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14,954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13,904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9,307</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w:t>
            </w:r>
          </w:p>
        </w:tc>
        <w:tc>
          <w:tcPr>
            <w:tcW w:w="0" w:type="dxa"/>
            <w:vAlign w:val="bottom"/>
          </w:tcPr>
          <w:p>
            <w:pPr>
              <w:spacing w:after="0"/>
              <w:rPr>
                <w:sz w:val="1"/>
                <w:szCs w:val="1"/>
                <w:color w:val="auto"/>
              </w:rPr>
            </w:pPr>
          </w:p>
        </w:tc>
      </w:tr>
      <w:tr>
        <w:trPr>
          <w:trHeight w:val="200"/>
        </w:trPr>
        <w:tc>
          <w:tcPr>
            <w:tcW w:w="2420" w:type="dxa"/>
            <w:vAlign w:val="bottom"/>
          </w:tcPr>
          <w:p>
            <w:pPr>
              <w:ind w:left="380"/>
              <w:spacing w:after="0"/>
              <w:rPr>
                <w:sz w:val="20"/>
                <w:szCs w:val="20"/>
                <w:color w:val="auto"/>
              </w:rPr>
            </w:pPr>
            <w:r>
              <w:rPr>
                <w:rFonts w:ascii="Arial" w:cs="Arial" w:eastAsia="Arial" w:hAnsi="Arial"/>
                <w:sz w:val="16"/>
                <w:szCs w:val="16"/>
                <w:color w:val="auto"/>
              </w:rPr>
              <w:t>Total stock-based</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32,081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31,093</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30,347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28,902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28,087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26,319</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21,760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18,922</w:t>
            </w:r>
          </w:p>
        </w:tc>
        <w:tc>
          <w:tcPr>
            <w:tcW w:w="0" w:type="dxa"/>
            <w:vAlign w:val="bottom"/>
          </w:tcPr>
          <w:p>
            <w:pPr>
              <w:spacing w:after="0"/>
              <w:rPr>
                <w:sz w:val="1"/>
                <w:szCs w:val="1"/>
                <w:color w:val="auto"/>
              </w:rPr>
            </w:pPr>
          </w:p>
        </w:tc>
      </w:tr>
      <w:tr>
        <w:trPr>
          <w:trHeight w:val="224"/>
        </w:trPr>
        <w:tc>
          <w:tcPr>
            <w:tcW w:w="2420" w:type="dxa"/>
            <w:vAlign w:val="bottom"/>
          </w:tcPr>
          <w:p>
            <w:pPr>
              <w:ind w:left="380"/>
              <w:spacing w:after="0"/>
              <w:rPr>
                <w:sz w:val="20"/>
                <w:szCs w:val="20"/>
                <w:color w:val="auto"/>
              </w:rPr>
            </w:pPr>
            <w:r>
              <w:rPr>
                <w:rFonts w:ascii="Arial" w:cs="Arial" w:eastAsia="Arial" w:hAnsi="Arial"/>
                <w:sz w:val="16"/>
                <w:szCs w:val="16"/>
                <w:color w:val="auto"/>
              </w:rPr>
              <w:t>compensation expense</w:t>
            </w:r>
          </w:p>
        </w:tc>
        <w:tc>
          <w:tcPr>
            <w:tcW w:w="18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w:t>
      </w:r>
    </w:p>
    <w:p>
      <w:pPr>
        <w:spacing w:after="0" w:line="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9"/>
          <w:szCs w:val="9"/>
          <w:color w:val="auto"/>
        </w:rPr>
      </w:pPr>
      <w:r>
        <w:rPr>
          <w:rFonts w:ascii="Arial" w:cs="Arial" w:eastAsia="Arial" w:hAnsi="Arial"/>
          <w:sz w:val="14"/>
          <w:szCs w:val="14"/>
          <w:color w:val="auto"/>
        </w:rPr>
        <w:t>Total amortization included in the product and service costs are as follows:</w:t>
      </w:r>
    </w:p>
    <w:p>
      <w:pPr>
        <w:spacing w:after="0" w:line="318"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 31,</w:t>
            </w: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 30,</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 30,</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 31,</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 31,</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 30,</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 30,</w:t>
            </w:r>
          </w:p>
        </w:tc>
        <w:tc>
          <w:tcPr>
            <w:tcW w:w="1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 31,</w:t>
            </w: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38"/>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2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Amortization of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7"/>
        </w:trPr>
        <w:tc>
          <w:tcPr>
            <w:tcW w:w="2260" w:type="dxa"/>
            <w:vAlign w:val="bottom"/>
          </w:tcPr>
          <w:p>
            <w:pPr>
              <w:ind w:left="20"/>
              <w:spacing w:after="0"/>
              <w:rPr>
                <w:sz w:val="20"/>
                <w:szCs w:val="20"/>
                <w:color w:val="auto"/>
              </w:rPr>
            </w:pPr>
            <w:r>
              <w:rPr>
                <w:rFonts w:ascii="Arial" w:cs="Arial" w:eastAsia="Arial" w:hAnsi="Arial"/>
                <w:sz w:val="16"/>
                <w:szCs w:val="16"/>
                <w:color w:val="auto"/>
              </w:rPr>
              <w:t>Impairment of intangible assets</w:t>
            </w: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amortization and</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impairment of intangible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3,022</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2,839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2,269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9"/>
        </w:trPr>
        <w:tc>
          <w:tcPr>
            <w:tcW w:w="2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w:t>
      </w:r>
    </w:p>
    <w:p>
      <w:pPr>
        <w:spacing w:after="0" w:line="11" w:lineRule="exact"/>
        <w:rPr>
          <w:sz w:val="20"/>
          <w:szCs w:val="20"/>
          <w:color w:val="auto"/>
        </w:rPr>
      </w:pPr>
    </w:p>
    <w:p>
      <w:pPr>
        <w:ind w:left="660" w:right="120" w:hanging="652"/>
        <w:spacing w:after="0" w:line="314" w:lineRule="auto"/>
        <w:tabs>
          <w:tab w:leader="none" w:pos="6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 March 2016, the Financial Accounting Standards Board issued Accounting Standard Update (</w:t>
      </w:r>
      <w:r>
        <w:rPr>
          <w:rFonts w:ascii="Arial" w:cs="Arial" w:eastAsia="Arial" w:hAnsi="Arial"/>
          <w:sz w:val="18"/>
          <w:szCs w:val="18"/>
          <w:color w:val="auto"/>
        </w:rPr>
        <w:t>“</w:t>
      </w:r>
      <w:r>
        <w:rPr>
          <w:rFonts w:ascii="Arial" w:cs="Arial" w:eastAsia="Arial" w:hAnsi="Arial"/>
          <w:sz w:val="14"/>
          <w:szCs w:val="14"/>
          <w:color w:val="auto"/>
        </w:rPr>
        <w:t>ASU</w:t>
      </w:r>
      <w:r>
        <w:rPr>
          <w:rFonts w:ascii="Arial" w:cs="Arial" w:eastAsia="Arial" w:hAnsi="Arial"/>
          <w:sz w:val="18"/>
          <w:szCs w:val="18"/>
          <w:color w:val="auto"/>
        </w:rPr>
        <w:t>”</w:t>
      </w:r>
      <w:r>
        <w:rPr>
          <w:rFonts w:ascii="Arial" w:cs="Arial" w:eastAsia="Arial" w:hAnsi="Arial"/>
          <w:sz w:val="14"/>
          <w:szCs w:val="14"/>
          <w:color w:val="auto"/>
        </w:rPr>
        <w:t>) No. 2016-09, which allows a company to make a policy election to account for forfeitures as they occur. We early adopted this standard and elected to account for forfeitures as they occur using the modified retrospective transition method. The adoption of this standard resulted in a decrease of $2.0 million in our share-based compensation during the first quarter of 2016. The adoption of ASU 2016-09 resulted in a decrease of $3.6 million in our provision for income taxes during the first quarter of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Cyclicality and Quarterly Revenue Trends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quarterly results reflect a pattern of increased customer buying at year-end, which has positively impacted billings and product revenue activity in the fourth quarter. In the first quarter, we generally experience lower sequential customer buying, which results in lower billings and product revenue. Although these seasonal factors are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each quarter. We believe this is due to customer buying patterns typical in this industry.</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total quarterly revenue over the past eight quarters has generally increased sequentially in each quarter, except in the first quarters of 2016 and 2015. Product revenue, on average throughout the year, increased in 2016 as compared to the same quarters in 2015, which we believe was due in part to the investments made in our sales and marketing organizations, to a robust security market and to continued product innovation. We are also starting to see a shift from product revenues to higher-margin, recurring service revenues, which reflect our ongoing success in driving sales of low-end and high-end service bundles.</w:t>
      </w:r>
    </w:p>
    <w:p>
      <w:pPr>
        <w:spacing w:after="0" w:line="200" w:lineRule="exact"/>
        <w:rPr>
          <w:sz w:val="20"/>
          <w:szCs w:val="20"/>
          <w:color w:val="auto"/>
        </w:rPr>
      </w:pP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Total gross margin has fluctuated on a quarterly basis primarily due to shifts in the mix of sales between products and services and between products. Product gross margin varies based on the types of products sold and the average selling prices of our products. In addition, product gross margin was positively impacted by higher sales of software products such as certain of our virtualized security solutions, as well as inventory management efficiencies. Service gross margins, on average throughout the year, increased in 2016 compared to 2015 due to a mix shift to higher-margin service revenue, as well as scaled efficiencies.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of December 31,</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709,003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283,254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601,505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621,033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708,490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1,310,508</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1,164,310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991,744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709,276</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591,873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508,925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gridSpan w:val="6"/>
          </w:tcPr>
          <w:p>
            <w:pPr>
              <w:jc w:val="center"/>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345,708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196,582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(29,350)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(105,859)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260,023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167,381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Liquidity and capital resources may be impacted by our operating activities, as well as by our business acquisitions, real estate and other capital expenditures, stock repurchases, proceeds associated with stock option exercises and issuances of common stock under the employee stock purchase plan, payment of taxes in connection with the net settlement of equity awards, and investments in strategic relationships that we have made or may make in the future. Our previous stock repurchase program (the “2015 Repurchase Program”) expired on December 31, 2015 with an unused balance under the 2015 Repurchase Program of $62.5 million. In January 2016, our board of directors approved a new share repurchase program, which authorizes the repurchase of up to $200.0 million of our outstanding common stock through December 31, 2017. In October 2016, our board of directors authorized the purchase of additional $100.0 million of shares of our common stock under the 2016 Repurchase Program, increasing our current authorization to $300.0 million through December 31, 2017. In recent years we have received significant capital resources as a result of the exercise of stock options. We expect proceeds in future years to be impacted by the increased mix of restricted stock units (“RSU”) granted versus stock options and also to vary based on our share price. We expect to spend $140.0 million to $150.0 million in capital expenditures primarily related to purchase of real estate to expand our offices to support worldwide growth.</w:t>
      </w:r>
    </w:p>
    <w:p>
      <w:pPr>
        <w:spacing w:after="0" w:line="183"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As of December 31, 2016, our cash, cash equivalents, and investments of $1.31 billion were invested primarily in corporate debt securities, commercial paper, U.S. government and agency securities, municipal bonds, money market funds, certificates of deposit and term deposits. It is our investment policy to invest excess cash in a manner that preserves capital, provides liquidity and maximizes return without significantly increasing risk.</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December 31, 2016, $504.8 million of our cash and investments were held by our international subsidiaries and are therefore not immediately available to fund domestic operations unless the cash is repatriated. While we do not intend to do so, should this amount be repatriated, most of it would be subject to U.S. federal income tax that would be partially offset by foreign tax credits. In the fourth quarter of 2016, we repatriated $55.0 million of cash from offshore. A decision was made to bring this cash back to the U.S. as it carried a substantial foreign tax credit amounting to $22.3 million.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the continuing market acceptance of our products and our investments in real estate through purchases or long-term leases. We anticipate our capital expenditures spending in 2017 to be approximately $140.0 million to $150.0 million. Such capital expenditures include purchases completed in January 2017, purchases currently in escrow and purchases signed but not yet in escrow totaling $2.7 million, $88.0 million and $13.0 million, respectively.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depreciation of property and equipment, amortization of intangible assets and amortization of investment premiums.</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operating activities during 2016 provided $345.7 million in cash as a result of our continued growth of our business and the ability to successfully manage our working capital. Changes in operating assets and liabilities primarily resulted from an increase in sales of our FortiGuard security subscription and FortiCare technical supports to new and existing customers, as reflected by an increase in our deferred revenue, which was partially offset by an increase in accounts receivable and payments for inventory purchases. We are also starting to see a shift from product revenues to higher-margin, recurring service revenues. For example, our total revenue grew 26% in 2016 compared to 2015, while our total deferred revenue balance grew 31%.</w:t>
      </w:r>
    </w:p>
    <w:p>
      <w:pPr>
        <w:spacing w:after="0" w:line="15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Our operating activities during 2015 provided $282.5 million in cash as a result of our continued growth in billings and the ability to successfully manage our working capital. Additionally, in 2015, we received $9.0 million related to a mutual three-year covenant-not-to-sue agreement. Changes in operating assets and liabilities primarily resulted from an increase in payments received from customers, partially offset by an increase in payments to vendors.</w:t>
      </w:r>
    </w:p>
    <w:p>
      <w:pPr>
        <w:spacing w:after="0" w:line="18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operating activities during 2014 provided $196.6 million in cash as a result of profitability, timing of billings and collections, and the ability to successfully manage our working capital. The primary sources of cash from operating activities during 2014 consisted of net income of $25.3 million, increased by non-cash adjustments of $93.9 million and changes in operating assets and liabilities of $77.4 million. In 2014, we received $20.0 million pursuant to a six-year mutual covenant-not-to-sue and release agreement with Palo Alto Networks. Changes in operating assets and liabilities primarily included an increase in payments received from customers and a receipt of cash related to the mutual covenant-not-to-sue and release agreement, partially offset by payments for inventory purchases, prepayment of certain expenses and payments of income taxes during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purchases of property and equipment, and payments made in connection with business acquisitions. Historically, in making a lease versus purchase decision related to our larger facilities, we have elected to purchase the facility. We expect to make similar decisions in the future.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During 2016, cash used for investing activities was primarily due to the $67.2 million we spent on capital expenditures, including our purchases of a warehouse in Union City, California for total cash of $18.5 million, and a $22.1 million payment for the acquisition of AccelOps. The outflow of cash was partially offset by positive cash flow due to maturities, net of purchases, from our investments of $15.1 million.</w:t>
      </w:r>
    </w:p>
    <w:p>
      <w:pPr>
        <w:spacing w:after="0" w:line="18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During 2015, cash used for investing activities was primarily due to $38.0 million used for the acquisition of Meru. In addition we spent $37.4 million on capital expenditures, including our purchases of certain real properties in Sunnyvale, California and Sophia, France for total cash of $13.9 million. The outflow of cash was partially offset by positive cash flow due to maturities, net of purchases, from our investments of $74.4 million.</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2014, cash used for investing activities was primarily due to $32.2 million spent on capital expenditures, partially offset by positive cash flow due to maturities, net of purchases, from our investments of $2.9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changes in cash flows from financing activities primarily relate to proceeds from the issuance of common stock under our equity incentive plan and ESPP, taxes paid related to net share settlement of equity awards, excess tax benefit from stock-based compensation, and repurchase and retirement of common stock.</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2016, cash used for financing activities was $105.9 million, primarily due to $110.8 million used to repurchase our common stock. This was partially offset by $6.6 million of proceeds from the issuance of common stock, net of tax withholding.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2015, cash used for financing activities was $21.6 million primarily due to $60.0 million used to repurchase our common stock. This was partially offset by $38.4 million of proceeds from the issuance of common stock, net of tax withholding.</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2014, cash provided by financing activities was $0.7 million as a result of proceeds of $55.3 million from the issuance of common stock under our stock plans. This cash inflow was partially offset by $44.0 million used to repurchase our common stock and $10.6 million of taxes payment related to withholding.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2016:</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gridSpan w:val="6"/>
          </w:tcPr>
          <w:p>
            <w:pPr>
              <w:jc w:val="right"/>
              <w:spacing w:after="0"/>
              <w:rPr>
                <w:sz w:val="20"/>
                <w:szCs w:val="20"/>
                <w:color w:val="auto"/>
              </w:rPr>
            </w:pPr>
            <w:r>
              <w:rPr>
                <w:rFonts w:ascii="Arial" w:cs="Arial" w:eastAsia="Arial" w:hAnsi="Arial"/>
                <w:sz w:val="16"/>
                <w:szCs w:val="16"/>
                <w:b w:val="1"/>
                <w:bCs w:val="1"/>
                <w:color w:val="auto"/>
                <w:w w:val="89"/>
              </w:rPr>
              <w:t>Payments Due by Period</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6"/>
                <w:szCs w:val="16"/>
                <w:b w:val="1"/>
                <w:bCs w:val="1"/>
                <w:color w:val="auto"/>
                <w:w w:val="97"/>
              </w:rPr>
              <w:t>More than 5</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48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w w:val="92"/>
              </w:rPr>
              <w:t>Less than 1 year</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1 - 3 years</w:t>
            </w:r>
          </w:p>
        </w:tc>
        <w:tc>
          <w:tcPr>
            <w:tcW w:w="20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6"/>
                <w:szCs w:val="16"/>
                <w:b w:val="1"/>
                <w:bCs w:val="1"/>
                <w:color w:val="auto"/>
                <w:w w:val="97"/>
              </w:rPr>
              <w:t>3 - 5 years</w:t>
            </w:r>
          </w:p>
        </w:tc>
        <w:tc>
          <w:tcPr>
            <w:tcW w:w="26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65,489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35,510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Inventory purchase commitments </w:t>
            </w:r>
            <w:r>
              <w:rPr>
                <w:rFonts w:ascii="Arial" w:cs="Arial" w:eastAsia="Arial" w:hAnsi="Arial"/>
                <w:sz w:val="18"/>
                <w:szCs w:val="18"/>
                <w:color w:val="auto"/>
                <w:vertAlign w:val="superscript"/>
              </w:rPr>
              <w:t>(2)</w:t>
            </w:r>
          </w:p>
        </w:tc>
        <w:tc>
          <w:tcPr>
            <w:tcW w:w="2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91,247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 xml:space="preserve">Other contractual commitments and open purchase orders </w:t>
            </w:r>
            <w:r>
              <w:rPr>
                <w:rFonts w:ascii="Arial" w:cs="Arial" w:eastAsia="Arial" w:hAnsi="Arial"/>
                <w:sz w:val="18"/>
                <w:szCs w:val="18"/>
                <w:color w:val="auto"/>
                <w:w w:val="95"/>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50,686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45,953</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207,422</w:t>
            </w:r>
          </w:p>
        </w:tc>
        <w:tc>
          <w:tcPr>
            <w:tcW w:w="12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154,899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40,243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2"/>
        </w:numPr>
        <w:rPr>
          <w:rFonts w:ascii="Arial" w:cs="Arial" w:eastAsia="Arial" w:hAnsi="Arial"/>
          <w:sz w:val="9"/>
          <w:szCs w:val="9"/>
          <w:color w:val="auto"/>
        </w:rPr>
      </w:pPr>
      <w:r>
        <w:rPr>
          <w:rFonts w:ascii="Arial" w:cs="Arial" w:eastAsia="Arial" w:hAnsi="Arial"/>
          <w:sz w:val="14"/>
          <w:szCs w:val="14"/>
          <w:color w:val="auto"/>
        </w:rPr>
        <w:t>Consists of contractual obligations from non-cancelable office space under operating leases.</w:t>
      </w:r>
    </w:p>
    <w:p>
      <w:pPr>
        <w:spacing w:after="0" w:line="1" w:lineRule="exact"/>
        <w:rPr>
          <w:rFonts w:ascii="Arial" w:cs="Arial" w:eastAsia="Arial" w:hAnsi="Arial"/>
          <w:sz w:val="9"/>
          <w:szCs w:val="9"/>
          <w:color w:val="auto"/>
        </w:rPr>
      </w:pPr>
    </w:p>
    <w:p>
      <w:pPr>
        <w:ind w:left="660" w:hanging="652"/>
        <w:spacing w:after="0"/>
        <w:tabs>
          <w:tab w:leader="none" w:pos="660" w:val="left"/>
        </w:tabs>
        <w:numPr>
          <w:ilvl w:val="0"/>
          <w:numId w:val="32"/>
        </w:numPr>
        <w:rPr>
          <w:rFonts w:ascii="Arial" w:cs="Arial" w:eastAsia="Arial" w:hAnsi="Arial"/>
          <w:sz w:val="9"/>
          <w:szCs w:val="9"/>
          <w:color w:val="auto"/>
        </w:rPr>
      </w:pPr>
      <w:r>
        <w:rPr>
          <w:rFonts w:ascii="Arial" w:cs="Arial" w:eastAsia="Arial" w:hAnsi="Arial"/>
          <w:sz w:val="14"/>
          <w:szCs w:val="14"/>
          <w:color w:val="auto"/>
        </w:rPr>
        <w:t>Consists of minimum purchase commitments with independent contract manufacturers.</w:t>
      </w:r>
    </w:p>
    <w:p>
      <w:pPr>
        <w:spacing w:after="0" w:line="1" w:lineRule="exact"/>
        <w:rPr>
          <w:rFonts w:ascii="Arial" w:cs="Arial" w:eastAsia="Arial" w:hAnsi="Arial"/>
          <w:sz w:val="9"/>
          <w:szCs w:val="9"/>
          <w:color w:val="auto"/>
        </w:rPr>
      </w:pPr>
    </w:p>
    <w:p>
      <w:pPr>
        <w:ind w:left="660" w:right="140" w:hanging="652"/>
        <w:spacing w:after="0" w:line="246" w:lineRule="auto"/>
        <w:tabs>
          <w:tab w:leader="none" w:pos="660" w:val="left"/>
        </w:tabs>
        <w:numPr>
          <w:ilvl w:val="0"/>
          <w:numId w:val="32"/>
        </w:numPr>
        <w:rPr>
          <w:rFonts w:ascii="Arial" w:cs="Arial" w:eastAsia="Arial" w:hAnsi="Arial"/>
          <w:sz w:val="9"/>
          <w:szCs w:val="9"/>
          <w:color w:val="auto"/>
        </w:rPr>
      </w:pPr>
      <w:r>
        <w:rPr>
          <w:rFonts w:ascii="Arial" w:cs="Arial" w:eastAsia="Arial" w:hAnsi="Arial"/>
          <w:sz w:val="14"/>
          <w:szCs w:val="14"/>
          <w:color w:val="auto"/>
        </w:rPr>
        <w:t>Consists of an estimate of open purchase orders and contractual obligations in the ordinary course of business, other than commitments with contract manufacturers and suppliers, for which we have not received the goods or services. No tax liabilities related to uncertain tax positions have been included in the table. As of December 31, 2016, we had $68.6 million of long-term tax liabilities, including interest, related to uncertain tax positions. Because of the high degree of uncertainty regarding the settlement of these liabilities, we are unable to estimate the years in which future cash outflows may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During 2016, 2015 and 2014,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See Note 1 of the notes to our consolidated financial statements in Part II, Item 8 of this Annual Report on Form 10-K for a full description of recently adopted accounting pronouncements.</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investments in a variety of securities, including corporate debt securities, money market funds, commercial paper, municipal bonds, U.S. government and agency securities, and certificates of deposit and term deposits. The risk associated with fluctuating interest rates is limited to our investment portfolio. A 10% decrease in interest rates in 2016, 2015 and 2014 would have resulted in an insignificant decrease in our interest income in each of these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sales contracts are primarily denominated in U.S. dollars and therefore substantially all of our revenue is not 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the Euro (“EUR”), the British pound (“GBP”) and the Chinese yen (“CNY”). To help protect against significant fluctuations in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 worthiness of these parties. These contracts typically have a maturity of one month. We record changes in the fair value of forward exchange contracts related to balance sheet accounts as other expense in the consolidated statement of operations. We recognized an expense of $6.6 million in Other expense— net, in 2016 due to foreign currency transaction losses.</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use of forward exchange contracts is intended to reduce, but not eliminate, the impact of currency exchange rate movements, are relatively short-term in nature and are focused on the CAD, long-term material changes in the value of the U.S. dollar against other foreign currencies, such as the EUR, GBP, and CNY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$5.8 million change in the value of our foreign currency cash balances as of December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monetary assets, consisting primarily of cash, cash equivalents and short-term investments, are not affected significantly by inflation because they are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80" w:type="dxa"/>
            <w:vAlign w:val="bottom"/>
            <w:gridSpan w:val="3"/>
          </w:tcPr>
          <w:p>
            <w:pPr>
              <w:ind w:left="180"/>
              <w:spacing w:after="0"/>
              <w:rPr>
                <w:sz w:val="20"/>
                <w:szCs w:val="20"/>
                <w:color w:val="auto"/>
              </w:rPr>
            </w:pPr>
            <w:r>
              <w:rPr>
                <w:rFonts w:ascii="Arial" w:cs="Arial" w:eastAsia="Arial" w:hAnsi="Arial"/>
                <w:sz w:val="16"/>
                <w:szCs w:val="16"/>
                <w:b w:val="1"/>
                <w:bCs w:val="1"/>
                <w:color w:val="auto"/>
              </w:rPr>
              <w:t>Page</w:t>
            </w:r>
          </w:p>
        </w:tc>
      </w:tr>
      <w:tr>
        <w:trPr>
          <w:trHeight w:val="33"/>
        </w:trPr>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4220" w:type="dxa"/>
            <w:vAlign w:val="bottom"/>
            <w:gridSpan w:val="7"/>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Report of Independent Registered Public Accounting Firm</w:t>
              </w:r>
            </w:hyperlink>
          </w:p>
        </w:tc>
        <w:tc>
          <w:tcPr>
            <w:tcW w:w="6480" w:type="dxa"/>
            <w:vAlign w:val="bottom"/>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20" w:type="dxa"/>
            <w:vAlign w:val="bottom"/>
            <w:gridSpan w:val="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w:t>
              </w:r>
            </w:hyperlink>
          </w:p>
        </w:tc>
        <w:tc>
          <w:tcPr>
            <w:tcW w:w="648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Comprehensive Income</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Consolidated Statements of Stockholders’ Equity</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Cash Flows</w:t>
              </w:r>
            </w:hyperlink>
          </w:p>
        </w:tc>
        <w:tc>
          <w:tcPr>
            <w:tcW w:w="716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supplementary financial information required by this Item 8 is included in Part II, Item 7 of this Annual Report on Form 10-K under the caption “Management’s Discussion and Analysis of Financial Condition and Results of Operations—Quarterly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Fortinet, Inc. and subsidiaries (the “Company”) as of December 31, 2016 and 2015, and the related consolidated statements of operations, comprehensive income, stockholders’ equity, and cash flows for each of the three years in the period ended December 31, 2016.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Fortinet, Inc. and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and our report dated March 1, 2017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12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rPr>
              <w:t>FORTINET, INC.</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9"/>
        </w:trPr>
        <w:tc>
          <w:tcPr>
            <w:tcW w:w="1020" w:type="dxa"/>
            <w:vAlign w:val="bottom"/>
          </w:tcPr>
          <w:p>
            <w:pPr>
              <w:spacing w:after="0"/>
              <w:rPr>
                <w:sz w:val="24"/>
                <w:szCs w:val="24"/>
                <w:color w:val="auto"/>
              </w:rPr>
            </w:pPr>
          </w:p>
        </w:tc>
        <w:tc>
          <w:tcPr>
            <w:tcW w:w="732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543,277</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376,522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348,074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5"/>
              </w:rPr>
              <w:t>Accounts receivable—Net of reserves for sales returns and doubtful accounts of $11,235 and $6,228 at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December 31, 2016 and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259,563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106,887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83,868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35,761</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1,538,716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1,270,543</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272,959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182,745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119,216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91,067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24,828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17,640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14,393</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2,139,941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1,790,510</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61,500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33,028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61,111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8,379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645,342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514,652</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829,440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678,670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276,651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60,624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19,188</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1,302,260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1,035,133</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Common stock, $0.001 par value—300,000 shares authorized; 173,078 and 171,399 shares issued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outstanding at December 31, 2016 and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800,653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687,658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68,481</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755,377</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2,139,941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1,790,510</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4"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Year Ended December 31,</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7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548,110</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476,782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360,558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727,333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532,486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409,806</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1,275,443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1,009,268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770,364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208,984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190,398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151,300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128,853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96,379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79,709</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337,837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286,777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231,009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339,126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286,384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209,258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598,480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436,107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330,097</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937,606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722,491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539,355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183,084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158,129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122,880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626,501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470,371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315,804</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81,080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71,514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41,347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894,662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707,614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480,031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43,148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61,549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36,206</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32,187</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7,987</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25,343</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(Note 8):</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1"/>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172,621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170,385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163,831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176,338</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176,141</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169,289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25,343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Unrealized gains (losses) on investments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provision (benefit) related to items of other comprehensive income (loss)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(loss)—net of taxes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32,355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23,902</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360" w:type="dxa"/>
            <w:vAlign w:val="bottom"/>
            <w:gridSpan w:val="5"/>
          </w:tcPr>
          <w:p>
            <w:pPr>
              <w:ind w:left="160"/>
              <w:spacing w:after="0"/>
              <w:rPr>
                <w:sz w:val="20"/>
                <w:szCs w:val="20"/>
                <w:color w:val="auto"/>
              </w:rPr>
            </w:pPr>
            <w:r>
              <w:rPr>
                <w:rFonts w:ascii="Arial" w:cs="Arial" w:eastAsia="Arial" w:hAnsi="Arial"/>
                <w:sz w:val="14"/>
                <w:szCs w:val="14"/>
                <w:b w:val="1"/>
                <w:bCs w:val="1"/>
                <w:color w:val="auto"/>
              </w:rPr>
              <w:t>Common 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1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4"/>
                <w:szCs w:val="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720" w:type="dxa"/>
            <w:vAlign w:val="bottom"/>
            <w:vMerge w:val="restart"/>
          </w:tcPr>
          <w:p>
            <w:pPr>
              <w:jc w:val="right"/>
              <w:ind w:right="208"/>
              <w:spacing w:after="0" w:line="12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2"/>
        </w:trPr>
        <w:tc>
          <w:tcPr>
            <w:tcW w:w="5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2013</w:t>
            </w: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161,535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$ 462,644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121,863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585,760</w:t>
            </w:r>
          </w:p>
        </w:tc>
        <w:tc>
          <w:tcPr>
            <w:tcW w:w="0" w:type="dxa"/>
            <w:vAlign w:val="bottom"/>
          </w:tcPr>
          <w:p>
            <w:pPr>
              <w:spacing w:after="0"/>
              <w:rPr>
                <w:sz w:val="1"/>
                <w:szCs w:val="1"/>
                <w:color w:val="auto"/>
              </w:rPr>
            </w:pPr>
          </w:p>
        </w:tc>
      </w:tr>
      <w:tr>
        <w:trPr>
          <w:trHeight w:val="157"/>
        </w:trPr>
        <w:tc>
          <w:tcPr>
            <w:tcW w:w="5120" w:type="dxa"/>
            <w:vAlign w:val="bottom"/>
          </w:tcPr>
          <w:p>
            <w:pPr>
              <w:ind w:left="280"/>
              <w:spacing w:after="0" w:line="157" w:lineRule="exact"/>
              <w:rPr>
                <w:sz w:val="20"/>
                <w:szCs w:val="20"/>
                <w:color w:val="auto"/>
              </w:rPr>
            </w:pPr>
            <w:r>
              <w:rPr>
                <w:rFonts w:ascii="Arial" w:cs="Arial" w:eastAsia="Arial" w:hAnsi="Arial"/>
                <w:sz w:val="14"/>
                <w:szCs w:val="14"/>
                <w:color w:val="auto"/>
                <w:w w:val="98"/>
              </w:rPr>
              <w:t>Issuance of common stock in connection with equity incentive plans - net of tax</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20" w:type="dxa"/>
            <w:vAlign w:val="bottom"/>
          </w:tcPr>
          <w:p>
            <w:pPr>
              <w:ind w:left="280"/>
              <w:spacing w:after="0"/>
              <w:rPr>
                <w:sz w:val="20"/>
                <w:szCs w:val="20"/>
                <w:color w:val="auto"/>
              </w:rPr>
            </w:pPr>
            <w:r>
              <w:rPr>
                <w:rFonts w:ascii="Arial" w:cs="Arial" w:eastAsia="Arial" w:hAnsi="Arial"/>
                <w:sz w:val="14"/>
                <w:szCs w:val="14"/>
                <w:color w:val="auto"/>
              </w:rPr>
              <w:t>withholding</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6,555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45,817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45,824</w:t>
            </w: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(38,557)</w:t>
            </w:r>
          </w:p>
        </w:tc>
        <w:tc>
          <w:tcPr>
            <w:tcW w:w="0" w:type="dxa"/>
            <w:vAlign w:val="bottom"/>
          </w:tcPr>
          <w:p>
            <w:pPr>
              <w:spacing w:after="0"/>
              <w:rPr>
                <w:sz w:val="1"/>
                <w:szCs w:val="1"/>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58,994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58,994</w:t>
            </w: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benefit associated with stock-based compensation</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4"/>
                <w:szCs w:val="14"/>
                <w:color w:val="auto"/>
              </w:rPr>
              <w:t>Net unrealized loss on investments - net of taxes</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in cumulative translation adjustments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25,343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25,343</w:t>
            </w:r>
          </w:p>
        </w:tc>
        <w:tc>
          <w:tcPr>
            <w:tcW w:w="0" w:type="dxa"/>
            <w:vAlign w:val="bottom"/>
          </w:tcPr>
          <w:p>
            <w:pPr>
              <w:spacing w:after="0"/>
              <w:rPr>
                <w:sz w:val="1"/>
                <w:szCs w:val="1"/>
                <w:color w:val="auto"/>
              </w:rPr>
            </w:pPr>
          </w:p>
        </w:tc>
      </w:tr>
      <w:tr>
        <w:trPr>
          <w:trHeight w:val="256"/>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2014</w:t>
            </w: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166,443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562,504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113,645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675,966</w:t>
            </w:r>
          </w:p>
        </w:tc>
        <w:tc>
          <w:tcPr>
            <w:tcW w:w="0" w:type="dxa"/>
            <w:vAlign w:val="bottom"/>
          </w:tcPr>
          <w:p>
            <w:pPr>
              <w:spacing w:after="0"/>
              <w:rPr>
                <w:sz w:val="1"/>
                <w:szCs w:val="1"/>
                <w:color w:val="auto"/>
              </w:rPr>
            </w:pPr>
          </w:p>
        </w:tc>
      </w:tr>
      <w:tr>
        <w:trPr>
          <w:trHeight w:val="157"/>
        </w:trPr>
        <w:tc>
          <w:tcPr>
            <w:tcW w:w="5120" w:type="dxa"/>
            <w:vAlign w:val="bottom"/>
          </w:tcPr>
          <w:p>
            <w:pPr>
              <w:ind w:left="280"/>
              <w:spacing w:after="0" w:line="157" w:lineRule="exact"/>
              <w:rPr>
                <w:sz w:val="20"/>
                <w:szCs w:val="20"/>
                <w:color w:val="auto"/>
              </w:rPr>
            </w:pPr>
            <w:r>
              <w:rPr>
                <w:rFonts w:ascii="Arial" w:cs="Arial" w:eastAsia="Arial" w:hAnsi="Arial"/>
                <w:sz w:val="14"/>
                <w:szCs w:val="14"/>
                <w:color w:val="auto"/>
                <w:w w:val="98"/>
              </w:rPr>
              <w:t>Issuance of common stock in connection with equity incentive plans - net of tax</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20" w:type="dxa"/>
            <w:vAlign w:val="bottom"/>
          </w:tcPr>
          <w:p>
            <w:pPr>
              <w:ind w:left="280"/>
              <w:spacing w:after="0"/>
              <w:rPr>
                <w:sz w:val="20"/>
                <w:szCs w:val="20"/>
                <w:color w:val="auto"/>
              </w:rPr>
            </w:pPr>
            <w:r>
              <w:rPr>
                <w:rFonts w:ascii="Arial" w:cs="Arial" w:eastAsia="Arial" w:hAnsi="Arial"/>
                <w:sz w:val="14"/>
                <w:szCs w:val="14"/>
                <w:color w:val="auto"/>
              </w:rPr>
              <w:t>withholding</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6,715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39,011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39,018</w:t>
            </w: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95,088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95,088</w:t>
            </w: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Tax shortfalls, net of excess tax benefits, on stock-based compensation awards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4"/>
                <w:szCs w:val="14"/>
                <w:color w:val="auto"/>
              </w:rPr>
              <w:t>Net unrealized loss on investments - net of taxes</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7,987</w:t>
            </w:r>
          </w:p>
        </w:tc>
        <w:tc>
          <w:tcPr>
            <w:tcW w:w="0" w:type="dxa"/>
            <w:vAlign w:val="bottom"/>
          </w:tcPr>
          <w:p>
            <w:pPr>
              <w:spacing w:after="0"/>
              <w:rPr>
                <w:sz w:val="1"/>
                <w:szCs w:val="1"/>
                <w:color w:val="auto"/>
              </w:rPr>
            </w:pPr>
          </w:p>
        </w:tc>
      </w:tr>
      <w:tr>
        <w:trPr>
          <w:trHeight w:val="250"/>
        </w:trPr>
        <w:tc>
          <w:tcPr>
            <w:tcW w:w="5120" w:type="dxa"/>
            <w:vAlign w:val="bottom"/>
          </w:tcPr>
          <w:p>
            <w:pPr>
              <w:ind w:left="40"/>
              <w:spacing w:after="0"/>
              <w:rPr>
                <w:sz w:val="20"/>
                <w:szCs w:val="20"/>
                <w:color w:val="auto"/>
              </w:rPr>
            </w:pPr>
            <w:r>
              <w:rPr>
                <w:rFonts w:ascii="Arial" w:cs="Arial" w:eastAsia="Arial" w:hAnsi="Arial"/>
                <w:sz w:val="14"/>
                <w:szCs w:val="14"/>
                <w:color w:val="auto"/>
              </w:rPr>
              <w:t>BALANCE—December 31, 2015</w:t>
            </w: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4"/>
              </w:rPr>
              <w:t>171,399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687,658</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68,481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755,377</w:t>
            </w:r>
          </w:p>
        </w:tc>
        <w:tc>
          <w:tcPr>
            <w:tcW w:w="0" w:type="dxa"/>
            <w:vAlign w:val="bottom"/>
          </w:tcPr>
          <w:p>
            <w:pPr>
              <w:spacing w:after="0"/>
              <w:rPr>
                <w:sz w:val="1"/>
                <w:szCs w:val="1"/>
                <w:color w:val="auto"/>
              </w:rPr>
            </w:pPr>
          </w:p>
        </w:tc>
      </w:tr>
      <w:tr>
        <w:trPr>
          <w:trHeight w:val="163"/>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Issuance of common stock in connection with equity incentive plans - net of tax</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withholding</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5,990</w:t>
            </w:r>
          </w:p>
        </w:tc>
        <w:tc>
          <w:tcPr>
            <w:tcW w:w="0" w:type="dxa"/>
            <w:vAlign w:val="bottom"/>
          </w:tcPr>
          <w:p>
            <w:pPr>
              <w:spacing w:after="0"/>
              <w:rPr>
                <w:sz w:val="1"/>
                <w:szCs w:val="1"/>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580" w:type="dxa"/>
            <w:vAlign w:val="bottom"/>
          </w:tcPr>
          <w:p>
            <w:pPr>
              <w:jc w:val="right"/>
              <w:spacing w:after="0"/>
              <w:rPr>
                <w:sz w:val="20"/>
                <w:szCs w:val="20"/>
                <w:color w:val="auto"/>
              </w:rPr>
            </w:pPr>
            <w:r>
              <w:rPr>
                <w:rFonts w:ascii="Arial" w:cs="Arial" w:eastAsia="Arial" w:hAnsi="Arial"/>
                <w:sz w:val="14"/>
                <w:szCs w:val="14"/>
                <w:color w:val="auto"/>
              </w:rPr>
              <w:t>(3,854)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(94,610)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(110,828)</w:t>
            </w: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122,423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122,423</w:t>
            </w:r>
          </w:p>
        </w:tc>
        <w:tc>
          <w:tcPr>
            <w:tcW w:w="0" w:type="dxa"/>
            <w:vAlign w:val="bottom"/>
          </w:tcPr>
          <w:p>
            <w:pPr>
              <w:spacing w:after="0"/>
              <w:rPr>
                <w:sz w:val="1"/>
                <w:szCs w:val="1"/>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4"/>
                <w:szCs w:val="14"/>
                <w:color w:val="auto"/>
              </w:rPr>
              <w:t>Cumulative-effect adjustment from adoption of ASU 2016-09</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31,562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32,364</w:t>
            </w: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unrealized gain on investments - net of tax</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32,187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32,187</w:t>
            </w:r>
          </w:p>
        </w:tc>
        <w:tc>
          <w:tcPr>
            <w:tcW w:w="0" w:type="dxa"/>
            <w:vAlign w:val="bottom"/>
          </w:tcPr>
          <w:p>
            <w:pPr>
              <w:spacing w:after="0"/>
              <w:rPr>
                <w:sz w:val="1"/>
                <w:szCs w:val="1"/>
                <w:color w:val="auto"/>
              </w:rPr>
            </w:pPr>
          </w:p>
        </w:tc>
      </w:tr>
      <w:tr>
        <w:trPr>
          <w:trHeight w:val="243"/>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2016</w:t>
            </w: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173,078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$ 800,653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37,620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837,681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122" w:right="1440"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06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32,187</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7,987</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25,343</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48,520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31,589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22,028</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4,780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8,703</w:t>
            </w:r>
          </w:p>
        </w:tc>
        <w:tc>
          <w:tcPr>
            <w:tcW w:w="0" w:type="dxa"/>
            <w:vAlign w:val="bottom"/>
          </w:tcPr>
          <w:p>
            <w:pPr>
              <w:spacing w:after="0"/>
              <w:rPr>
                <w:sz w:val="1"/>
                <w:szCs w:val="1"/>
                <w:color w:val="auto"/>
              </w:rPr>
            </w:pP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122,423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95,088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58,994</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Other non-cash items—net</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57"/>
        </w:trPr>
        <w:tc>
          <w:tcPr>
            <w:tcW w:w="7080" w:type="dxa"/>
            <w:vAlign w:val="bottom"/>
          </w:tcPr>
          <w:p>
            <w:pPr>
              <w:ind w:left="920"/>
              <w:spacing w:after="0" w:line="157" w:lineRule="exact"/>
              <w:rPr>
                <w:sz w:val="20"/>
                <w:szCs w:val="20"/>
                <w:color w:val="auto"/>
              </w:rPr>
            </w:pPr>
            <w:r>
              <w:rPr>
                <w:rFonts w:ascii="Arial" w:cs="Arial" w:eastAsia="Arial" w:hAnsi="Arial"/>
                <w:sz w:val="14"/>
                <w:szCs w:val="14"/>
                <w:color w:val="auto"/>
                <w:w w:val="98"/>
              </w:rPr>
              <w:t>Changes in operating assets and liabilities, net of assets acquired and liabilities assumed in business</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080" w:type="dxa"/>
            <w:vAlign w:val="bottom"/>
          </w:tcPr>
          <w:p>
            <w:pPr>
              <w:ind w:left="920"/>
              <w:spacing w:after="0"/>
              <w:rPr>
                <w:sz w:val="20"/>
                <w:szCs w:val="20"/>
                <w:color w:val="auto"/>
              </w:rPr>
            </w:pPr>
            <w:r>
              <w:rPr>
                <w:rFonts w:ascii="Arial" w:cs="Arial" w:eastAsia="Arial" w:hAnsi="Arial"/>
                <w:sz w:val="14"/>
                <w:szCs w:val="14"/>
                <w:color w:val="auto"/>
              </w:rPr>
              <w:t>acquisitions: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receivable—net</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(57,875)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(66,464)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(55,888)</w:t>
            </w:r>
          </w:p>
        </w:tc>
        <w:tc>
          <w:tcPr>
            <w:tcW w:w="0" w:type="dxa"/>
            <w:vAlign w:val="bottom"/>
          </w:tcPr>
          <w:p>
            <w:pPr>
              <w:spacing w:after="0"/>
              <w:rPr>
                <w:sz w:val="1"/>
                <w:szCs w:val="1"/>
                <w:color w:val="auto"/>
              </w:rPr>
            </w:pP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Inventory</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(43,023)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(32,459)</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tax assets</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(27,822)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9,072</w:t>
            </w:r>
          </w:p>
        </w:tc>
        <w:tc>
          <w:tcPr>
            <w:tcW w:w="0" w:type="dxa"/>
            <w:vAlign w:val="bottom"/>
          </w:tcPr>
          <w:p>
            <w:pPr>
              <w:spacing w:after="0"/>
              <w:rPr>
                <w:sz w:val="1"/>
                <w:szCs w:val="1"/>
                <w:color w:val="auto"/>
              </w:rPr>
            </w:pP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(2,352)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0" w:type="dxa"/>
            <w:vAlign w:val="bottom"/>
          </w:tcPr>
          <w:p>
            <w:pPr>
              <w:spacing w:after="0"/>
              <w:rPr>
                <w:sz w:val="1"/>
                <w:szCs w:val="1"/>
                <w:color w:val="auto"/>
              </w:rPr>
            </w:pP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18,033</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7,120</w:t>
            </w:r>
          </w:p>
        </w:tc>
        <w:tc>
          <w:tcPr>
            <w:tcW w:w="0" w:type="dxa"/>
            <w:vAlign w:val="bottom"/>
          </w:tcPr>
          <w:p>
            <w:pPr>
              <w:spacing w:after="0"/>
              <w:rPr>
                <w:sz w:val="1"/>
                <w:szCs w:val="1"/>
                <w:color w:val="auto"/>
              </w:rPr>
            </w:pP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15,696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11,301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10,835</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14,318</w:t>
            </w:r>
          </w:p>
        </w:tc>
        <w:tc>
          <w:tcPr>
            <w:tcW w:w="0" w:type="dxa"/>
            <w:vAlign w:val="bottom"/>
          </w:tcPr>
          <w:p>
            <w:pPr>
              <w:spacing w:after="0"/>
              <w:rPr>
                <w:sz w:val="1"/>
                <w:szCs w:val="1"/>
                <w:color w:val="auto"/>
              </w:rPr>
            </w:pP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242,961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222,346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127,416</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13,137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20,372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(3,771)</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345,708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282,547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196,582</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23"/>
                <w:szCs w:val="23"/>
                <w:color w:val="auto"/>
              </w:rPr>
            </w:pPr>
          </w:p>
        </w:tc>
        <w:tc>
          <w:tcPr>
            <w:tcW w:w="106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(473,608)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(459,903)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(497,084)</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28,311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41,755</w:t>
            </w: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460,443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486,419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458,193</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(67,182)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(32,197)</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Payments made in connection with business acquisitions—net of cash acquired</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(22,087)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(74,123)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(29,350)</w:t>
            </w:r>
          </w:p>
        </w:tc>
        <w:tc>
          <w:tcPr>
            <w:tcW w:w="0" w:type="dxa"/>
            <w:vAlign w:val="bottom"/>
          </w:tcPr>
          <w:p>
            <w:pPr>
              <w:spacing w:after="0"/>
              <w:rPr>
                <w:sz w:val="1"/>
                <w:szCs w:val="1"/>
                <w:color w:val="auto"/>
              </w:rPr>
            </w:pP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44,861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55,324</w:t>
            </w: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(38,266)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(28,871)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(10,598)</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3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(110,828)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(43,977)</w:t>
            </w: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Payments of debt assumed in connection with business acquisition</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tcBorders>
            <w:shd w:val="clear" w:color="auto" w:fill="CCEEFF"/>
          </w:tcPr>
          <w:p>
            <w:pPr>
              <w:ind w:left="190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(105,859)</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(21,557)</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56"/>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165,726</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260,023</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167,381</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EQUIVALENTS—Beginning of year</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543,277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283,254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115,873</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EQUIVALENTS—End of year</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709,003</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543,277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283,254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paid for income taxes—net</w:t>
            </w:r>
          </w:p>
        </w:tc>
        <w:tc>
          <w:tcPr>
            <w:tcW w:w="340" w:type="dxa"/>
            <w:vAlign w:val="bottom"/>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BFE4FF"/>
            </w:tcBorders>
            <w:shd w:val="clear" w:color="auto" w:fill="BFE4FF"/>
          </w:tcPr>
          <w:p>
            <w:pPr>
              <w:jc w:val="right"/>
              <w:ind w:right="48"/>
              <w:spacing w:after="0"/>
              <w:rPr>
                <w:sz w:val="20"/>
                <w:szCs w:val="20"/>
                <w:color w:val="auto"/>
              </w:rPr>
            </w:pPr>
            <w:r>
              <w:rPr>
                <w:rFonts w:ascii="Arial" w:cs="Arial" w:eastAsia="Arial" w:hAnsi="Arial"/>
                <w:sz w:val="14"/>
                <w:szCs w:val="14"/>
                <w:color w:val="auto"/>
              </w:rPr>
              <w:t>26,608</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40,551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21,069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12,733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8,157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Equity awards assumed in connection with business acquisition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November 2000 and is a leading provider of network security appliances to</w:t>
      </w:r>
      <w:r>
        <w:rPr>
          <w:rFonts w:ascii="Arial" w:cs="Arial" w:eastAsia="Arial" w:hAnsi="Arial"/>
          <w:sz w:val="18"/>
          <w:szCs w:val="18"/>
          <w:b w:val="1"/>
          <w:bCs w:val="1"/>
          <w:color w:val="auto"/>
        </w:rPr>
        <w:t xml:space="preserve"> </w:t>
      </w:r>
      <w:r>
        <w:rPr>
          <w:rFonts w:ascii="Arial" w:cs="Arial" w:eastAsia="Arial" w:hAnsi="Arial"/>
          <w:sz w:val="18"/>
          <w:szCs w:val="18"/>
          <w:color w:val="auto"/>
        </w:rPr>
        <w:t>enterprises, service providers and government organizations worldwide. Fortinet’s solutions are designed to integrate multiple levels of security protection, including firewall, VPN, application control, anti-malware, intrusion prevention, web filtering, vulnerability management, anti-spam, mobile security, wireless controller and WAN acceleration. Our security solutions are fast, secure and designed to provide broad, rapid protection against dynamic security threats while simplifying the IT infrastructure of our end-customers worldwide.</w:t>
      </w:r>
    </w:p>
    <w:p>
      <w:pPr>
        <w:spacing w:after="0" w:line="184"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consolidated financial statements of Fortinet and its wholly owned subsidiaries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“us” or “our”) have been prepared in accordance with generally accepted accounting principles in the U.S. (“GAAP”). All intercompany transactions and balances have been eliminated in consolidation.</w:t>
      </w:r>
    </w:p>
    <w:p>
      <w:pPr>
        <w:spacing w:after="0" w:line="176"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consolidated financial statements in accordance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amounts reported in the consolidated financial statements and accompanying notes. Such management estimates include, but are not limited to, the BESP for our products and services, stock-based compensation, inventory valuation, fair value of assets acquired and liabilities assumed in business combinations, measurement of liabilities for uncertain tax positions and deferred tax assets, assessment of recoverability of our goodwill and other long-lived assets, sales returns reserve, restructuring expenses and other loss contingencies. We base our estimates on historical experience and also on assumptions that we believe are reasonable. Actual results could differ from those estimates.</w:t>
      </w:r>
    </w:p>
    <w:p>
      <w:pPr>
        <w:spacing w:after="0" w:line="174"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subject us to concentrations of credit risk consist primarily of cash,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and long-term investments and accounts receivable. Our cash balances are maintained as deposits with various large financial institutions in the U.S. and around the world. Balances in the U.S. typically exceed the amount of insurance provided on such deposits. We maintain our cash equivalents and investments in money market funds, commercial paper and fixed income securities with major financial institutions that our management believes are financially sound.</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accounts receivables are primarily derived from our channel partners in various geographic locations. We perform ongoing credit evaluations of our customers. We generally do not require collateral on accounts receivable and we maintain reserves for estimated potential credit losses. As of December 31, 2016, two distributors, Exclusive and Fine Tec Computer, accounted for 26% and 10% of total net accounts receivable, respectively. At December 31, 2015, one distributor, Exclusive, accounted for 23% of total net accounts receivable.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2014, 2015 and 2016, Exclusive accounted for 15%, 18% and 20% of total revenue, respectively.</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Financial Instruments and Fair Value</w:t>
      </w:r>
      <w:r>
        <w:rPr>
          <w:rFonts w:ascii="Arial" w:cs="Arial" w:eastAsia="Arial" w:hAnsi="Arial"/>
          <w:sz w:val="18"/>
          <w:szCs w:val="18"/>
          <w:color w:val="auto"/>
        </w:rPr>
        <w:t>—We apply fair value accounting for all financial assets and liabilities and non-financial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recognized or disclosed at fair value in the financial statements on a recurring basis. Due to their short-term nature, the carrying amounts reported in the consolidated financial statements approximate the fair value for accounts receivable, accounts payable, accrued liabilities, and accrued payroll and compensation.</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—Comprehensive income includes certain changes in equity from non-owner sources that are excluded from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unrealized gains and losses on available-for-sale investments and the related tax impact.</w:t>
      </w:r>
    </w:p>
    <w:p>
      <w:pPr>
        <w:spacing w:after="0" w:line="162"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Foreign Currency Translation and Transaction Gains and Losses</w:t>
      </w:r>
      <w:r>
        <w:rPr>
          <w:rFonts w:ascii="Arial" w:cs="Arial" w:eastAsia="Arial" w:hAnsi="Arial"/>
          <w:sz w:val="16"/>
          <w:szCs w:val="16"/>
          <w:color w:val="auto"/>
        </w:rPr>
        <w:t>—Prior to the third quarter of 2014, the assets and liabilities of our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were translated into U.S. dollars using the applicable exchange rates. The resulting foreign translation adjustments were included in the consolidated balance sheets as a component of accumulated other comprehensive income (loss) and in the consolidated statements of comprehensive income.</w:t>
      </w:r>
    </w:p>
    <w:p>
      <w:pPr>
        <w:spacing w:after="0" w:line="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the third quarter of 2014, we reevaluated the selected functional currency of our international subsidiaries and recorded the cumulative impact of the reevaluation of the functional currency in the consolidated statement of operations.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Beginning in the third quarter of 2014, the functional currency of our foreign subsidiaries is the U.S. dollar. Accordingly, monetary assets and liabilities denominated in foreign currencies have been remeasured into U.S. dollars using the exchange rates in effect at the balance sheet dates. Foreign currency denominated income and expenses have been remeasured using the exchange rates in effect during each period. Foreign currency remeasurement losses of $6.6 million, $3.2 million and $3.2 million, are included in other expense—net for 2016, 2015 and 2014, respectively.</w:t>
      </w:r>
    </w:p>
    <w:p>
      <w:pPr>
        <w:spacing w:after="0" w:line="231"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Cash, Cash Equivalents and Available-for-sale Investments</w:t>
      </w:r>
      <w:r>
        <w:rPr>
          <w:rFonts w:ascii="Arial" w:cs="Arial" w:eastAsia="Arial" w:hAnsi="Arial"/>
          <w:sz w:val="18"/>
          <w:szCs w:val="18"/>
          <w:color w:val="auto"/>
        </w:rPr>
        <w:t>—We consider all highly liquid investments, purchased with original maturities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to be cash equivalents. Cash and cash equivalents consist of balances with banks and highly liquid investments in money market funds and commercial paper.</w:t>
      </w:r>
    </w:p>
    <w:p>
      <w:pPr>
        <w:spacing w:after="0" w:line="18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classify our investments as available-for-sale at the time of purchase, since it is our intent that these investments are available for current operations.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debt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w:t>
      </w:r>
    </w:p>
    <w:p>
      <w:pPr>
        <w:spacing w:after="0" w:line="183"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(using the first-in, first-out method) or market, after we give appropriate consideration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and inventory in excess of anticipated future demand. In assessing the ultimate recoverability of inventory, we make estimates regarding future customer demand, the timing of new product introductions, economic trends and market conditions. If the actual product demand is significantly lower than forecasted, we could be required to record inventory write-downs which would be charged to cost of product revenue. Any write-downs could have an adverse impact on our gross margins and profitability.</w:t>
      </w:r>
    </w:p>
    <w:p>
      <w:pPr>
        <w:spacing w:after="0" w:line="184"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tcPr>
          <w:p>
            <w:pPr>
              <w:jc w:val="right"/>
              <w:ind w:right="771"/>
              <w:spacing w:after="0"/>
              <w:rPr>
                <w:sz w:val="20"/>
                <w:szCs w:val="20"/>
                <w:color w:val="auto"/>
              </w:rPr>
            </w:pPr>
            <w:r>
              <w:rPr>
                <w:rFonts w:ascii="Arial" w:cs="Arial" w:eastAsia="Arial" w:hAnsi="Arial"/>
                <w:sz w:val="16"/>
                <w:szCs w:val="16"/>
                <w:b w:val="1"/>
                <w:bCs w:val="1"/>
                <w:color w:val="auto"/>
              </w:rPr>
              <w:t>Estimated Useful Lives</w:t>
            </w:r>
          </w:p>
        </w:tc>
      </w:tr>
      <w:tr>
        <w:trPr>
          <w:trHeight w:val="33"/>
        </w:trPr>
        <w:tc>
          <w:tcPr>
            <w:tcW w:w="8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to 20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300" w:type="dxa"/>
            <w:vAlign w:val="bottom"/>
          </w:tcPr>
          <w:p>
            <w:pPr>
              <w:jc w:val="right"/>
              <w:spacing w:after="0"/>
              <w:rPr>
                <w:sz w:val="20"/>
                <w:szCs w:val="20"/>
                <w:color w:val="auto"/>
              </w:rPr>
            </w:pPr>
            <w:r>
              <w:rPr>
                <w:rFonts w:ascii="Arial" w:cs="Arial" w:eastAsia="Arial" w:hAnsi="Arial"/>
                <w:sz w:val="18"/>
                <w:szCs w:val="18"/>
                <w:color w:val="auto"/>
              </w:rPr>
              <w:t>1 to 7 years</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year</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300" w:type="dxa"/>
            <w:vAlign w:val="bottom"/>
          </w:tcPr>
          <w:p>
            <w:pPr>
              <w:jc w:val="right"/>
              <w:spacing w:after="0"/>
              <w:rPr>
                <w:sz w:val="20"/>
                <w:szCs w:val="20"/>
                <w:color w:val="auto"/>
              </w:rPr>
            </w:pPr>
            <w:r>
              <w:rPr>
                <w:rFonts w:ascii="Arial" w:cs="Arial" w:eastAsia="Arial" w:hAnsi="Arial"/>
                <w:sz w:val="18"/>
                <w:szCs w:val="18"/>
                <w:color w:val="auto"/>
              </w:rPr>
              <w:t>3 to 5 years</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r>
        <w:trPr>
          <w:trHeight w:val="27"/>
        </w:trPr>
        <w:tc>
          <w:tcPr>
            <w:tcW w:w="81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Other Investments</w:t>
      </w:r>
      <w:r>
        <w:rPr>
          <w:rFonts w:ascii="Arial" w:cs="Arial" w:eastAsia="Arial" w:hAnsi="Arial"/>
          <w:sz w:val="18"/>
          <w:szCs w:val="18"/>
          <w:color w:val="auto"/>
        </w:rPr>
        <w:t>—Investments in privately-held companies where we own less than 20% of the voting stock and have no indicators of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over operating and financial policies of those companies are included in other assets in the consolidated balance sheets and are accounted for under the cost method. For these non-quoted investments, we regularly review the assumptions underlying the operating performance and cash flow forecasts as well as current fundraising activities and valuations based on information provided by these privately-held companies. If it is determined that an other-than-temporary decline exists in an equity security, we write down the investment to its fair value and record the related impairment as an investment loss in our consolidated statements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Consolidation of Variable Interest Entities</w:t>
      </w:r>
      <w:r>
        <w:rPr>
          <w:rFonts w:ascii="Arial" w:cs="Arial" w:eastAsia="Arial" w:hAnsi="Arial"/>
          <w:sz w:val="16"/>
          <w:szCs w:val="16"/>
          <w:color w:val="auto"/>
        </w:rPr>
        <w:t>—We use a qualitative approach in assessing the consolidation requirement for variable interest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(“VIEs”). This approach focuses on determining whether we have the power to direct the activities of the VIE that most significantly affect the VIE’s economic performance and whether we have the obligation to absorb losses, or the right to receive benefits, that could potentially be significant to the VIE. For all periods presented in the accompanying consolidated financial statements, we have determined that we are not the primary beneficiary of any VIEs.</w:t>
      </w:r>
    </w:p>
    <w:p>
      <w:pPr>
        <w:spacing w:after="0" w:line="151"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Business Combinations</w:t>
      </w:r>
      <w:r>
        <w:rPr>
          <w:rFonts w:ascii="Arial" w:cs="Arial" w:eastAsia="Arial" w:hAnsi="Arial"/>
          <w:sz w:val="18"/>
          <w:szCs w:val="18"/>
          <w:color w:val="auto"/>
        </w:rPr>
        <w:t>—We include the results of operations of the businesses that we acquire as of the respective dates of acquisition. We allocate</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amounts are recorded in the period in which they are identified.</w:t>
      </w:r>
    </w:p>
    <w:p>
      <w:pPr>
        <w:spacing w:after="0" w:line="18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—We evaluate events and changes in circumstances that could indicate carrying amounts of long-lived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Restructuring</w:t>
      </w:r>
      <w:r>
        <w:rPr>
          <w:rFonts w:ascii="Arial" w:cs="Arial" w:eastAsia="Arial" w:hAnsi="Arial"/>
          <w:sz w:val="17"/>
          <w:szCs w:val="17"/>
          <w:color w:val="auto"/>
        </w:rPr>
        <w:t>— Our restructuring expenses consist of severance and other one-time benefits, contract terminations and other expenses. Liabilities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for costs associated with a restructuring activity are measured at fair value. One-time termination benefits are expensed at the date we notify the employee, unless the employee must provide future service, in which case the benefits are expensed ratably over the future service period. A liability for terminating a contract before the end of its term, which is usually done by giving written notice to the counterparty within the notification period specified by the contract or by otherwise negotiating a termination with the counterparty, is recognized at fair value on the notification date. A liability for costs that will continue to be incurred under a contract for its remaining term without economic benefit to the entity is recognized at the cease-use date. Other costs primarily consist of asset write-offs, which are expensed when incurred.</w:t>
      </w:r>
    </w:p>
    <w:p>
      <w:pPr>
        <w:spacing w:after="0" w:line="4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continually evaluate the adequacy of the remaining liabilities under our restructuring initiatives. Although we believe that these estimates accurately reflect the costs of our restructuring plan, actual results may differ and thereby require us to record an additional provision or reverse a portion of such a provision.</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—Goodwill represents the excess of purchase consideration over the estimated fair value of net assets of businesses acquired in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Goodwill acquired in a business combination is not amortized, but instead tested for impairment at least annually during the fourth quarter, or sooner when circumstances indicate an impairment may exist. We perform our annual goodwill impairment analysis at the reporting unit level. As of December 31, 2016, we had one reporting unit. The impairment analysis utilizes a quantitative assessment using a two-step impairment test. The first step is to compare the reporting unit’s carrying value, including goodwill, to the fair value. If the fair value exceeds the carrying value, then no potential impairment is considered to exist. If the carrying value exceeds the fair value, the second step is performed to determine if the implied fair value of the reporting unit’s goodwill exceeds the carrying value of the reporting unit. An impairment charge would be recorded if the carrying value exceeds the implied fair value. Impairment charges, if any, are recorded in general and administrative expenses. We have not been required to perform this second step of the process because the fair value of our reporting unit exceeded the net book value as of December 31, 2016.</w:t>
      </w:r>
    </w:p>
    <w:p>
      <w:pPr>
        <w:spacing w:after="0" w:line="174"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Other Intangible Assets</w:t>
      </w:r>
      <w:r>
        <w:rPr>
          <w:rFonts w:ascii="Arial" w:cs="Arial" w:eastAsia="Arial" w:hAnsi="Arial"/>
          <w:sz w:val="18"/>
          <w:szCs w:val="18"/>
          <w:color w:val="auto"/>
        </w:rPr>
        <w:t>—Intangible assets with finite lives are carried at cost, less accumulated amortization. Amortization is computed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and accelerated method over the estimated economic lives of the assets, which range from one to five years.</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—Deferred revenue consists of amounts that have been invoiced but that have not yet been recognized as revenue. The majority</w:t>
      </w:r>
      <w:r>
        <w:rPr>
          <w:rFonts w:ascii="Arial" w:cs="Arial" w:eastAsia="Arial" w:hAnsi="Arial"/>
          <w:sz w:val="18"/>
          <w:szCs w:val="18"/>
          <w:b w:val="1"/>
          <w:bCs w:val="1"/>
          <w:color w:val="auto"/>
        </w:rPr>
        <w:t xml:space="preserve"> </w:t>
      </w:r>
      <w:r>
        <w:rPr>
          <w:rFonts w:ascii="Arial" w:cs="Arial" w:eastAsia="Arial" w:hAnsi="Arial"/>
          <w:sz w:val="18"/>
          <w:szCs w:val="18"/>
          <w:color w:val="auto"/>
        </w:rPr>
        <w:t>of deferred revenue is comprised of security subscription and technical support services which are invoiced upfront and delivered over twelve months or longer.</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—We record income taxes using the asset and liability method, which requires the recognition of deferred tax assets and liabilities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expected future tax consequences of events that have been recognized in our financial statements or tax returns. In addition, deferred tax assets are recorded for the future benefit of utilizing net operating losses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8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recognize tax benefits from an uncertain tax position only if it is more likely than not, based on the technical merits of the position, that the tax position will be sustained on examination by the taxing authorities. The tax benefits recognized in the financial statements from such positions are then measured based on the largest benefit that has a greater than 50% likelihood of being realized upon ultimate settlement.</w:t>
      </w:r>
    </w:p>
    <w:p>
      <w:pPr>
        <w:spacing w:after="0" w:line="162"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fair value of RSUs is based on the closing market price of our common stock on the date of grant.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elected to use the Black-Scholes option pricing model to determine the fair value of our employee stock options and ESPP. Performance stock units (“PSUs”) are RSUs that contain both service-based and market-based vesting conditions. PSUs vest over a specified service period upon the satisfaction of certain market-based vesting conditions, and settle into shares of our common stock upon vesting over a two- or three-year period. The fair value of a PSU is calculated using the Monte Carlo simulation model on the date of grant and is based on the market price of our common stock on the date of grant modified to reflect the impact of the market-based vesting condition, including the estimated payout level based on that condition. We do not adjust compensation cost for subsequent changes in the expected outcome of the market-based vesting conditions. Stock-based compensation expense is amortized on a straight-line basis.</w:t>
      </w:r>
    </w:p>
    <w:p>
      <w:pPr>
        <w:spacing w:after="0" w:line="162"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—We rent certain facilities under operating lease agreements and recognize related rent expense on a straight-line basis over the term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 Some of our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We begin recognizing rent expense on the date that we obtain the legal right to use and control the leased space.</w:t>
      </w:r>
    </w:p>
    <w:p>
      <w:pPr>
        <w:spacing w:after="0" w:line="154"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Advertising Expense</w:t>
      </w:r>
      <w:r>
        <w:rPr>
          <w:rFonts w:ascii="Arial" w:cs="Arial" w:eastAsia="Arial" w:hAnsi="Arial"/>
          <w:sz w:val="18"/>
          <w:szCs w:val="18"/>
          <w:color w:val="auto"/>
        </w:rPr>
        <w:t>—Advertising costs are expensed when incurred and are included in operating expenses in the accompanying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operations. Our advertising expenses were not significant for any periods presented.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jc w:val="both"/>
        <w:ind w:right="580" w:firstLine="648"/>
        <w:spacing w:after="0" w:line="266"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that is marketed have not been capitalized as we believe our current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process is essentially completed concurrently with the establishment of technological feasibility. Such costs are expensed as incurred and included in research and development in our consolidated statements of operations.</w:t>
      </w:r>
    </w:p>
    <w:p>
      <w:pPr>
        <w:spacing w:after="0" w:line="18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costs to obtain or develop software for internal use are capitalized based on qualifying criteria, which includes a determination of whether such costs are incurred during the application development stage. Such costs are amortized over the software’s estimated useful life.</w:t>
      </w:r>
    </w:p>
    <w:p>
      <w:pPr>
        <w:spacing w:after="0" w:line="12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—We derive the majority of our revenue from sales of our hardware, software, FortiGuard security subscription and FortiCare</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support services, and other services through our channel partners and a direct sales force.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38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Binding contracts or purchase orders are generally used to determine the existence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w:t>
      </w:r>
    </w:p>
    <w:p>
      <w:pPr>
        <w:spacing w:after="0" w:line="170"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Delivery has occurred or services have been rendered. </w:t>
      </w:r>
      <w:r>
        <w:rPr>
          <w:rFonts w:ascii="Arial" w:cs="Arial" w:eastAsia="Arial" w:hAnsi="Arial"/>
          <w:sz w:val="18"/>
          <w:szCs w:val="18"/>
          <w:color w:val="auto"/>
        </w:rPr>
        <w:t>Product delivery occurs when we fulfill an order and title and risk of loss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Delivery of software license occurs upon electronic transfer of the license key to the customer. Service revenue is deferred and recognized ratably over the contractual service period, which is typically from one to three years and, to a lesser extent, up to five years, and is generally recognized upon delivery or completion of service.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right="4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Sales price is fixed or determinable. </w:t>
      </w:r>
      <w:r>
        <w:rPr>
          <w:rFonts w:ascii="Arial" w:cs="Arial" w:eastAsia="Arial" w:hAnsi="Arial"/>
          <w:sz w:val="18"/>
          <w:szCs w:val="18"/>
          <w:color w:val="auto"/>
        </w:rPr>
        <w:t>We assess whether the sales price is fixed or determinable based on the payment terms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and when the sales price is deemed final.</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reasonably assured. </w:t>
      </w:r>
      <w:r>
        <w:rPr>
          <w:rFonts w:ascii="Arial" w:cs="Arial" w:eastAsia="Arial" w:hAnsi="Arial"/>
          <w:sz w:val="18"/>
          <w:szCs w:val="18"/>
          <w:color w:val="auto"/>
        </w:rPr>
        <w:t>We assess collectability based primarily on creditworthiness as determined by credit checks,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and payment history.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recognize product revenue for sales to distributors that have no general right of return and direct sales to end-customers upon shipment, based on general revenue recognition accounting guidance once all other revenue recognition criteria have been met. Certain distributors are granted stock rotation rights, limited rights of return and rebates for sales of our products. The arrangement fee for this group of distributors is typically not fixed or determinable when products are shipped and revenue is therefore deferred and recognized upon sell-through. For sales that include end-customer acceptance criteria, revenue is recognized upon acceptance.</w:t>
      </w:r>
    </w:p>
    <w:p>
      <w:pPr>
        <w:spacing w:after="0" w:line="18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recognize software license revenue upon delivery. To date, software license revenues have not represented a significant percentage of the Company's total revenues.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Substantially all of our products have been sold in combination with services, which consist of security subscriptions and technical support services. Security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 We recognize revenue from these services ratably over the contractual service period. Revenue related to subsequent renewals of these services are recognized over the term of the renewal agreement.</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reduce revenue for estimates of sales returns and allowances and record reductions to revenue for rebates and estimated commitments related to price protection and other customer incentive programs.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Service revenue consists of sales from our FortiGuard security subscription and FortiCare technical support services, professional and training services and other services that include SaaS and IaaS (both of which are hosted or cloud-based services). The Company recognizes revenue from these arrangements as the subscription service is delivered over the term which is typically one year or on a monthly usage basis. To date, SaaS and IaaS revenues have not represented a significant percentage of the Company’s total revenues.</w:t>
      </w:r>
    </w:p>
    <w:p>
      <w:pPr>
        <w:spacing w:after="0" w:line="187"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Our sales arrangements typically contain multiple elements, such as hardware, security subscription, technical support services and other services. The majority of our hardware appliance products contain our operating system software that together function to deliver the essential functionality of the product. Our products and services generally qualify as separate units of accounting. We allocate revenue to each unit of accounting based on an estimated selling price using VSOE of selling price, if it exists, or TPE of selling price. If neither VSOE nor TPE of selling price exists for a deliverable, we use our BESP for that deliverable. Revenue allocated to each element is then recognized when the basic revenue recognition criteria are met for each element.</w:t>
      </w:r>
    </w:p>
    <w:p>
      <w:pPr>
        <w:spacing w:after="0" w:line="15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For our hardware products, we use BESP as our selling price. For our support, software licenses and other services, we generally use VSOE as our selling price estimate. We determine VSOE of fair value for elements of an arrangement based on the historical pricing and discounting practices for those services when sold separately. In establishing VSOE, we require that a substantial majority of the selling prices for a service fall within a reasonably narrow pricing range, generally evidenced by a substantial majority of such historical stand-alone transactions falling within a reasonably narrow range as a percentage of list price. When we are unable to establish a selling price using VSOE for our support and other services, we use BESP in our allocation of arrangement consideration. We determine BESP for a product or service by considering multiple historical factors including, but not limited to, cost of products, gross margin objectives, pricing practices, geographies, customer classes and distribution channels that fall within a reasonably narrow range as a percentage of list price.</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multiple-element arrangements where software deliverables are included, revenue is allocated to the non-software deliverables and to the software deliverables as a group using the relative estimated selling prices of each of the deliverables in the arrangement based on the estimated selling price hierarchy. The amount allocated to the software deliverables is then</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5"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allocated to each software deliverable using the residual method when VSOE of fair value exists. If evidence of VSOE of fair value of one or more undelivered elements does not exist, all software allocated revenue is deferred and recognized when delivery of those elements occurs or when fair value can be established. When the undelivered element for which we do not have VSOE of fair value is support, revenue for the entire arrangement is recognized ratably over the support period. The same residual method and VSOE of fair value principles apply for our multiple element arrangements that contain only software elements.</w:t>
      </w:r>
    </w:p>
    <w:p>
      <w:pPr>
        <w:spacing w:after="0" w:line="184"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Shipping and Handling</w:t>
      </w:r>
      <w:r>
        <w:rPr>
          <w:rFonts w:ascii="Arial" w:cs="Arial" w:eastAsia="Arial" w:hAnsi="Arial"/>
          <w:sz w:val="18"/>
          <w:szCs w:val="18"/>
          <w:color w:val="auto"/>
        </w:rPr>
        <w:t>—Shipping and handling fees charged to our customers are recognized as product revenue in the period shipped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costs for providing these services are recorded as a cost of sale.</w:t>
      </w:r>
    </w:p>
    <w:p>
      <w:pPr>
        <w:spacing w:after="0" w:line="162" w:lineRule="exact"/>
        <w:rPr>
          <w:sz w:val="20"/>
          <w:szCs w:val="20"/>
          <w:color w:val="auto"/>
        </w:rPr>
      </w:pPr>
    </w:p>
    <w:p>
      <w:pPr>
        <w:ind w:right="200" w:firstLine="648"/>
        <w:spacing w:after="0" w:line="274" w:lineRule="auto"/>
        <w:rPr>
          <w:sz w:val="20"/>
          <w:szCs w:val="20"/>
          <w:color w:val="auto"/>
        </w:rPr>
      </w:pPr>
      <w:r>
        <w:rPr>
          <w:rFonts w:ascii="Arial" w:cs="Arial" w:eastAsia="Arial" w:hAnsi="Arial"/>
          <w:sz w:val="17"/>
          <w:szCs w:val="17"/>
          <w:b w:val="1"/>
          <w:bCs w:val="1"/>
          <w:color w:val="auto"/>
        </w:rPr>
        <w:t>Accounts Receivable</w:t>
      </w:r>
      <w:r>
        <w:rPr>
          <w:rFonts w:ascii="Arial" w:cs="Arial" w:eastAsia="Arial" w:hAnsi="Arial"/>
          <w:sz w:val="17"/>
          <w:szCs w:val="17"/>
          <w:color w:val="auto"/>
        </w:rPr>
        <w:t>—Trade accounts receivable are recorded at the invoiced amount, net of sales returns reserve and allowances for doubtful</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The sales returns reserve is determined based on specific criteria including agreements to provide rebates and other factors known at the time, as well as estimates of the amount of goods shipped that will be returned. To determine the adequacy of the sales returns reserve, we analyze historical experience of actual rebates and returns. The sales returns reserve was $10.3 million and $5.5 million as of December 31, 2016 and 2015, respectively. The allowance for doubtful accounts is determined based on our assessment of the collectability of customer accounts. The allowance for doubtful accounts was $0.9 million and $0.7 million as of December 31, 2016 and 2015, respectively.</w:t>
      </w:r>
    </w:p>
    <w:p>
      <w:pPr>
        <w:spacing w:after="0" w:line="174"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Warranties</w:t>
      </w:r>
      <w:r>
        <w:rPr>
          <w:rFonts w:ascii="Arial" w:cs="Arial" w:eastAsia="Arial" w:hAnsi="Arial"/>
          <w:sz w:val="17"/>
          <w:szCs w:val="17"/>
          <w:color w:val="auto"/>
        </w:rPr>
        <w:t>—We generally provide a 1-year warranty on hardware products and a 90-day warranty on software. We also provide extended</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under the terms of our support agreements. A provision for estimated future costs related to warranty activities in the first year after product sale is recorded as a component of cost of product revenues when the product revenue is recognized, based upon historical product failure rates and historical costs incurred in correcting product failures. Warranty costs related to extended warranties sold under support agreements are recognized as incurred. In the event we change our warranty reserve estimates, the resulting charge against future cost of sales or reversal of previously recorded charges may materially affect our gross margins and operating results. Accrued warranty was not significant as of December 31, 2016 and 2015.</w:t>
      </w:r>
    </w:p>
    <w:p>
      <w:pPr>
        <w:spacing w:after="0" w:line="1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b w:val="1"/>
          <w:bCs w:val="1"/>
          <w:color w:val="auto"/>
        </w:rPr>
        <w:t>Foreign Currency Derivatives</w:t>
      </w:r>
      <w:r>
        <w:rPr>
          <w:rFonts w:ascii="Arial" w:cs="Arial" w:eastAsia="Arial" w:hAnsi="Arial"/>
          <w:sz w:val="18"/>
          <w:szCs w:val="18"/>
          <w:color w:val="auto"/>
        </w:rPr>
        <w:t>—Our sales contracts are primarily denominated in U.S. dollars and therefore substantially all of our revenue is not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foreign currency translation risk. However, a substantial portion of our operating expenses incurred outside the U.S. are denominated in foreign currencies and are subject to fluctuations due to changes in foreign currency exchange rates, particularly changes in the CAD, EUR, GBP and CNY. To help protect against significant fluctuations in the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creditworthiness of these parties. These contracts typically have a maturity of one month. Changes in the fair value of forward exchange contracts related to balance sheet accounts are insignificant and are included in Other expense—net in the consolidated statement of operations. As of December 31, 2016, the fair value of the forward exchange contracts was not material.</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independent of our use of foreign currency risk management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EUR, GBP and CNY could adversely impact our operating expenses in the future.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notional amount of forward exchange contracts as of December 31, 2016 and 2015 were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8"/>
                <w:szCs w:val="18"/>
                <w:b w:val="1"/>
                <w:bCs w:val="1"/>
                <w:color w:val="auto"/>
                <w:w w:val="92"/>
              </w:rPr>
              <w:t>Buy/Sell</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03"/>
        </w:trPr>
        <w:tc>
          <w:tcPr>
            <w:tcW w:w="96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Currency—As of December 31, 2016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5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9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CAD</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2,615</w:t>
            </w:r>
          </w:p>
        </w:tc>
      </w:tr>
      <w:tr>
        <w:trPr>
          <w:trHeight w:val="297"/>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96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Currency—As of December 31, 2015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00" w:type="dxa"/>
            <w:vAlign w:val="bottom"/>
            <w:tcBorders>
              <w:top w:val="single" w:sz="8" w:color="auto"/>
            </w:tcBorders>
            <w:shd w:val="clear" w:color="auto" w:fill="CCEEFF"/>
          </w:tcPr>
          <w:p>
            <w:pPr>
              <w:spacing w:after="0"/>
              <w:rPr>
                <w:sz w:val="4"/>
                <w:szCs w:val="4"/>
                <w:color w:val="auto"/>
              </w:rPr>
            </w:pPr>
          </w:p>
        </w:tc>
        <w:tc>
          <w:tcPr>
            <w:tcW w:w="57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9620" w:type="dxa"/>
            <w:vAlign w:val="bottom"/>
            <w:gridSpan w:val="4"/>
          </w:tcPr>
          <w:p>
            <w:pPr>
              <w:ind w:left="40"/>
              <w:spacing w:after="0"/>
              <w:rPr>
                <w:sz w:val="20"/>
                <w:szCs w:val="20"/>
                <w:color w:val="auto"/>
              </w:rPr>
            </w:pPr>
            <w:r>
              <w:rPr>
                <w:rFonts w:ascii="Arial" w:cs="Arial" w:eastAsia="Arial" w:hAnsi="Arial"/>
                <w:sz w:val="18"/>
                <w:szCs w:val="18"/>
                <w:color w:val="auto"/>
              </w:rPr>
              <w:t>CAD</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Sell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7,011</w:t>
            </w:r>
          </w:p>
        </w:tc>
      </w:tr>
      <w:tr>
        <w:trPr>
          <w:trHeight w:val="486"/>
        </w:trPr>
        <w:tc>
          <w:tcPr>
            <w:tcW w:w="8580" w:type="dxa"/>
            <w:vAlign w:val="bottom"/>
            <w:gridSpan w:val="3"/>
          </w:tcPr>
          <w:p>
            <w:pPr>
              <w:ind w:left="5620"/>
              <w:spacing w:after="0"/>
              <w:rPr>
                <w:sz w:val="20"/>
                <w:szCs w:val="20"/>
                <w:color w:val="auto"/>
              </w:rPr>
            </w:pPr>
            <w:r>
              <w:rPr>
                <w:rFonts w:ascii="Arial" w:cs="Arial" w:eastAsia="Arial" w:hAnsi="Arial"/>
                <w:sz w:val="18"/>
                <w:szCs w:val="18"/>
                <w:color w:val="auto"/>
              </w:rPr>
              <w:t>71</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March 2016, the Financial Accounting Standards Board (“FASB”) issued Accounting Standards Update (“ASU”) 2016-09—Compensation— Stock Compensation—Improvements to Employee Share-Based Payment Accounting. The new guidance changes the accounting for certain aspects of stock-based payments to employees and requires excess tax benefits and tax deficiencies to be recorded in the income statement when the awards vest or are settled. In addition, cash flows related to excess tax benefits will no longer be separately classified as a financing activity apart from other income tax cash flows. ASU 2016-09 also allows us to repurchase more of an employee’s shares for tax withholding purposes without triggering liability accounting, clarifies that all cash payments made on an employee’s behalf for withheld shares should be presented as a financing activity on our cash flows statement, and provides an accounting policy election to account for forfeitures as they occur.</w:t>
      </w:r>
    </w:p>
    <w:p>
      <w:pPr>
        <w:spacing w:after="0" w:line="17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elected to early adopt the new guidance in the second quarter of 2016. The primary impact of the adoption was the recognition of excess tax benefits in our provision for income taxes rather than paid-in capital, as well as the adjustment in stock-based compensation expense as a result of our change in forfeiture policy. The new guidance eliminates the requirement to delay the recognition of excess tax benefits until it reduces current taxes payable. We adopted this change on a modified retrospective basis, and recorded unrecognized excess tax benefits of $32.4 million as a cumulative-effect adjustment, which increased retained earnings on January 1, 2016. The new guidance also requires us to record, subsequent to the adoption, excess tax benefits and tax deficiencies in the period these arise. As a result, our provision for income taxes decreased by $3.6 million during the first quarter of 2016.</w:t>
      </w:r>
    </w:p>
    <w:p>
      <w:pPr>
        <w:spacing w:after="0" w:line="178" w:lineRule="exact"/>
        <w:rPr>
          <w:sz w:val="20"/>
          <w:szCs w:val="20"/>
          <w:color w:val="auto"/>
        </w:rPr>
      </w:pPr>
    </w:p>
    <w:p>
      <w:pPr>
        <w:ind w:right="140" w:firstLine="648"/>
        <w:spacing w:after="0" w:line="329" w:lineRule="auto"/>
        <w:rPr>
          <w:sz w:val="20"/>
          <w:szCs w:val="20"/>
          <w:color w:val="auto"/>
        </w:rPr>
      </w:pPr>
      <w:r>
        <w:rPr>
          <w:rFonts w:ascii="Arial" w:cs="Arial" w:eastAsia="Arial" w:hAnsi="Arial"/>
          <w:sz w:val="16"/>
          <w:szCs w:val="16"/>
          <w:color w:val="auto"/>
        </w:rPr>
        <w:t>Under the new guidance, we have elected to change our policy and have started to recognize forfeitures of awards as they occur. The change in forfeiture policy was adopted using a modified retrospective transition method. We recorded a cumulative-effect adjustment to decrease retained earnings by $0.8 million upon transition on January 1, 2016 and a retrospective decrease of stock-based compensation of $2.0 million during the first quarter of 2016.</w:t>
      </w:r>
    </w:p>
    <w:p>
      <w:pPr>
        <w:spacing w:after="0" w:line="13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amendment to the minimum statutory withholding tax requirements was adopted on a modified retrospective basis. The adoption had no impact on the January 1, 2016 retained earnings. In addition, we adopted the presentation of taxes paid related to net share settlement of equity awards as a financing activity on the statement of cash flows on a retrospective basis. Our adoption had no impact to any of the periods presented in our consolidated cash flows statements since such cash flows have historically been presented as a financing activity.</w:t>
      </w:r>
    </w:p>
    <w:p>
      <w:pPr>
        <w:spacing w:after="0" w:line="18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adoption of ASU 2016-09 impacted our previously reported quarterly results for the three months ended March 31, 2016, as well as our weighted average shares outstanding—diluted, as follows (in thousands, except for earnings per share):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6"/>
                <w:szCs w:val="16"/>
                <w:b w:val="1"/>
                <w:bCs w:val="1"/>
                <w:color w:val="auto"/>
              </w:rPr>
              <w:t>Three Months Ended</w:t>
            </w:r>
          </w:p>
        </w:tc>
      </w:tr>
      <w:tr>
        <w:trPr>
          <w:trHeight w:val="257"/>
        </w:trPr>
        <w:tc>
          <w:tcPr>
            <w:tcW w:w="454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80" w:type="dxa"/>
            <w:vAlign w:val="bottom"/>
            <w:gridSpan w:val="4"/>
          </w:tcPr>
          <w:p>
            <w:pPr>
              <w:jc w:val="right"/>
              <w:ind w:right="890"/>
              <w:spacing w:after="0"/>
              <w:rPr>
                <w:sz w:val="20"/>
                <w:szCs w:val="20"/>
                <w:color w:val="auto"/>
              </w:rPr>
            </w:pPr>
            <w:r>
              <w:rPr>
                <w:rFonts w:ascii="Arial" w:cs="Arial" w:eastAsia="Arial" w:hAnsi="Arial"/>
                <w:sz w:val="16"/>
                <w:szCs w:val="16"/>
                <w:b w:val="1"/>
                <w:bCs w:val="1"/>
                <w:color w:val="auto"/>
              </w:rPr>
              <w:t>March 31, 2016</w:t>
            </w:r>
          </w:p>
        </w:tc>
      </w:tr>
      <w:tr>
        <w:trPr>
          <w:trHeight w:val="33"/>
        </w:trPr>
        <w:tc>
          <w:tcPr>
            <w:tcW w:w="4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As Adjusted</w:t>
            </w:r>
          </w:p>
        </w:tc>
      </w:tr>
      <w:tr>
        <w:trPr>
          <w:trHeight w:val="27"/>
        </w:trPr>
        <w:tc>
          <w:tcPr>
            <w:tcW w:w="45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3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4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30,881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28,901</w:t>
            </w:r>
          </w:p>
        </w:tc>
      </w:tr>
      <w:tr>
        <w:trPr>
          <w:trHeight w:val="27"/>
        </w:trPr>
        <w:tc>
          <w:tcPr>
            <w:tcW w:w="4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4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2,118</w:t>
            </w:r>
          </w:p>
        </w:tc>
      </w:tr>
      <w:tr>
        <w:trPr>
          <w:trHeight w:val="27"/>
        </w:trPr>
        <w:tc>
          <w:tcPr>
            <w:tcW w:w="4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share—Basic</w:t>
            </w:r>
          </w:p>
        </w:tc>
        <w:tc>
          <w:tcPr>
            <w:tcW w:w="4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Net income (loss) per share—Diluted</w:t>
            </w:r>
          </w:p>
        </w:tc>
        <w:tc>
          <w:tcPr>
            <w:tcW w:w="4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0.01</w:t>
            </w:r>
          </w:p>
        </w:tc>
      </w:tr>
      <w:tr>
        <w:trPr>
          <w:trHeight w:val="27"/>
        </w:trPr>
        <w:tc>
          <w:tcPr>
            <w:tcW w:w="4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outstanding—Diluted</w:t>
            </w:r>
          </w:p>
        </w:tc>
        <w:tc>
          <w:tcPr>
            <w:tcW w:w="3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174,421</w:t>
            </w:r>
          </w:p>
        </w:tc>
      </w:tr>
      <w:tr>
        <w:trPr>
          <w:trHeight w:val="675"/>
        </w:trPr>
        <w:tc>
          <w:tcPr>
            <w:tcW w:w="4540" w:type="dxa"/>
            <w:vAlign w:val="bottom"/>
          </w:tcPr>
          <w:p>
            <w:pPr>
              <w:spacing w:after="0"/>
              <w:rPr>
                <w:sz w:val="24"/>
                <w:szCs w:val="24"/>
                <w:color w:val="auto"/>
              </w:rPr>
            </w:pPr>
          </w:p>
        </w:tc>
        <w:tc>
          <w:tcPr>
            <w:tcW w:w="3800" w:type="dxa"/>
            <w:vAlign w:val="bottom"/>
          </w:tcPr>
          <w:p>
            <w:pPr>
              <w:jc w:val="right"/>
              <w:ind w:right="245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March 31, 2016</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34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1400" w:type="dxa"/>
            <w:vAlign w:val="bottom"/>
            <w:tcBorders>
              <w:top w:val="single" w:sz="8" w:color="auto"/>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As Reported</w:t>
            </w: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5"/>
              </w:rPr>
              <w:t>As Adjusted</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Balance Sheets: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167,625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718,849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717,671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60,196</w:t>
            </w: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September 2015, the FASB issued ASU 2015-16—Business Combinations—Simplifying the Accounting for Measurement-Period Adjustments,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they would have recorded in previous periods if the accounting had been completed at the acquisition date. We adopted ASU 2015-16 on January 1, 2016. The adoption of ASU 2015-16 has not had any impact on our consolidated financial statements.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January 2017, the FASB issued ASU 2017-04—Intangibles - Goodwill and Other: Simplifying the Test for Goodwill Impairment. ASU 2017-04 eliminates Step 2 from the goodwill impairment test which measures a goodwill impairment loss by comparing the implied fair value of a reporting unit’s goodwill with the carrying amount of that goodwill. Under this ASU, an entity should perform its annual or interim goodwill impairment test by comparing the fair value of the reporting unit with its carrying amount, and should recognize an impairment loss for the amount by which the carrying amount exceeds the reporting unit’s fair value with the loss not exceeding the total amount of goodwill allocated to that reporting unit. ASU 2016-06 will be effective for us beginning on January 1, 2020. Early adoption is permitted for interim or annual goodwill impairment tests performed after January 1, 2017. At adoption, this update will require a prospective approach. We will adopt ASU 2017-04 in the fourth quarter of 2017. We do not believe that this standard will have a material impact on our consolidated financial statements.</w:t>
      </w:r>
    </w:p>
    <w:p>
      <w:pPr>
        <w:spacing w:after="0" w:line="26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November 2016, the FASB issued ASU 2016-18—Statement of Cash Flows, which provides guidance on the classification of restricted cash to be included with cash and cash equivalents when reconciling the beginning of period and end of period total amounts on the statement of cash flows. This pronouncement is effective for us beginning on January 1, 2018, using a retrospective adoption method. We early adopted ASU 2016-18 on January 1, 2017. The adoption of ASU 2016-18 did not have a material impact on our consolidated financial statements.</w:t>
      </w:r>
    </w:p>
    <w:p>
      <w:pPr>
        <w:spacing w:after="0" w:line="252"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In October 2016, the FASB issued ASU 2016-16—Income Taxes —Intra-Entity Transfer of Assets Other Than Inventory, which requires the recognition of the income tax consequences of an intra-entity transfer of an asset, other than inventory, when the transfer occurs. ASU 2016-06 will be effective for us beginning on January 1, 2018. We are currently evaluating the impact of adopting ASU 2016-16 on our consolidated financial statements.</w:t>
      </w:r>
    </w:p>
    <w:p>
      <w:pPr>
        <w:spacing w:after="0" w:line="14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June 2016, the FASB issued ASU 2016-13—Financial Instruments—Credit Losses—Measurement of Credit Losses on Financial Instruments, which requires measurement and recognition of expected credit losses for financial assets held. ASU 2016-13 is effective for us beginning on January 1, 2020, with the option to adopt early on January 1, 2019. We are currently evaluating the impact of ASU 2016-13 will have on our consolidated financial statements.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February 2016, the FASB issued ASU 2016-02—Leases, which requires the recognition of right-of-use assets and lease liabilities on the consolidated balance sheet for substantially all leases. The new guidance includes a number of optional practical expedients that entities may elect to apply. The new guidance will also require significant additional disclosures about the amount, timing and uncertainty of cash flows from leases. This new guidance will be effective for us beginning on January 1, 2019 using a modified retrospective approach. We currently anticipate to early adopt this new standard on January 1, 2018 in conjunction with our adoption of the new revenue standard. Our ability to early adopt is dependent on system readiness, including software procured from third-party providers, if any, and the completion of our analysis of information necessary to restate prior period financial statements. Based on our current lease portfolio, we estimate the value of leased assets and liabilities that may be recognized could be at least $50.0 million. We are continuing to evaluate the impact of the standard and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estimate is subject to change. We do not believe that the standard will have a material impact on our statement of operations.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May 2014, the FASB issued ASU 2014-09—Revenue from Contracts with Customers, which outlines a single, comprehensive model for entities to use in accounting for revenue arising from contracts with customers. The core principle of ASU 2014-09 is to recognize revenues when promised goods or services are transferred to customers in an amount that reflects the consideration that is expected to be received for those goods or services. ASU 2014-09 defines a five 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The FASB has recently issued several amendments to the standard, including clarification on accounting for licenses of intellectual property and identifying performance obligations. The new standard will be effective for us beginning January 1, 2018 which is the required mandatory adoption date and we do not plan to early adopt. 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Currently, we are in the process of reviewing our historical contracts to quantify the impact on our consolidated financial statements. Depending on the results of our review, there could be changes to the timing of revenue recognition and certain costs associated with obtaining and fulfilling our customer contracts. These changes may include the acceleration of revenue and associated costs on sales to certain channel partners that are currently accounted for only once the product is sold through to the end-customer, and the amortization of certain costs related to obtaining customer contracts that include the sales commission we pay to certain employees. We are also in the process of assessing the appropriate changes to our business processes and upgrading our systems and controls to support recognition and disclosure under the new standard. We expect to complete our assessment process, including selecting a transition method for adoption, in the second quarter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2016</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378,612</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95,110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95,108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64,541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59,257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59,025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4,219</w:t>
            </w:r>
          </w:p>
        </w:tc>
      </w:tr>
      <w:tr>
        <w:trPr>
          <w:trHeight w:val="264"/>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602,684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601,505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437,194</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66,263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66,232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61,022</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14,897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14,897</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41,727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41,688</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622,470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621,033</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620" w:right="5400" w:hanging="5585"/>
        <w:spacing w:after="0" w:line="694" w:lineRule="auto"/>
        <w:tabs>
          <w:tab w:leader="none" w:pos="178" w:val="left"/>
        </w:tabs>
        <w:numPr>
          <w:ilvl w:val="0"/>
          <w:numId w:val="36"/>
        </w:numPr>
        <w:rPr>
          <w:rFonts w:ascii="Arial" w:cs="Arial" w:eastAsia="Arial" w:hAnsi="Arial"/>
          <w:sz w:val="16"/>
          <w:szCs w:val="16"/>
          <w:color w:val="auto"/>
          <w:vertAlign w:val="superscript"/>
        </w:rPr>
      </w:pPr>
      <w:r>
        <w:rPr>
          <w:rFonts w:ascii="Arial" w:cs="Arial" w:eastAsia="Arial" w:hAnsi="Arial"/>
          <w:sz w:val="16"/>
          <w:szCs w:val="16"/>
          <w:color w:val="auto"/>
        </w:rPr>
        <w:t>The majority of our certificates of deposit and term deposits are foreign deposits. 74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325,521</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52,200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415,004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428,545</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2015</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390,567</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31,977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34,703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456,891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43,041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499,932</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are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2015</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376,522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348,074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224,983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272,959</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601,505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621,033</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Available-for-sale securities are reported at fair value, with unrealized gains and losses, net of tax, included as a separate component of stockholders’ equity and in total comprehensive income. Realized gains and losses on available-for-sale securities are insignificant in the periods presented and are included in Other expense—net in our consolidated statements of operations. We use the specific identification method to determine the cost basis of investments sold.</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December 31, 2016.</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 of our financial assets measured at fair value on a recurring basis as of December 31,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December 31, 2016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1"/>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24"/>
        </w:trPr>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900" w:type="dxa"/>
            <w:vAlign w:val="bottom"/>
          </w:tcPr>
          <w:p>
            <w:pPr>
              <w:jc w:val="center"/>
              <w:ind w:right="41"/>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378,612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0"/>
              <w:spacing w:after="0"/>
              <w:rPr>
                <w:sz w:val="20"/>
                <w:szCs w:val="20"/>
                <w:color w:val="auto"/>
              </w:rPr>
            </w:pPr>
            <w:r>
              <w:rPr>
                <w:rFonts w:ascii="Arial" w:cs="Arial" w:eastAsia="Arial" w:hAnsi="Arial"/>
                <w:sz w:val="18"/>
                <w:szCs w:val="18"/>
                <w:color w:val="auto"/>
                <w:w w:val="98"/>
              </w:rPr>
              <w:t>378,612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437,194</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1"/>
              <w:spacing w:after="0"/>
              <w:rPr>
                <w:sz w:val="20"/>
                <w:szCs w:val="20"/>
                <w:color w:val="auto"/>
              </w:rPr>
            </w:pPr>
            <w:r>
              <w:rPr>
                <w:rFonts w:ascii="Arial" w:cs="Arial" w:eastAsia="Arial" w:hAnsi="Arial"/>
                <w:sz w:val="18"/>
                <w:szCs w:val="18"/>
                <w:color w:val="auto"/>
                <w:w w:val="98"/>
              </w:rPr>
              <w:t>437,194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105,097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w w:val="98"/>
              </w:rPr>
              <w:t>105,097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69,231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500"/>
              <w:spacing w:after="0"/>
              <w:rPr>
                <w:sz w:val="20"/>
                <w:szCs w:val="20"/>
                <w:color w:val="auto"/>
              </w:rPr>
            </w:pPr>
            <w:r>
              <w:rPr>
                <w:rFonts w:ascii="Arial" w:cs="Arial" w:eastAsia="Arial" w:hAnsi="Arial"/>
                <w:sz w:val="18"/>
                <w:szCs w:val="18"/>
                <w:color w:val="auto"/>
              </w:rPr>
              <w:t>U.S. government and agency</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50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64,541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52,082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8"/>
                <w:szCs w:val="18"/>
                <w:color w:val="auto"/>
              </w:rPr>
              <w:t>12,459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25,693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8"/>
                <w:szCs w:val="18"/>
                <w:color w:val="auto"/>
              </w:rPr>
              <w:t>15,995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59,025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61,022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38,649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50,030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deposits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14,897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650,143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90,731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98"/>
              </w:rPr>
              <w:t>559,412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674,062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75,723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98"/>
              </w:rPr>
              <w:t>598,339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48,638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53,029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376,522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348,074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224,983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272,959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650,143</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674,062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2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transfers between Level 1 and Level 2 of the fair value hierarchy during the year ended December 31, 2016 and December 31,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Nonrecurring Basis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measure certain assets, including goodwill, other intangible assets—net and investments in privately-held companies at fair value on a nonrecurring basis when there are identifiable events or changes in circumstances that may have a significant adverse impact on the fair value of these assets.</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second quarter of 2015, we reassessed the fair value and the remaining useful life of the developed technologies and customer relationship acquired from the Coyote Point Systems (“Coyote”) business acquisition. Based on this reassessment, we determined a decrease in the projected cash flow and that the remaining net book value of the developed technologies and customer relationships were impaired. As a result, we recorded an impairment charge of $1.6 million associated with these assets. The impairment charge is included within cost of product revenue and sales and marketing in the consolidated statements of operations.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125" w:right="3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2015</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15,425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87,963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68,443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106,887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83,868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Inventory includes finished goods held by distributors where revenue is recognized on a sell-through basis of $1.0 million and $1.1 million as of December 31, 2016 and 2015, respectively. Inventory also includes materials at contract manufacturers of $6.1 million and $4.9 million as of December 31, 2016 and 2015,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2015</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49,783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28,841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Evaluation units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15,784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13,995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8,901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8,106</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207,721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140,126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(49,059)</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137,249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91,067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$39.2 million, $28.4 million and $20.5 million in 2016, 2015 and 2014, respectively.</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2016, we purchased certain real estate properties to support the growth in our business operations, for total cash consideration of $27.1 million, of which $13.4 million was allocated to land, $11.0 million was allocated to building and $2.7 million remains in construction in progress as one building has not yet been placed in service.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PRIVATELY-HELD COMPANIES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investments in the equity securities of three privately-held companies totaled $10.3 million as of December 31, 2016 and 2015. Each of these investments are accounted for as cost-basis investments, as we own less than 20% of the voting securities and do not have the ability to exercise significant influence over operating and financial policies of the respective entities. These investments are carried at historical cost and are recorded as other assets on our consolidated balance sheet and would be measured at fair value if indicators of impairment exist. As of December 31, 2016, no events have occurred that would adversely affect the carrying value of these investments.</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determined that we had a variable interest in these privately-held companies. However, we determined that we were not the primary beneficiary as we did not have the power to direct their activities that most significantly affect their economic performance. The variable interest entities were not required to be consolidated in our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AccelOps, Inc.</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June 7, 2016, we completed our acquisition of AccelOps, Inc. (“AccelOps”), a provider of network security monitoring and analytics solutions, for total cash consideration of $22.1 million, net of cash received. We believe this acquisition will extend the Fortinet Security Fabric by enhancing our network security visibility, security data analytics and threat intelligence across multi-vendor solutions.</w:t>
      </w:r>
    </w:p>
    <w:p>
      <w:pPr>
        <w:spacing w:after="0" w:line="181"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 xml:space="preserve">The acquisition of AccelOps is accounted for as a business combination in accordance with the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issued by the FASB. We use our best estimates and assumptions to assign fair value to the tangible and intangible assets acquired and liabilities assumed at the acquisition date. We included acquisition-related costs of $0.3 million in general and administrative expenses. The total purchase price was allocated to AccelOps’ identifiable tangible and intangible assets acquired and liabilities assumed based on their estimated fair values as of the acquisition date. The acquisition also included a contingent obligation for up to $4.0 million in future earn out payments to certain former stockholders of AccelOps if specified future financial targets were met as of December 31, 2016. As of the acquisition date, we estimated the fair value of the liability to be zero as we did not believe the targets would be met. As of December 31, 2016, the financial targets were not met.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allocation of the purchase price was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1,126</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 in process research and development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9,861</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1,694</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9,442</w:t>
            </w:r>
          </w:p>
        </w:tc>
      </w:tr>
      <w:tr>
        <w:trPr>
          <w:trHeight w:val="257"/>
        </w:trPr>
        <w:tc>
          <w:tcPr>
            <w:tcW w:w="9480" w:type="dxa"/>
            <w:vAlign w:val="bottom"/>
          </w:tcPr>
          <w:p>
            <w:pPr>
              <w:ind w:left="500"/>
              <w:spacing w:after="0"/>
              <w:rPr>
                <w:sz w:val="20"/>
                <w:szCs w:val="20"/>
                <w:color w:val="auto"/>
              </w:rPr>
            </w:pPr>
            <w:r>
              <w:rPr>
                <w:rFonts w:ascii="Arial" w:cs="Arial" w:eastAsia="Arial" w:hAnsi="Arial"/>
                <w:sz w:val="18"/>
                <w:szCs w:val="18"/>
                <w:color w:val="auto"/>
              </w:rPr>
              <w:t>Total purchase price allocation</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22,284</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Finite-lived intangible assets consist of developed technology, customer relationships and other intangible assets. AccelOps’ technology provides a software solution to manage security, performance and compliance from a single platform. The acquired developed technologies include software patents, know-how, process and designs. The value of customer relationships is attributable to the generation of a consistent income source and the avoidance of costs associated with creating new customer relationships.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useful life and fair values of the acquired finite-lived intangible assets were as follows (in thousands, except for estimated useful life):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Estimated Useful Life</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Values</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technologies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2,300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14,900</w:t>
            </w:r>
          </w:p>
        </w:tc>
      </w:tr>
      <w:tr>
        <w:trPr>
          <w:trHeight w:val="20"/>
        </w:trPr>
        <w:tc>
          <w:tcPr>
            <w:tcW w:w="7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developed technologies and other are amortized on a straight-line basis. The amortization expense of developed technologies is recorded in costs of revenue, and other intangibles is recorded in cost of service revenue. The amortization expense of customer relationships is amortized on an accelerated basis and is recorded in sales and marketing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Indefinite-lived intangible assets consist of in-process research and development, which will begin to be amortized upon completion of development.</w:t>
      </w:r>
    </w:p>
    <w:p>
      <w:pPr>
        <w:spacing w:after="0" w:line="24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goodwill of $9.9 million represents the amount of the purchase price in excess of the fair value of the net tangible liabilities assumed and intangible assets acquired, including AccelOps’ assembled workforce. The goodwill recorded as part of the AccelOps acquisition is not deductible for U.S. federal income tax purposes. The financial results of this acquisition are considered immaterial for purposes of pro forma financial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 Networks,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8, 2015, we completed our acquisition of Meru Networks, Inc. (“Meru”), a provider of Wi-Fi networking products and services.</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connection with the acquisition, we paid $41.8 million, comprised of cash consideration of $40.9 million, withholding tax liability of $0.4 million and the estimated fair value associated with RSUs of Meru of $0.5 million that were converted for 53,401 shares of our common stock.</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accounted for this transaction as a business combination. We expensed acquisition-related costs of $1.7 million in general and administrative expenses. The total purchase price was allocated to Meru’s identifiable tangible and intangible assets acquired and liabilities assumed based on their estimated fair values as of the acquisition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allocation of the purchase price was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5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5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5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5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5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5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5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66,451</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5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5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14,887</w:t>
            </w:r>
          </w:p>
        </w:tc>
        <w:tc>
          <w:tcPr>
            <w:tcW w:w="0" w:type="dxa"/>
            <w:vAlign w:val="bottom"/>
          </w:tcPr>
          <w:p>
            <w:pPr>
              <w:spacing w:after="0"/>
              <w:rPr>
                <w:sz w:val="1"/>
                <w:szCs w:val="1"/>
                <w:color w:val="auto"/>
              </w:rPr>
            </w:pP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52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24,687</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purchase price allocation</w:t>
            </w:r>
          </w:p>
        </w:tc>
        <w:tc>
          <w:tcPr>
            <w:tcW w:w="5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41,764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3590"/>
              <w:spacing w:after="0"/>
              <w:rPr>
                <w:sz w:val="20"/>
                <w:szCs w:val="20"/>
                <w:color w:val="auto"/>
              </w:rPr>
            </w:pPr>
            <w:r>
              <w:rPr>
                <w:rFonts w:ascii="Arial" w:cs="Arial" w:eastAsia="Arial" w:hAnsi="Arial"/>
                <w:sz w:val="18"/>
                <w:szCs w:val="18"/>
                <w:color w:val="auto"/>
              </w:rPr>
              <w:t>80</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8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goodwill of $1.9 million represents the premium we paid over the fair value of the net tangible liabilities assumed and identified intangible assets acquired, due primarily to Meru’s assembled workforce. The goodwill recorded as part of the Meru acquisition is not deductible for U.S. federal income tax purposes.</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Intangible assets consist primarily of customer relationships and developed technologies. Customer relationships represent Meru’s installed base and the ability to sell existing, in-process and future versions of our products and services to its existing customers. Developed technologies represent the virtualized wireless local area network solutions offering centralized coordination and control of various access points on the network. This includes patented and unpatented technology, know-how, processes, designs and computer software. The estimated useful life and fair values of the acquired identifiable intangible assets were as follows (in thousands, except for estimated useful life):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Estimated Useful Life</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Values</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Developed technologies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7,200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19,600</w:t>
            </w:r>
          </w:p>
        </w:tc>
      </w:tr>
      <w:tr>
        <w:trPr>
          <w:trHeight w:val="20"/>
        </w:trPr>
        <w:tc>
          <w:tcPr>
            <w:tcW w:w="7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Customer relationships and trade name are amortized and the amortization expense is recorded in sales and marketing expenses in the consolidated statement of operations. Developed technologies are amortized and the amortization expense is recorded in cost of product revenue in the consolidated statement of operations.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following table summarizes the combined results of operations of Fortinet and Meru as if the acquisition occurred on January 1, 2014. The pro forma results includes purchase accounting adjustments for amortization charges from acquired intangible assets, depreciation of acquired property, plant and equipment, stock-based compensation and related tax effects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1,046,972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861,255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 forma income (loss) from operations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34,105</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 forma net income (loss) per share: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0.04</w:t>
            </w:r>
          </w:p>
        </w:tc>
      </w:tr>
    </w:tbl>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pro forma financial information presented above is for informational purposes only and is not indicative of the results of operations that would have been achieved if the acquisition had taken place at the beginning of January 2014, nor it is indicative of any future results.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impairments to goodwill during 2016. The following table presents the changes in the carrying amount of goodwill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b w:val="1"/>
                <w:bCs w:val="1"/>
                <w:color w:val="auto"/>
              </w:rPr>
              <w:t>Amount</w:t>
            </w:r>
          </w:p>
        </w:tc>
      </w:tr>
      <w:tr>
        <w:trPr>
          <w:trHeight w:val="27"/>
        </w:trPr>
        <w:tc>
          <w:tcPr>
            <w:tcW w:w="9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Addition due to business acquisition</w:t>
            </w: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9,861</w:t>
            </w:r>
          </w:p>
        </w:tc>
      </w:tr>
      <w:tr>
        <w:trPr>
          <w:trHeight w:val="27"/>
        </w:trPr>
        <w:tc>
          <w:tcPr>
            <w:tcW w:w="9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2016</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14,553</w:t>
            </w:r>
          </w:p>
        </w:tc>
      </w:tr>
      <w:tr>
        <w:trPr>
          <w:trHeight w:val="20"/>
        </w:trPr>
        <w:tc>
          <w:tcPr>
            <w:tcW w:w="9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400"/>
              <w:spacing w:after="0"/>
              <w:rPr>
                <w:sz w:val="20"/>
                <w:szCs w:val="20"/>
                <w:color w:val="auto"/>
              </w:rPr>
            </w:pPr>
            <w:r>
              <w:rPr>
                <w:rFonts w:ascii="Arial" w:cs="Arial" w:eastAsia="Arial" w:hAnsi="Arial"/>
                <w:sz w:val="16"/>
                <w:szCs w:val="16"/>
                <w:b w:val="1"/>
                <w:bCs w:val="1"/>
                <w:color w:val="auto"/>
              </w:rPr>
              <w:t>December 31, 2016</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15,234</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6,506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7,994</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23,228</w:t>
            </w: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1,600</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40,084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15,256</w:t>
            </w: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24,828</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1"/>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ind w:left="400"/>
              <w:spacing w:after="0"/>
              <w:rPr>
                <w:sz w:val="20"/>
                <w:szCs w:val="20"/>
                <w:color w:val="auto"/>
              </w:rPr>
            </w:pPr>
            <w:r>
              <w:rPr>
                <w:rFonts w:ascii="Arial" w:cs="Arial" w:eastAsia="Arial" w:hAnsi="Arial"/>
                <w:sz w:val="16"/>
                <w:szCs w:val="16"/>
                <w:b w:val="1"/>
                <w:bCs w:val="1"/>
                <w:color w:val="auto"/>
              </w:rPr>
              <w:t>December 31, 2015</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10,980</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6,660</w:t>
            </w:r>
          </w:p>
        </w:tc>
      </w:tr>
      <w:tr>
        <w:trPr>
          <w:trHeight w:val="257"/>
        </w:trPr>
        <w:tc>
          <w:tcPr>
            <w:tcW w:w="5500" w:type="dxa"/>
            <w:vAlign w:val="bottom"/>
          </w:tcPr>
          <w:p>
            <w:pPr>
              <w:ind w:left="5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23,584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17,640</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2015, we reassessed the fair value and the remaining useful life of the developed technologies and customer relationships acquired from the Coyote business acquisition. Based on this reassessment, we determined a decrease in the projected cash flow and that the remaining net book value of the developed technologies and customer relationships were impaired. As a result, we recorded an impairment charge of $1.6 million associated with these assets. The impairment charge is included within cost of product revenue and sales and marketing in the consolidated statements of operations.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Amortization expense was $9.3 million, $3.2 million, and $1.5 million in 2016, 2015 and 2014, respectively. The following table summarizes estimated future amortization expense of other intangible assets—net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jc w:val="right"/>
              <w:ind w:right="8310"/>
              <w:spacing w:after="0"/>
              <w:rPr>
                <w:sz w:val="20"/>
                <w:szCs w:val="20"/>
                <w:color w:val="auto"/>
              </w:rPr>
            </w:pPr>
            <w:r>
              <w:rPr>
                <w:rFonts w:ascii="Arial" w:cs="Arial" w:eastAsia="Arial" w:hAnsi="Arial"/>
                <w:sz w:val="18"/>
                <w:szCs w:val="18"/>
                <w:color w:val="auto"/>
              </w:rPr>
              <w:t>2017</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8,574</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jc w:val="right"/>
              <w:ind w:right="831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6,885</w:t>
            </w:r>
          </w:p>
        </w:tc>
      </w:tr>
      <w:tr>
        <w:trPr>
          <w:trHeight w:val="243"/>
        </w:trPr>
        <w:tc>
          <w:tcPr>
            <w:tcW w:w="9140" w:type="dxa"/>
            <w:vAlign w:val="bottom"/>
          </w:tcPr>
          <w:p>
            <w:pPr>
              <w:jc w:val="right"/>
              <w:ind w:right="831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5,406</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jc w:val="right"/>
              <w:ind w:right="831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23,228</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RSUs, including PSUs, stock options and the ESPP. Dilutive shares of common stock are determined by applying the treasury stock method.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thousands,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32,187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7,987</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25,343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1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172,621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170,385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163,831</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Diluted shares:</w:t>
            </w: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163,831</w:t>
            </w:r>
          </w:p>
        </w:tc>
        <w:tc>
          <w:tcPr>
            <w:tcW w:w="0" w:type="dxa"/>
            <w:vAlign w:val="bottom"/>
          </w:tcPr>
          <w:p>
            <w:pPr>
              <w:spacing w:after="0"/>
              <w:rPr>
                <w:sz w:val="1"/>
                <w:szCs w:val="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RSUs (including PSUs)</w:t>
            </w:r>
          </w:p>
        </w:tc>
        <w:tc>
          <w:tcPr>
            <w:tcW w:w="1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3"/>
        </w:trPr>
        <w:tc>
          <w:tcPr>
            <w:tcW w:w="5380" w:type="dxa"/>
            <w:vAlign w:val="bottom"/>
          </w:tcPr>
          <w:p>
            <w:pPr>
              <w:ind w:left="920"/>
              <w:spacing w:after="0"/>
              <w:rPr>
                <w:sz w:val="20"/>
                <w:szCs w:val="20"/>
                <w:color w:val="auto"/>
              </w:rPr>
            </w:pPr>
            <w:r>
              <w:rPr>
                <w:rFonts w:ascii="Arial" w:cs="Arial" w:eastAsia="Arial" w:hAnsi="Arial"/>
                <w:sz w:val="18"/>
                <w:szCs w:val="18"/>
                <w:color w:val="auto"/>
              </w:rPr>
              <w:t>Stock options</w:t>
            </w: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1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2"/>
              </w:rPr>
              <w:t>Weighted-average shares used to compute diluted net income per share</w:t>
            </w:r>
          </w:p>
        </w:tc>
        <w:tc>
          <w:tcPr>
            <w:tcW w:w="17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176,338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176,141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169,289</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7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83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158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6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1720" w:type="dxa"/>
            <w:vAlign w:val="bottom"/>
            <w:gridSpan w:val="2"/>
          </w:tcPr>
          <w:p>
            <w:pPr>
              <w:jc w:val="right"/>
              <w:ind w:right="55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2014</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(including PSUs)</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3,319</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1,024</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3,469</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r>
      <w:tr>
        <w:trPr>
          <w:trHeight w:val="237"/>
        </w:trPr>
        <w:tc>
          <w:tcPr>
            <w:tcW w:w="6400" w:type="dxa"/>
            <w:vAlign w:val="bottom"/>
          </w:tcPr>
          <w:p>
            <w:pPr>
              <w:spacing w:after="0"/>
              <w:rPr>
                <w:sz w:val="20"/>
                <w:szCs w:val="20"/>
                <w:color w:val="auto"/>
              </w:rPr>
            </w:pP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4,502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4,336</w:t>
            </w:r>
          </w:p>
        </w:tc>
      </w:tr>
      <w:tr>
        <w:trPr>
          <w:trHeight w:val="27"/>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restructuring activity for the years 2016 and 2015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Employee Severance</w:t>
            </w: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Contract Terminations</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and Other Benefits</w:t>
            </w: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and Other Charges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7,600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Less non-cash items</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3,997</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Less non-cash items</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Restructuring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2016, we implemented a plan to restructure and further improve efficiencies in our operations due to the acquisition of AccelOps and certain other activities. To date, we have incurred $3.7 million related to this restructuring. These charges are primarily related to severance payments to be paid in cash and are included in operating expense in the consolidated statements of operations. We do not anticipate incurring additional significant charges related to this restructuring.</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remaining restructuring reserve of $0.5 million is included in accrued liabilities on the consolidated balance sheet as of December 31, 2016 and is expected to be paid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Meru Restructuring</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connection with the acquisition of Meru, we initiated planned cost reduction and restructuring activities to improve our cost structure and operational efficiencies starting in the third quarter of 2015. To date, we have incurred $7.9 million of charges related to this restructuring. These charges are primarily related to severance payments to be paid in cash and are included in operating expense in the consolidated statements of operations of the period when incurred. We incurred $0.3 million of charges related to this restructuring during the twelve months ended December 31, 2016, respectively, and these charges are included in operating expense in the consolidated statements of operations. We do not anticipate incurring additional charges related to this restructuring.</w:t>
      </w:r>
    </w:p>
    <w:p>
      <w:pPr>
        <w:spacing w:after="0" w:line="13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remaining restructuring reserve of $0.7 million is included in accrued liabilities on the consolidated balance sheet as of December 31, 2016 and is expected to be paid in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December 31, 2016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8,277</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91,247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91,247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contractual commitments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purchase orders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27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207,422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154,899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17,879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12,626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8,277</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2024.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$18.9 million, $13.8 million and $10.6 million for 2016, 2015 and 2014, respectively. Rent expense is recognized using the straight-line method over the term of the lease.</w:t>
      </w:r>
    </w:p>
    <w:p>
      <w:pPr>
        <w:spacing w:after="0" w:line="18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December 31, 2016, we had $91.2 million of open purchase orders with our independent contract manufacturers that may not be cancelable.</w:t>
      </w:r>
    </w:p>
    <w:p>
      <w:pPr>
        <w:spacing w:after="0" w:line="14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Other Contractual Commitments and Open Purchase Orders</w:t>
      </w:r>
      <w:r>
        <w:rPr>
          <w:rFonts w:ascii="Arial" w:cs="Arial" w:eastAsia="Arial" w:hAnsi="Arial"/>
          <w:sz w:val="18"/>
          <w:szCs w:val="18"/>
          <w:color w:val="auto"/>
        </w:rPr>
        <w:t>—In addition to commitments with contract manufacturers, we have open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orders and contractual obligations in the ordinary course of business for which we have not received goods or services. As of December 31, 2016, we had $50.7 million in other contractual commitments that may not be cancelable.</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fees, including contingent legal fees with related parties,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As required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issued by the FASB, we accrue for contingencies when we believe that a loss is probable and that we can reasonably estimate the amount of any such loss. With respect to outstanding legal proceedings, including the matter described below, we have not recorded any significant accruals for loss contingencies associated with such legal proceedings, based on our belief that any potential loss, while reasonably possible, is not probable and estimable. Further, a possible range of loss in this matter cannot be reasonably estimated at this time. We currently believe we have reasonable defenses with respect to legal proceedings against us.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October 2016, we received a letter from the United States Attorney's Office for the Northern District of California requesting information relating to our compliance with the Trade Agreements Act. This inquiry is ongoing and we are fully cooperating with this inquiry.</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December 2015, we received $9.0 million from a third-party for a release of claims. In addition, we agreed to a three-year covenant-not-to-sue. Of the $9.0 million consideration received, $2.0 million was used to offset contingent legal fees incurred in connection with the litigation and the remaining $7.0 million was deferred, with the short-term portion recorded 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accrued liabilities and the long-term portion recorded as other liabilities in the consolidated balance sheet. The deferral will be recognized ratably through 2018 as an offset to general and administrative expenses in the consolidated statement of operations.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and that could potentially expose us to losses in excess of the amount received under the agreement, and in some instances to potential liability that is not contractually limited. To date, there have been no awards under such indemnification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stock-based compensation plans include the 2000 Stock Plan (the “2000 Plan”), the 2008 Stock Plan (the “2008 Plan”), the 2009 Equity Incentive Plan (the “2009 Plan”) and the ESPP, as well as an equity plan assumed through the Meru acquisition. Under these plans, we have granted (or, in the case of the acquired plan, we have assumed) stock options and RSUs, including PSUs.</w:t>
      </w:r>
    </w:p>
    <w:p>
      <w:pPr>
        <w:spacing w:after="0" w:line="177" w:lineRule="exact"/>
        <w:rPr>
          <w:sz w:val="20"/>
          <w:szCs w:val="20"/>
          <w:color w:val="auto"/>
        </w:rPr>
      </w:pPr>
    </w:p>
    <w:p>
      <w:pPr>
        <w:jc w:val="both"/>
        <w:ind w:right="80" w:firstLine="648"/>
        <w:spacing w:after="0" w:line="289" w:lineRule="auto"/>
        <w:rPr>
          <w:sz w:val="20"/>
          <w:szCs w:val="20"/>
          <w:color w:val="auto"/>
        </w:rPr>
      </w:pPr>
      <w:r>
        <w:rPr>
          <w:rFonts w:ascii="Arial" w:cs="Arial" w:eastAsia="Arial" w:hAnsi="Arial"/>
          <w:sz w:val="17"/>
          <w:szCs w:val="17"/>
          <w:b w:val="1"/>
          <w:bCs w:val="1"/>
          <w:color w:val="auto"/>
        </w:rPr>
        <w:t>Stock Plans</w:t>
      </w:r>
      <w:r>
        <w:rPr>
          <w:rFonts w:ascii="Arial" w:cs="Arial" w:eastAsia="Arial" w:hAnsi="Arial"/>
          <w:sz w:val="17"/>
          <w:szCs w:val="17"/>
          <w:color w:val="auto"/>
        </w:rPr>
        <w:t>—Our board of directors adopted the 2000 Plan in 2000 and the 2008 Plan in 2008. The plans include both incentive and non-statutory</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options, which allowed us to grant options to purchase common stock to employees, directors, and contractors. During 2016, 2015 and 2014, we issued no stock options under these plans. As of December 31, 2015, no shares remain available for grant under these plans.</w:t>
      </w:r>
    </w:p>
    <w:p>
      <w:pPr>
        <w:spacing w:after="0" w:line="15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b w:val="1"/>
          <w:bCs w:val="1"/>
          <w:color w:val="auto"/>
        </w:rPr>
        <w:t>2009 Equity Incentive Plan</w:t>
      </w:r>
      <w:r>
        <w:rPr>
          <w:rFonts w:ascii="Arial" w:cs="Arial" w:eastAsia="Arial" w:hAnsi="Arial"/>
          <w:sz w:val="17"/>
          <w:szCs w:val="17"/>
          <w:color w:val="auto"/>
        </w:rPr>
        <w:t>—In 2009, our board of directors approved the 2009 Plan, which includes awards of stock options, stock appreciation</w:t>
      </w:r>
      <w:r>
        <w:rPr>
          <w:rFonts w:ascii="Arial" w:cs="Arial" w:eastAsia="Arial" w:hAnsi="Arial"/>
          <w:sz w:val="17"/>
          <w:szCs w:val="17"/>
          <w:b w:val="1"/>
          <w:bCs w:val="1"/>
          <w:color w:val="auto"/>
        </w:rPr>
        <w:t xml:space="preserve"> </w:t>
      </w:r>
      <w:r>
        <w:rPr>
          <w:rFonts w:ascii="Arial" w:cs="Arial" w:eastAsia="Arial" w:hAnsi="Arial"/>
          <w:sz w:val="17"/>
          <w:szCs w:val="17"/>
          <w:color w:val="auto"/>
        </w:rPr>
        <w:t>rights, restricted stock, RSUs and PSUs. The maximum aggregate number of shares that may be issued under the 2009 Plan is 9.0 million shares, plus any shares subject to stock options or similar awards granted under the 2008 Plan and the 2000 Plan that expire or otherwise terminate without having been exercised in full and shares issued pursuant to awards granted under the 2008 Plan and the 2000 Plan that are forfeited to or repurchased by us, with the maximum number of shares to be added to the 2009 Plan pursuant to such terminations, forfeitures and repurchases not to exceed 21.0 million shares. The shares may be authorized but unissued or reacquired, common stock. The number of shares available for issuance under the 2009 Plan is increased on the first day of each year beginning with 2011, in an amount equal to the lesser of (i) 14.0 million shares (as adjusted in connection with the stock split effected in June 2011), (ii) 5% of the outstanding shares on the last day of the immediately preceding year or (iii) such number of shares determined by our board of directors. Under the 2009 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closing stock price on the date of grant. In the case of a non-statutory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seven years and options generally vest over four years.</w:t>
      </w:r>
    </w:p>
    <w:p>
      <w:pPr>
        <w:spacing w:after="0" w:line="183"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b w:val="1"/>
          <w:bCs w:val="1"/>
          <w:color w:val="auto"/>
        </w:rPr>
        <w:t>2011 Employee Stock Purchase Plan</w:t>
      </w:r>
      <w:r>
        <w:rPr>
          <w:rFonts w:ascii="Arial" w:cs="Arial" w:eastAsia="Arial" w:hAnsi="Arial"/>
          <w:sz w:val="17"/>
          <w:szCs w:val="17"/>
          <w:color w:val="auto"/>
        </w:rPr>
        <w:t>—In June 2011, our stockholders approved the ESPP. The ESPP permits eligible employees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through regular, systematic payroll deductions, up to a maximum of 15% of employees’ compensation for each purchase period at purchase prices equal to 85% of the lesser of the fair market value of our common stock at the first trading date of the applicable offering period or the purchase date, subject to purchase limits of 4,000 shares for each purchase period or $25,000 worth of stock for each calendar year.</w:t>
      </w:r>
    </w:p>
    <w:p>
      <w:pPr>
        <w:spacing w:after="0" w:line="16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Meru 2010 Equity Incentive Plan</w:t>
      </w:r>
      <w:r>
        <w:rPr>
          <w:rFonts w:ascii="Arial" w:cs="Arial" w:eastAsia="Arial" w:hAnsi="Arial"/>
          <w:sz w:val="18"/>
          <w:szCs w:val="18"/>
          <w:color w:val="auto"/>
        </w:rPr>
        <w:t>—In connection with the Meru acquisition, we assumed and exchanged Meru’s outstanding RSUs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fair value of $2.0 million. Of the total estimated fair value, $0.5 million relating to earned equity awards was allocated to the purchase price and the remainder relating to future services is being recognized over the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remaining service period. No new equity awards can be granted under the assumed plan. As of December 31, 2016, RSUs representing 4,199 shares of common stock were outstanding under the awards assumed through the acquisition of Meru.</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2016, there were a total of 44,377,942 shares of common stock available for grant under our stock-based compensation plans.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thousands, except per share amounts):</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370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9"/>
        </w:trPr>
        <w:tc>
          <w:tcPr>
            <w:tcW w:w="7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 Grant</w:t>
            </w:r>
          </w:p>
        </w:tc>
      </w:tr>
      <w:tr>
        <w:trPr>
          <w:trHeight w:val="203"/>
        </w:trPr>
        <w:tc>
          <w:tcPr>
            <w:tcW w:w="7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Date Fair Value per</w:t>
            </w:r>
          </w:p>
        </w:tc>
      </w:tr>
      <w:tr>
        <w:trPr>
          <w:trHeight w:val="210"/>
        </w:trPr>
        <w:tc>
          <w:tcPr>
            <w:tcW w:w="752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right"/>
              <w:ind w:right="611"/>
              <w:spacing w:after="0"/>
              <w:rPr>
                <w:sz w:val="20"/>
                <w:szCs w:val="20"/>
                <w:color w:val="auto"/>
              </w:rPr>
            </w:pPr>
            <w:r>
              <w:rPr>
                <w:rFonts w:ascii="Arial" w:cs="Arial" w:eastAsia="Arial" w:hAnsi="Arial"/>
                <w:sz w:val="16"/>
                <w:szCs w:val="16"/>
                <w:b w:val="1"/>
                <w:bCs w:val="1"/>
                <w:color w:val="auto"/>
              </w:rPr>
              <w:t>Share</w:t>
            </w:r>
          </w:p>
        </w:tc>
      </w:tr>
      <w:tr>
        <w:trPr>
          <w:trHeight w:val="33"/>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2013</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23.13</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21.92</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22.23</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2014</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22.93</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39.04</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22.74</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2015</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32.97</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27.96</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30.45</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2016</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31.01</w:t>
            </w:r>
          </w:p>
        </w:tc>
      </w:tr>
      <w:tr>
        <w:trPr>
          <w:trHeight w:val="20"/>
        </w:trPr>
        <w:tc>
          <w:tcPr>
            <w:tcW w:w="7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 of December 31, 2016, total compensation expense related to unvested RSUs that were granted to employees and non-employees under the 2009 Plan, but not yet recognized, was $251.5 million. This expense is expected to be amortized on a straight-line basis over a weighted-average vesting period of 2.73 years.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38,266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28,871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10,598</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In determining the fair value of our employee stock options, we use the Black-Scholes option pricing model, which employs the following assumptions.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We believe that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historical experience for determining the expected term of the stock option award, and therefore, we calculated our expected term based on historical experience instead of using the simplified method.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of our common stock is based on our weighted-average implied and historical volatility.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—The fair value of our common stock is the closing sales price of the common stock effective on the date of grant.</w:t>
      </w:r>
    </w:p>
    <w:p>
      <w:pPr>
        <w:spacing w:after="0" w:line="2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the implied yield available on U.S. Treasury zero-coupon issues with an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weighted-average assumption is zero.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Pr>
          <w:p>
            <w:pPr>
              <w:spacing w:after="0"/>
              <w:rPr>
                <w:sz w:val="18"/>
                <w:szCs w:val="18"/>
                <w:color w:val="auto"/>
              </w:rPr>
            </w:pPr>
          </w:p>
        </w:tc>
      </w:tr>
      <w:tr>
        <w:trPr>
          <w:trHeight w:val="33"/>
        </w:trPr>
        <w:tc>
          <w:tcPr>
            <w:tcW w:w="6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7500" w:type="dxa"/>
            <w:vAlign w:val="bottom"/>
            <w:gridSpan w:val="2"/>
          </w:tcPr>
          <w:p>
            <w:pPr>
              <w:ind w:left="7100"/>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64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2014</w:t>
            </w:r>
          </w:p>
        </w:tc>
      </w:tr>
      <w:tr>
        <w:trPr>
          <w:trHeight w:val="33"/>
        </w:trPr>
        <w:tc>
          <w:tcPr>
            <w:tcW w:w="6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1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4.8</w:t>
            </w:r>
          </w:p>
        </w:tc>
      </w:tr>
      <w:tr>
        <w:trPr>
          <w:trHeight w:val="243"/>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Volatility</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Risk-free interest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Dividend rate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thousands,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2013</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15,521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(4,763)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2014</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(4,403)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(1,981)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2016</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6,187</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vest—December 31, 2016</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6,187</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45,168</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exercisable—December 31, 2016</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4,313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37,299</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December 31, 2016, for all in-the-money options. As of December 31, 2016, total</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compensation expense related to unvested stock options granted to employees but not yet recognized was $15.0 million. This expense is expected to be amortized on a straight-line basis over a weighted-average period of 2.8 years.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113,786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76,731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17,098</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summarizes information about outstanding and exercisable stock options as of December 31, 2016, as follows (in thousands, except exercise prices and contractual life):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Options Outstanding</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4"/>
          </w:tcPr>
          <w:p>
            <w:pPr>
              <w:jc w:val="right"/>
              <w:ind w:right="1074"/>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Weighted-</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4"/>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4"/>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w:t>
            </w:r>
          </w:p>
        </w:tc>
        <w:tc>
          <w:tcPr>
            <w:tcW w:w="1840" w:type="dxa"/>
            <w:vAlign w:val="bottom"/>
          </w:tcPr>
          <w:p>
            <w:pPr>
              <w:jc w:val="right"/>
              <w:ind w:right="5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Exercise</w:t>
            </w:r>
          </w:p>
        </w:tc>
        <w:tc>
          <w:tcPr>
            <w:tcW w:w="1800" w:type="dxa"/>
            <w:vAlign w:val="bottom"/>
          </w:tcPr>
          <w:p>
            <w:pPr>
              <w:jc w:val="right"/>
              <w:ind w:right="51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4"/>
              <w:spacing w:after="0"/>
              <w:rPr>
                <w:sz w:val="20"/>
                <w:szCs w:val="20"/>
                <w:color w:val="auto"/>
              </w:rPr>
            </w:pPr>
            <w:r>
              <w:rPr>
                <w:rFonts w:ascii="Arial" w:cs="Arial" w:eastAsia="Arial" w:hAnsi="Arial"/>
                <w:sz w:val="16"/>
                <w:szCs w:val="16"/>
                <w:b w:val="1"/>
                <w:bCs w:val="1"/>
                <w:color w:val="auto"/>
                <w:w w:val="88"/>
              </w:rPr>
              <w:t>Exercise</w:t>
            </w:r>
          </w:p>
        </w:tc>
      </w:tr>
      <w:tr>
        <w:trPr>
          <w:trHeight w:val="210"/>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Prices</w:t>
            </w:r>
          </w:p>
        </w:tc>
        <w:tc>
          <w:tcPr>
            <w:tcW w:w="1840" w:type="dxa"/>
            <w:vAlign w:val="bottom"/>
          </w:tcPr>
          <w:p>
            <w:pPr>
              <w:jc w:val="right"/>
              <w:ind w:right="392"/>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34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Price</w:t>
            </w:r>
          </w:p>
        </w:tc>
        <w:tc>
          <w:tcPr>
            <w:tcW w:w="1800" w:type="dxa"/>
            <w:vAlign w:val="bottom"/>
          </w:tcPr>
          <w:p>
            <w:pPr>
              <w:jc w:val="right"/>
              <w:ind w:right="413"/>
              <w:spacing w:after="0"/>
              <w:rPr>
                <w:sz w:val="20"/>
                <w:szCs w:val="20"/>
                <w:color w:val="auto"/>
              </w:rPr>
            </w:pPr>
            <w:r>
              <w:rPr>
                <w:rFonts w:ascii="Arial" w:cs="Arial" w:eastAsia="Arial" w:hAnsi="Arial"/>
                <w:sz w:val="16"/>
                <w:szCs w:val="16"/>
                <w:b w:val="1"/>
                <w:bCs w:val="1"/>
                <w:color w:val="auto"/>
              </w:rPr>
              <w:t>Exercisable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right="274"/>
              <w:spacing w:after="0"/>
              <w:rPr>
                <w:sz w:val="20"/>
                <w:szCs w:val="20"/>
                <w:color w:val="auto"/>
              </w:rPr>
            </w:pPr>
            <w:r>
              <w:rPr>
                <w:rFonts w:ascii="Arial" w:cs="Arial" w:eastAsia="Arial" w:hAnsi="Arial"/>
                <w:sz w:val="16"/>
                <w:szCs w:val="16"/>
                <w:b w:val="1"/>
                <w:bCs w:val="1"/>
                <w:color w:val="auto"/>
                <w:w w:val="91"/>
              </w:rPr>
              <w:t>Price</w:t>
            </w:r>
          </w:p>
        </w:tc>
      </w:tr>
      <w:tr>
        <w:trPr>
          <w:trHeight w:val="33"/>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$8.43–8.99</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w:t>
            </w:r>
          </w:p>
        </w:tc>
      </w:tr>
      <w:tr>
        <w:trPr>
          <w:trHeight w:val="243"/>
        </w:trPr>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15.28–19.94</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16.43</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20.13–24.92</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21.08</w:t>
            </w:r>
          </w:p>
        </w:tc>
      </w:tr>
      <w:tr>
        <w:trPr>
          <w:trHeight w:val="243"/>
        </w:trPr>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26.49–26.70</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1,248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26.70</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31.39–33.31</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32.92</w:t>
            </w:r>
          </w:p>
        </w:tc>
      </w:tr>
      <w:tr>
        <w:trPr>
          <w:trHeight w:val="243"/>
        </w:trPr>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38.73–48.83</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46.25</w:t>
            </w:r>
          </w:p>
        </w:tc>
      </w:tr>
      <w:tr>
        <w:trPr>
          <w:trHeight w:val="27"/>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9"/>
        </w:trPr>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6,187</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06"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340" w:type="dxa"/>
            <w:vAlign w:val="bottom"/>
            <w:gridSpan w:val="2"/>
          </w:tcPr>
          <w:p>
            <w:pPr>
              <w:ind w:left="6880"/>
              <w:spacing w:after="0"/>
              <w:rPr>
                <w:sz w:val="20"/>
                <w:szCs w:val="20"/>
                <w:color w:val="auto"/>
              </w:rPr>
            </w:pPr>
            <w:r>
              <w:rPr>
                <w:rFonts w:ascii="Arial" w:cs="Arial" w:eastAsia="Arial" w:hAnsi="Arial"/>
                <w:sz w:val="18"/>
                <w:szCs w:val="18"/>
                <w:b w:val="1"/>
                <w:bCs w:val="1"/>
                <w:color w:val="auto"/>
              </w:rPr>
              <w:t>2016</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r>
      <w:tr>
        <w:trPr>
          <w:trHeight w:val="27"/>
        </w:trPr>
        <w:tc>
          <w:tcPr>
            <w:tcW w:w="6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Dividend rate</w:t>
            </w:r>
          </w:p>
        </w:tc>
        <w:tc>
          <w:tcPr>
            <w:tcW w:w="1760" w:type="dxa"/>
            <w:vAlign w:val="bottom"/>
            <w:gridSpan w:val="3"/>
          </w:tcPr>
          <w:p>
            <w:pPr>
              <w:jc w:val="right"/>
              <w:ind w:right="1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thousands, except per share amounts):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6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Shares issued under the ESPP</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6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price per share issued</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21.01</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r>
      <w:tr>
        <w:trPr>
          <w:trHeight w:val="27"/>
        </w:trPr>
        <w:tc>
          <w:tcPr>
            <w:tcW w:w="6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Shares Reserved for Future Issuances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common stock reserved for future issuance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1"/>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1"/>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stock options and RSUs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Reserved for future equity award grants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40,312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Reserved for future ESPP issuances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Total common stock reserved for future issuances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60,074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Stock-based Compensation Expense</w:t>
            </w: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660"/>
              <w:spacing w:after="0"/>
              <w:rPr>
                <w:sz w:val="20"/>
                <w:szCs w:val="20"/>
                <w:color w:val="auto"/>
              </w:rPr>
            </w:pPr>
            <w:r>
              <w:rPr>
                <w:rFonts w:ascii="Arial" w:cs="Arial" w:eastAsia="Arial" w:hAnsi="Arial"/>
                <w:sz w:val="18"/>
                <w:szCs w:val="18"/>
                <w:color w:val="auto"/>
                <w:w w:val="96"/>
              </w:rPr>
              <w:t>Stock-based compensation expense is included in costs and expenses as follows (in thousands):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gridSpan w:val="5"/>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product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Cost of service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17,264</w:t>
            </w:r>
          </w:p>
        </w:tc>
        <w:tc>
          <w:tcPr>
            <w:tcW w:w="0" w:type="dxa"/>
            <w:vAlign w:val="bottom"/>
          </w:tcPr>
          <w:p>
            <w:pPr>
              <w:spacing w:after="0"/>
              <w:rPr>
                <w:sz w:val="1"/>
                <w:szCs w:val="1"/>
                <w:color w:val="auto"/>
              </w:rPr>
            </w:pP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26,744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57"/>
        </w:trPr>
        <w:tc>
          <w:tcPr>
            <w:tcW w:w="66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122,423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95,088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58,994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60" w:type="dxa"/>
            <w:vAlign w:val="bottom"/>
            <w:gridSpan w:val="5"/>
          </w:tcPr>
          <w:p>
            <w:pPr>
              <w:jc w:val="right"/>
              <w:ind w:right="170"/>
              <w:spacing w:after="0"/>
              <w:rPr>
                <w:sz w:val="20"/>
                <w:szCs w:val="20"/>
                <w:color w:val="auto"/>
              </w:rPr>
            </w:pPr>
            <w:r>
              <w:rPr>
                <w:rFonts w:ascii="Arial" w:cs="Arial" w:eastAsia="Arial" w:hAnsi="Arial"/>
                <w:sz w:val="16"/>
                <w:szCs w:val="16"/>
                <w:b w:val="1"/>
                <w:bCs w:val="1"/>
                <w:color w:val="auto"/>
                <w:w w:val="90"/>
              </w:rPr>
              <w:t>Year Ended December 31,</w:t>
            </w:r>
          </w:p>
        </w:tc>
        <w:tc>
          <w:tcPr>
            <w:tcW w:w="122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2014</w:t>
            </w: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RSUs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107,124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37,068</w:t>
            </w: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11,425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17,555</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ESPP</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w:t>
            </w:r>
          </w:p>
        </w:tc>
      </w:tr>
      <w:tr>
        <w:trPr>
          <w:trHeight w:val="257"/>
        </w:trPr>
        <w:tc>
          <w:tcPr>
            <w:tcW w:w="66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122,423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95,088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58,994</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operations is as follows (in thousands):</w:t>
      </w:r>
    </w:p>
    <w:p>
      <w:pPr>
        <w:spacing w:after="0" w:line="1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29,190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25,189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11,086</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January 2016, our board of directors approved the 2016 Repurchase Program which authorizes the repurchase of up to $200.0 million of our outstanding common stock through December 31, 2017. In October 2016, our board of directors authorized the purchase of an additional $100.0 million of shares of our common stock under the 2016 Repurchase Program, increasing our current authorization to $300.0 million through December 31, 2017. Under the 2016 Repurchase Program, share repurchases may be made by us from time to time in privately negotiated transactions or in open market transactions. The 2016 Repurchase Program does not require us to purchase a minimum number of shares, and may be suspended, modified or discontinued at any time without prior notice. In 2016, we repurchased 3.9 million shares of common stock under the 2016 Repurchase Program in open market transactions for an aggregate purchase price of $110.8 million. As of December 31, 2016, $189.2 million remained available for future share repurchases under the 2016 Repurchase Program.</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660"/>
              <w:spacing w:after="0"/>
              <w:rPr>
                <w:sz w:val="20"/>
                <w:szCs w:val="20"/>
                <w:color w:val="auto"/>
              </w:rPr>
            </w:pPr>
            <w:r>
              <w:rPr>
                <w:rFonts w:ascii="Arial" w:cs="Arial" w:eastAsia="Arial" w:hAnsi="Arial"/>
                <w:sz w:val="18"/>
                <w:szCs w:val="18"/>
                <w:color w:val="auto"/>
              </w:rPr>
              <w:t>Income before income taxes consisted of the following (in thousands):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7"/>
          </w:tcPr>
          <w:p>
            <w:pPr>
              <w:jc w:val="center"/>
              <w:ind w:left="771"/>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center"/>
              <w:ind w:right="271"/>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(49,707)</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35,778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92,855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54,442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25,771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before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43,148</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17,005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61,549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w w:val="99"/>
              </w:rPr>
              <w:t>The provision for income taxes consisted of the following (in thousands):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center"/>
              <w:ind w:right="27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7,904</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9,864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17,717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17,829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26,536</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7"/>
        </w:trPr>
        <w:tc>
          <w:tcPr>
            <w:tcW w:w="6400" w:type="dxa"/>
            <w:vAlign w:val="bottom"/>
          </w:tcPr>
          <w:p>
            <w:pPr>
              <w:ind w:left="920"/>
              <w:spacing w:after="0"/>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36,206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1420" w:type="dxa"/>
            <w:vAlign w:val="bottom"/>
            <w:gridSpan w:val="10"/>
          </w:tcPr>
          <w:p>
            <w:pPr>
              <w:ind w:left="660"/>
              <w:spacing w:after="0"/>
              <w:rPr>
                <w:sz w:val="20"/>
                <w:szCs w:val="20"/>
                <w:color w:val="auto"/>
              </w:rPr>
            </w:pPr>
            <w:r>
              <w:rPr>
                <w:rFonts w:ascii="Arial" w:cs="Arial" w:eastAsia="Arial" w:hAnsi="Arial"/>
                <w:sz w:val="18"/>
                <w:szCs w:val="18"/>
                <w:color w:val="auto"/>
                <w:w w:val="96"/>
              </w:rPr>
              <w:t>The provision for income taxes differs from the amount computed by applying the statutory federal income tax rate as follows (in thousands):</w:t>
            </w:r>
          </w:p>
        </w:tc>
        <w:tc>
          <w:tcPr>
            <w:tcW w:w="0" w:type="dxa"/>
            <w:vAlign w:val="bottom"/>
          </w:tcPr>
          <w:p>
            <w:pPr>
              <w:spacing w:after="0"/>
              <w:rPr>
                <w:sz w:val="1"/>
                <w:szCs w:val="1"/>
                <w:color w:val="auto"/>
              </w:rPr>
            </w:pPr>
          </w:p>
        </w:tc>
      </w:tr>
      <w:tr>
        <w:trPr>
          <w:trHeight w:val="372"/>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center"/>
              <w:ind w:right="27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tax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15,096</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7,367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taxes—net of federal benefit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tax credit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income taxed at different rates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withholding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dividend distribution</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9,647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10,961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9,018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36,206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Significant permanent differences arise from the portion of stock-based compensation expense that is not expected to generate a tax deduction, such as stock-based compensation expense on stock option grants to certain foreign employees, offset by the actual tax benefits in the current periods from disqualifying dispositions of shares held by our U.S. employees. For stock options exercised by our U.S. employees, we receive an income tax benefit calculated as the difference between the fair market value of the stock issued at the time of the exercise and the option price, tax effected. In 2016, we early adopted ASU 2016-09 and all the excess tax benefits were recognized in income tax provision. For 2015, income tax payable was reduced by excess tax benefits from the exercise or vesting of stock-based awards of $1.3 million. For 2014, income tax payable was not reduced</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by excess tax benefits from the exercise or vesting of stock-based awards, therefore we did not recognize a significant benefit in additional paid-in-capital.</w:t>
      </w:r>
    </w:p>
    <w:p>
      <w:pPr>
        <w:spacing w:after="0" w:line="24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2016, we repatriated $55.0 million of foreign earnings and profits. A decision was made to bring this cash back to the U.S. as it carried a foreign tax credit of $22.3 million.</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Our 2015 income tax provision reflected a $1.2 million tax benefit due to a recent U.S. Tax Court opinion involving an independent third party filed on July 27, 2015. Based on the findings of the U.S. Tax Court, we recognized the tax benefit for excluding the share-based compensation from intercompany charges in prior periods.</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During 2015, we completed a corporate reorganization to convert our Canadian company to a branch of our U.S. company resulting on a $27.6 million deemed dividend distribution. The tax impact of the Canadian deemed dividend distribution of $9.6 million was partially offset by an additional tax benefit of $6.4 million due to the deferred tax benefit of the Canadian stock based compensation expense.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as of the years ended are presented below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2015</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Net operating loss carryforward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24,348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9,757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39,509</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Nondeductible reserves and accruals</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27,029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22,240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General business credit carryforward</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62,705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22,121</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22,714</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182,745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119,216</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would be able to realize the benefits of our deferred tax assets in the future.</w:t>
      </w:r>
    </w:p>
    <w:p>
      <w:pPr>
        <w:spacing w:after="0" w:line="14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of December 31, 2016, we had $44.9 million in federal net operating loss carryforwards to offset future income, which is limited by Section 382 of the Internal Revenue Code (“Section 382”) due to the acquisition of Meru and AccelOps. With the acquisition of Meru, we had $22.6 million in federal net operating loss carryforwards which is limited by Section 382 available from year 2020. With the acquisition of AccelOps, we had $22.3 million in federal net operating loss carryforwards which is limited by Section 382 available from year 2016. We had $54.2 million federal tax credits with certain amount available to carryback and claim federal tax refunds from prior year and the rest available to offset future federal taxes. As of December 31, 2016, we had $47.3 million in California net operating loss carryforwards, $9.9 million of which can be used to offset future income and which will not expire until 2031. With the acquisition of Meru and AccelOps, we also had $22.1 million and $15.3 million in California net operating loss carryforwards, respectively, which is subject to Section 382 limitation. We had state tax credit carryforwards of $17.4 million available to offset our future state taxes. The state credits carry forward indefinitely.</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policy with respect to undistributed foreign subsidiaries’ earnings is to consider those earnings to be indefinitely reinvested and, accordingly, no related provision of U.S. federal and state income taxes has been provided on such earnings. Upon distribution of those earnings in the form of dividends or otherwise, we would be subject to both U.S. income taxes (subject to an adjustment for foreign tax credits) and withholding taxes in the various foreign countries. As of December 31, 2016, we have not recorded U.S. income tax on $45.4 million of foreign earnings that are deemed to be permanently reinvested overseas.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operate under a tax incentive agreement in Singapore, which is effective through December 31, 2021, and may be extended if certain additional requirements are satisfied. The tax incentive agreement is conditional upon our meeting certain employment and investment thresholds.</w:t>
      </w:r>
    </w:p>
    <w:p>
      <w:pPr>
        <w:spacing w:after="0" w:line="14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December 31, 2016, we had $65.5 million of unrecognized tax benefits, of which, if recognized, $64.1 million would favorably affect our effective tax rate. Our policy is to include accrued interest and penalties related to uncertain tax benefits in income tax expense. As of December 31, 2016, 2015 and 2014, accrued interest and penalties were $9.5 million, $5.5 million and $1.7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changes in the balance of unrecognized tax benefits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59,672</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29,604</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increases for tax positions related to the current year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14,547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increases for tax positions related to the prior year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decreases for tax positions related to prior year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decreases for tax positions related to expiration of statute of limitations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tax benefits,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65,534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59,672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44,151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December 31, 2016, 2015 and 2014, $68.6 million, $60.6 million and $45.1 million, respectively, of the amounts reflected above were recorded as Income tax liabilities—non-current in our consolidated balance sheet.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there was no unrecognized tax benefits that we expect would change significantly over the next 12 months.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file income tax returns in the U.S. federal jurisdiction, and various U.S. state and foreign jurisdictions. The statute of limitations is open for years that generated state net operating loss carryforwards and after 2009 for state jurisdictions. Additionally, we have foreign net operating losses that have an indefinite life. Generally, we are no longer subject to non-U.S. income tax examinations by tax authorities for tax years prior to 2009. We are no longer subject to examination by U.S federal income tax authorities for tax years prior to 2012. We are currently under examination by U.S federal income tax authorities for tax year 2014, 2013 and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PLANS</w:t>
      </w:r>
    </w:p>
    <w:p>
      <w:pPr>
        <w:spacing w:after="0" w:line="229"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the 401(k) Plans and RRSP for 2016, 2015 and 2014 were $4.4 million, $3.5 million and $2.5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net by geographic region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0" w:type="dxa"/>
            <w:vAlign w:val="bottom"/>
            <w:gridSpan w:val="4"/>
          </w:tcPr>
          <w:p>
            <w:pPr>
              <w:ind w:left="40"/>
              <w:spacing w:after="0"/>
              <w:rPr>
                <w:sz w:val="20"/>
                <w:szCs w:val="20"/>
                <w:color w:val="auto"/>
              </w:rPr>
            </w:pPr>
            <w:r>
              <w:rPr>
                <w:rFonts w:ascii="Arial" w:cs="Arial" w:eastAsia="Arial" w:hAnsi="Arial"/>
                <w:sz w:val="16"/>
                <w:szCs w:val="16"/>
                <w:b w:val="1"/>
                <w:bCs w:val="1"/>
                <w:color w:val="auto"/>
              </w:rPr>
              <w:t>Revenue</w:t>
            </w:r>
          </w:p>
        </w:tc>
        <w:tc>
          <w:tcPr>
            <w:tcW w:w="380" w:type="dxa"/>
            <w:vAlign w:val="bottom"/>
          </w:tcPr>
          <w:p>
            <w:pPr>
              <w:spacing w:after="0"/>
              <w:rPr>
                <w:sz w:val="17"/>
                <w:szCs w:val="17"/>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42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332,194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279,564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200,294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Other Americas</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66,026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54,124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42,397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435,282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324,659</w:t>
            </w:r>
          </w:p>
        </w:tc>
        <w:tc>
          <w:tcPr>
            <w:tcW w:w="0" w:type="dxa"/>
            <w:vAlign w:val="bottom"/>
          </w:tcPr>
          <w:p>
            <w:pPr>
              <w:spacing w:after="0"/>
              <w:rPr>
                <w:sz w:val="1"/>
                <w:szCs w:val="1"/>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EMEA</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477,393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366,018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270,537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261,344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207,968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175,168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360" w:type="dxa"/>
            <w:vAlign w:val="bottom"/>
            <w:gridSpan w:val="3"/>
          </w:tcPr>
          <w:p>
            <w:pPr>
              <w:ind w:left="46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1,275,443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1,009,268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770,364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4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24"/>
                <w:szCs w:val="24"/>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6"/>
        </w:trPr>
        <w:tc>
          <w:tcPr>
            <w:tcW w:w="640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51"/>
              <w:spacing w:after="0" w:line="176" w:lineRule="exact"/>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551"/>
              <w:spacing w:after="0" w:line="176" w:lineRule="exact"/>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400" w:type="dxa"/>
            <w:vAlign w:val="bottom"/>
            <w:gridSpan w:val="4"/>
            <w:vMerge w:val="restart"/>
          </w:tcPr>
          <w:p>
            <w:pPr>
              <w:ind w:left="40"/>
              <w:spacing w:after="0"/>
              <w:rPr>
                <w:sz w:val="20"/>
                <w:szCs w:val="20"/>
                <w:color w:val="auto"/>
              </w:rPr>
            </w:pPr>
            <w:r>
              <w:rPr>
                <w:rFonts w:ascii="Arial" w:cs="Arial" w:eastAsia="Arial" w:hAnsi="Arial"/>
                <w:sz w:val="18"/>
                <w:szCs w:val="18"/>
                <w:color w:val="auto"/>
              </w:rPr>
              <w:t>Americas:</w:t>
            </w: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400" w:type="dxa"/>
            <w:vAlign w:val="bottom"/>
            <w:gridSpan w:val="4"/>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Other Americas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13,488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70,036</w:t>
            </w:r>
          </w:p>
        </w:tc>
        <w:tc>
          <w:tcPr>
            <w:tcW w:w="0" w:type="dxa"/>
            <w:vAlign w:val="bottom"/>
          </w:tcPr>
          <w:p>
            <w:pPr>
              <w:spacing w:after="0"/>
              <w:rPr>
                <w:sz w:val="1"/>
                <w:szCs w:val="1"/>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EMEA:</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Other EMEA</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EMEA</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APAC</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7,715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63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137,249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91,067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loss for 2016 and 2015 (in thousands):</w:t>
      </w:r>
    </w:p>
    <w:p>
      <w:pPr>
        <w:spacing w:after="0" w:line="38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Tax benefit 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Unrealized Losses on</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Investments</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Amounts reclassified from accumulated other comprehensive income</w:t>
            </w: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9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2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94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Tax benefit related</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to 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Losses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Investments</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Amounts reclassified from accumulated other comprehensive loss for unrealized losses on investments and tax provision related to items of other comprehensive income or loss is recorded in Other expense—net and in Provision for income taxes,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son of one member of our board of directors is a partner of an outside law firm that we utilize for certain complex litigation matters. Expenses for legal services provided by the law firm related to matters that arose subsequent to the member joining our board of directors were $0.4 million, $7.2 million and $1.7 million in 2016, 2015 and 2014, respectively. Of such amounts, $2.5 million was incurred under contingent fee arrangements in 2015. There were no expenses incurred under contingent fee arrangements in 2016 and 2014. Amounts due and payable to the law firm were $0.1 million and $5.3 million as of December 31, 2016 and December 31, 2015,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December 31, 2016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Report on Internal Control Over Financial Reporting</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set forth by the Committee of Sponsoring Organizations of the Treadway Commission.</w:t>
      </w:r>
    </w:p>
    <w:p>
      <w:pPr>
        <w:spacing w:after="0" w:line="14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December 31, 2016. Management reviewed the results of its assessment with our Audit Committee. The effectiveness of our internal control over financial reporting as of December 31, 2016 has been audited by Deloitte &amp; Touche LLP, an independent registered public accounting firm, as stated in its report, which appears in this Item under the heading “Report of Independent Registered Public Accounting Firm.”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July 2016, we completed the implementation of a new ERP system. As a result of this implementation, we modified certain existing control processes as well as implemented new control processes to adapt to changes for the new ERP system. We believe that we have taken the necessary steps to monitor and maintain appropriate internal control over financial reporting. There were no changes in our internal control over financial reporting (as defined in Rules 13a-15(f) or 15d-15(f) under the Exchange Act) during the fourth quarter of 2016 that have materially affected, or are reasonably likely to materially affect, our internal control over financial reporting.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200" w:lineRule="exact"/>
        <w:rPr>
          <w:sz w:val="20"/>
          <w:szCs w:val="20"/>
          <w:color w:val="auto"/>
        </w:rPr>
      </w:pPr>
    </w:p>
    <w:p>
      <w:pPr>
        <w:spacing w:after="0" w:line="22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Fortinet, Inc. and subsidiaries (the “Company”) as of December 31, 2016,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2016 of the Company and our report dated March 1, 2017 expressed an unqualified opinion on those financial statements 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2" w:right="25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2017 Annual Meeting of Stockholders to be filed with the SEC within 120 days after the end of the fiscal year covered by this Annual Report on Form 10-K.</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2017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2017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2017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2017 Annual Meeting of Stockholders to be filed with the SEC within 120 days after the end of the fiscal year covered by this Annual Report on Form 10-K.</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121" w:right="29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5" w:lineRule="exact"/>
        <w:rPr>
          <w:sz w:val="20"/>
          <w:szCs w:val="20"/>
          <w:color w:val="auto"/>
        </w:rPr>
      </w:pPr>
    </w:p>
    <w:p>
      <w:pPr>
        <w:ind w:left="1300" w:right="220" w:hanging="644"/>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information concerning Fortinet’s financial statements and the Report of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Financial Statement Schedule: </w:t>
      </w:r>
      <w:r>
        <w:rPr>
          <w:rFonts w:ascii="Arial" w:cs="Arial" w:eastAsia="Arial" w:hAnsi="Arial"/>
          <w:sz w:val="17"/>
          <w:szCs w:val="17"/>
          <w:color w:val="auto"/>
        </w:rPr>
        <w:t>The following financial statement schedule of Fortinet, Inc., for the fiscal years ended December 31,</w:t>
      </w:r>
    </w:p>
    <w:p>
      <w:pPr>
        <w:spacing w:after="0" w:line="34" w:lineRule="exact"/>
        <w:rPr>
          <w:rFonts w:ascii="Arial" w:cs="Arial" w:eastAsia="Arial" w:hAnsi="Arial"/>
          <w:sz w:val="17"/>
          <w:szCs w:val="17"/>
          <w:i w:val="1"/>
          <w:iCs w:val="1"/>
          <w:color w:val="auto"/>
        </w:rPr>
      </w:pPr>
    </w:p>
    <w:p>
      <w:pPr>
        <w:ind w:left="130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2016, 2015 and 2014, is filed as part of this Annual Report on Form 10-K and should be read in conjunction with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122" w:right="27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76"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2014</w:t>
            </w: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Returns Reserve and Allowance for Doubtful Accounts: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Beginning balance</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6,204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4,605</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Charged to costs and expenses, net of deductions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1,599</w:t>
            </w:r>
          </w:p>
        </w:tc>
      </w:tr>
      <w:tr>
        <w:trPr>
          <w:trHeight w:val="257"/>
        </w:trPr>
        <w:tc>
          <w:tcPr>
            <w:tcW w:w="6400" w:type="dxa"/>
            <w:vAlign w:val="bottom"/>
          </w:tcPr>
          <w:p>
            <w:pPr>
              <w:ind w:left="500"/>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11,235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6,204</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Annual Report on Form 10-K by reference, the exhibits listed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Exhibit Index immediately following the signature page of this Annual Report on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 list in the Exhibit Index immediately following the signature page of this Annual Report on Form 10-K is incorporated herein by reference as the list of exhibits required by this Item 15(b).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Financial Statement Schedules: See Item 15(a) above.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 2017.</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720" w:val="left"/>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Andrew Del Matto,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120" w:val="left"/>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Chief Accounting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Accounting Officer)</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Ken Xie and Andrew Del Matto,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121" w:right="29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260" w:type="dxa"/>
            <w:vAlign w:val="bottom"/>
            <w:gridSpan w:val="3"/>
          </w:tcPr>
          <w:p>
            <w:pPr>
              <w:ind w:left="1140"/>
              <w:spacing w:after="0"/>
              <w:rPr>
                <w:sz w:val="20"/>
                <w:szCs w:val="20"/>
                <w:color w:val="auto"/>
              </w:rPr>
            </w:pPr>
            <w:r>
              <w:rPr>
                <w:rFonts w:ascii="Arial" w:cs="Arial" w:eastAsia="Arial" w:hAnsi="Arial"/>
                <w:sz w:val="18"/>
                <w:szCs w:val="18"/>
                <w:b w:val="1"/>
                <w:bCs w:val="1"/>
                <w:color w:val="auto"/>
              </w:rPr>
              <w:t>Date</w:t>
            </w:r>
          </w:p>
        </w:tc>
      </w:tr>
      <w:tr>
        <w:trPr>
          <w:trHeight w:val="20"/>
        </w:trPr>
        <w:tc>
          <w:tcPr>
            <w:tcW w:w="1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15"/>
        </w:trPr>
        <w:tc>
          <w:tcPr>
            <w:tcW w:w="1220" w:type="dxa"/>
            <w:vAlign w:val="bottom"/>
          </w:tcPr>
          <w:p>
            <w:pPr>
              <w:spacing w:after="0"/>
              <w:rPr>
                <w:sz w:val="24"/>
                <w:szCs w:val="24"/>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/s/</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Ken Xie</w:t>
            </w:r>
          </w:p>
        </w:tc>
        <w:tc>
          <w:tcPr>
            <w:tcW w:w="1620" w:type="dxa"/>
            <w:vAlign w:val="bottom"/>
          </w:tcPr>
          <w:p>
            <w:pPr>
              <w:spacing w:after="0"/>
              <w:rPr>
                <w:sz w:val="24"/>
                <w:szCs w:val="24"/>
                <w:color w:val="auto"/>
              </w:rPr>
            </w:pP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Chairman</w:t>
            </w:r>
          </w:p>
        </w:tc>
        <w:tc>
          <w:tcPr>
            <w:tcW w:w="1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0"/>
              </w:rPr>
              <w:t>March 1, 2017</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8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6"/>
              </w:rPr>
              <w:t>Ken Xie</w:t>
            </w: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20" w:type="dxa"/>
            <w:vAlign w:val="bottom"/>
          </w:tcPr>
          <w:p>
            <w:pPr>
              <w:ind w:left="980"/>
              <w:spacing w:after="0"/>
              <w:rPr>
                <w:sz w:val="20"/>
                <w:szCs w:val="20"/>
                <w:color w:val="auto"/>
              </w:rPr>
            </w:pPr>
            <w:r>
              <w:rPr>
                <w:rFonts w:ascii="Arial" w:cs="Arial" w:eastAsia="Arial" w:hAnsi="Arial"/>
                <w:sz w:val="18"/>
                <w:szCs w:val="18"/>
                <w:color w:val="auto"/>
              </w:rPr>
              <w:t>/s/</w:t>
            </w:r>
          </w:p>
        </w:tc>
        <w:tc>
          <w:tcPr>
            <w:tcW w:w="2780" w:type="dxa"/>
            <w:vAlign w:val="bottom"/>
            <w:gridSpan w:val="5"/>
          </w:tcPr>
          <w:p>
            <w:pPr>
              <w:jc w:val="center"/>
              <w:ind w:right="1240"/>
              <w:spacing w:after="0"/>
              <w:rPr>
                <w:sz w:val="20"/>
                <w:szCs w:val="20"/>
                <w:color w:val="auto"/>
              </w:rPr>
            </w:pPr>
            <w:r>
              <w:rPr>
                <w:rFonts w:ascii="Arial" w:cs="Arial" w:eastAsia="Arial" w:hAnsi="Arial"/>
                <w:sz w:val="18"/>
                <w:szCs w:val="18"/>
                <w:color w:val="auto"/>
                <w:w w:val="93"/>
              </w:rPr>
              <w:t>Andrew Del Matto</w:t>
            </w: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0"/>
              </w:rPr>
              <w:t>March 1, 2017</w:t>
            </w:r>
          </w:p>
        </w:tc>
      </w:tr>
      <w:tr>
        <w:trPr>
          <w:trHeight w:val="27"/>
        </w:trPr>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780" w:type="dxa"/>
            <w:vAlign w:val="bottom"/>
            <w:gridSpan w:val="5"/>
          </w:tcPr>
          <w:p>
            <w:pPr>
              <w:jc w:val="center"/>
              <w:ind w:right="1220"/>
              <w:spacing w:after="0"/>
              <w:rPr>
                <w:sz w:val="20"/>
                <w:szCs w:val="20"/>
                <w:color w:val="auto"/>
              </w:rPr>
            </w:pPr>
            <w:r>
              <w:rPr>
                <w:rFonts w:ascii="Arial" w:cs="Arial" w:eastAsia="Arial" w:hAnsi="Arial"/>
                <w:sz w:val="18"/>
                <w:szCs w:val="18"/>
                <w:b w:val="1"/>
                <w:bCs w:val="1"/>
                <w:color w:val="auto"/>
                <w:w w:val="94"/>
              </w:rPr>
              <w:t>Andrew Del Matto</w:t>
            </w: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gridSpan w:val="2"/>
          </w:tcPr>
          <w:p>
            <w:pPr>
              <w:ind w:left="1180"/>
              <w:spacing w:after="0"/>
              <w:rPr>
                <w:sz w:val="20"/>
                <w:szCs w:val="20"/>
                <w:color w:val="auto"/>
              </w:rPr>
            </w:pPr>
            <w:r>
              <w:rPr>
                <w:rFonts w:ascii="Arial" w:cs="Arial" w:eastAsia="Arial" w:hAnsi="Arial"/>
                <w:sz w:val="18"/>
                <w:szCs w:val="18"/>
                <w:color w:val="auto"/>
              </w:rPr>
              <w:t>/s/</w:t>
            </w: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color w:val="auto"/>
                <w:w w:val="88"/>
              </w:rPr>
              <w:t>Keith Jensen</w:t>
            </w: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Chief Accounting Officer</w:t>
            </w:r>
          </w:p>
        </w:tc>
        <w:tc>
          <w:tcPr>
            <w:tcW w:w="1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0"/>
              </w:rPr>
              <w:t>March 1, 2017</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89"/>
              </w:rPr>
              <w:t>Keith Jensen</w:t>
            </w: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(Principal Accounting Officer)</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gridSpan w:val="2"/>
          </w:tcPr>
          <w:p>
            <w:pPr>
              <w:ind w:left="1200"/>
              <w:spacing w:after="0"/>
              <w:rPr>
                <w:sz w:val="20"/>
                <w:szCs w:val="20"/>
                <w:color w:val="auto"/>
              </w:rPr>
            </w:pPr>
            <w:r>
              <w:rPr>
                <w:rFonts w:ascii="Arial" w:cs="Arial" w:eastAsia="Arial" w:hAnsi="Arial"/>
                <w:sz w:val="18"/>
                <w:szCs w:val="18"/>
                <w:color w:val="auto"/>
                <w:w w:val="94"/>
              </w:rPr>
              <w:t>/s/</w:t>
            </w:r>
          </w:p>
        </w:tc>
        <w:tc>
          <w:tcPr>
            <w:tcW w:w="2600" w:type="dxa"/>
            <w:vAlign w:val="bottom"/>
            <w:gridSpan w:val="4"/>
          </w:tcPr>
          <w:p>
            <w:pPr>
              <w:jc w:val="center"/>
              <w:ind w:right="1420"/>
              <w:spacing w:after="0"/>
              <w:rPr>
                <w:sz w:val="20"/>
                <w:szCs w:val="20"/>
                <w:color w:val="auto"/>
              </w:rPr>
            </w:pPr>
            <w:r>
              <w:rPr>
                <w:rFonts w:ascii="Arial" w:cs="Arial" w:eastAsia="Arial" w:hAnsi="Arial"/>
                <w:sz w:val="18"/>
                <w:szCs w:val="18"/>
                <w:color w:val="auto"/>
                <w:w w:val="96"/>
              </w:rPr>
              <w:t>Michael Xie</w:t>
            </w: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President, Chief Technology Officer and Director</w:t>
            </w:r>
          </w:p>
        </w:tc>
        <w:tc>
          <w:tcPr>
            <w:tcW w:w="1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0"/>
              </w:rPr>
              <w:t>March 1, 2017</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3"/>
              </w:rPr>
              <w:t>Michael Xie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3"/>
              </w:rPr>
              <w:t>/s/</w:t>
            </w:r>
          </w:p>
        </w:tc>
        <w:tc>
          <w:tcPr>
            <w:tcW w:w="160" w:type="dxa"/>
            <w:vAlign w:val="bottom"/>
          </w:tcPr>
          <w:p>
            <w:pPr>
              <w:spacing w:after="0"/>
              <w:rPr>
                <w:sz w:val="24"/>
                <w:szCs w:val="24"/>
                <w:color w:val="auto"/>
              </w:rPr>
            </w:pPr>
          </w:p>
        </w:tc>
        <w:tc>
          <w:tcPr>
            <w:tcW w:w="2440" w:type="dxa"/>
            <w:vAlign w:val="bottom"/>
            <w:gridSpan w:val="3"/>
          </w:tcPr>
          <w:p>
            <w:pPr>
              <w:jc w:val="center"/>
              <w:ind w:right="1580"/>
              <w:spacing w:after="0"/>
              <w:rPr>
                <w:sz w:val="20"/>
                <w:szCs w:val="20"/>
                <w:color w:val="auto"/>
              </w:rPr>
            </w:pPr>
            <w:r>
              <w:rPr>
                <w:rFonts w:ascii="Arial" w:cs="Arial" w:eastAsia="Arial" w:hAnsi="Arial"/>
                <w:sz w:val="18"/>
                <w:szCs w:val="18"/>
                <w:color w:val="auto"/>
                <w:w w:val="95"/>
              </w:rPr>
              <w:t>Ming Hsieh</w:t>
            </w: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0"/>
              </w:rPr>
              <w:t>March 1, 2017</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1"/>
              </w:rPr>
              <w:t>Ming Hsieh</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73"/>
              </w:rPr>
              <w:t>/s/</w:t>
            </w:r>
          </w:p>
        </w:tc>
        <w:tc>
          <w:tcPr>
            <w:tcW w:w="60" w:type="dxa"/>
            <w:vAlign w:val="bottom"/>
          </w:tcPr>
          <w:p>
            <w:pPr>
              <w:spacing w:after="0"/>
              <w:rPr>
                <w:sz w:val="24"/>
                <w:szCs w:val="24"/>
                <w:color w:val="auto"/>
              </w:rPr>
            </w:pPr>
          </w:p>
        </w:tc>
        <w:tc>
          <w:tcPr>
            <w:tcW w:w="2380" w:type="dxa"/>
            <w:vAlign w:val="bottom"/>
            <w:gridSpan w:val="2"/>
          </w:tcPr>
          <w:p>
            <w:pPr>
              <w:jc w:val="center"/>
              <w:ind w:right="1280"/>
              <w:spacing w:after="0"/>
              <w:rPr>
                <w:sz w:val="20"/>
                <w:szCs w:val="20"/>
                <w:color w:val="auto"/>
              </w:rPr>
            </w:pPr>
            <w:r>
              <w:rPr>
                <w:rFonts w:ascii="Arial" w:cs="Arial" w:eastAsia="Arial" w:hAnsi="Arial"/>
                <w:sz w:val="18"/>
                <w:szCs w:val="18"/>
                <w:color w:val="auto"/>
                <w:w w:val="93"/>
              </w:rPr>
              <w:t>Gary Locke</w:t>
            </w: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0"/>
              </w:rPr>
              <w:t>March 1, 2017</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3"/>
              </w:rPr>
              <w:t>Gary Locke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gridSpan w:val="2"/>
          </w:tcPr>
          <w:p>
            <w:pPr>
              <w:ind w:left="1100"/>
              <w:spacing w:after="0"/>
              <w:rPr>
                <w:sz w:val="20"/>
                <w:szCs w:val="20"/>
                <w:color w:val="auto"/>
              </w:rPr>
            </w:pPr>
            <w:r>
              <w:rPr>
                <w:rFonts w:ascii="Arial" w:cs="Arial" w:eastAsia="Arial" w:hAnsi="Arial"/>
                <w:sz w:val="18"/>
                <w:szCs w:val="18"/>
                <w:color w:val="auto"/>
              </w:rPr>
              <w:t>/s/</w:t>
            </w:r>
          </w:p>
        </w:tc>
        <w:tc>
          <w:tcPr>
            <w:tcW w:w="2600" w:type="dxa"/>
            <w:vAlign w:val="bottom"/>
            <w:gridSpan w:val="4"/>
          </w:tcPr>
          <w:p>
            <w:pPr>
              <w:jc w:val="center"/>
              <w:ind w:right="1060"/>
              <w:spacing w:after="0"/>
              <w:rPr>
                <w:sz w:val="20"/>
                <w:szCs w:val="20"/>
                <w:color w:val="auto"/>
              </w:rPr>
            </w:pPr>
            <w:r>
              <w:rPr>
                <w:rFonts w:ascii="Arial" w:cs="Arial" w:eastAsia="Arial" w:hAnsi="Arial"/>
                <w:sz w:val="18"/>
                <w:szCs w:val="18"/>
                <w:color w:val="auto"/>
                <w:w w:val="95"/>
              </w:rPr>
              <w:t>William H. Neukom</w:t>
            </w: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0"/>
              </w:rPr>
              <w:t>March 1, 2017</w:t>
            </w:r>
          </w:p>
        </w:tc>
      </w:tr>
      <w:tr>
        <w:trPr>
          <w:trHeight w:val="27"/>
        </w:trPr>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780" w:type="dxa"/>
            <w:vAlign w:val="bottom"/>
            <w:gridSpan w:val="5"/>
          </w:tcPr>
          <w:p>
            <w:pPr>
              <w:jc w:val="center"/>
              <w:ind w:right="1220"/>
              <w:spacing w:after="0"/>
              <w:rPr>
                <w:sz w:val="20"/>
                <w:szCs w:val="20"/>
                <w:color w:val="auto"/>
              </w:rPr>
            </w:pPr>
            <w:r>
              <w:rPr>
                <w:rFonts w:ascii="Arial" w:cs="Arial" w:eastAsia="Arial" w:hAnsi="Arial"/>
                <w:sz w:val="18"/>
                <w:szCs w:val="18"/>
                <w:b w:val="1"/>
                <w:bCs w:val="1"/>
                <w:color w:val="auto"/>
                <w:w w:val="96"/>
              </w:rPr>
              <w:t>William H. Neukom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20" w:type="dxa"/>
            <w:vAlign w:val="bottom"/>
          </w:tcPr>
          <w:p>
            <w:pPr>
              <w:ind w:left="1040"/>
              <w:spacing w:after="0"/>
              <w:rPr>
                <w:sz w:val="20"/>
                <w:szCs w:val="20"/>
                <w:color w:val="auto"/>
              </w:rPr>
            </w:pPr>
            <w:r>
              <w:rPr>
                <w:rFonts w:ascii="Arial" w:cs="Arial" w:eastAsia="Arial" w:hAnsi="Arial"/>
                <w:sz w:val="18"/>
                <w:szCs w:val="18"/>
                <w:color w:val="auto"/>
                <w:w w:val="83"/>
              </w:rPr>
              <w:t>/s/</w:t>
            </w:r>
          </w:p>
        </w:tc>
        <w:tc>
          <w:tcPr>
            <w:tcW w:w="2780" w:type="dxa"/>
            <w:vAlign w:val="bottom"/>
            <w:gridSpan w:val="5"/>
          </w:tcPr>
          <w:p>
            <w:pPr>
              <w:jc w:val="center"/>
              <w:ind w:right="920"/>
              <w:spacing w:after="0"/>
              <w:rPr>
                <w:sz w:val="20"/>
                <w:szCs w:val="20"/>
                <w:color w:val="auto"/>
              </w:rPr>
            </w:pPr>
            <w:r>
              <w:rPr>
                <w:rFonts w:ascii="Arial" w:cs="Arial" w:eastAsia="Arial" w:hAnsi="Arial"/>
                <w:sz w:val="18"/>
                <w:szCs w:val="18"/>
                <w:color w:val="auto"/>
                <w:w w:val="90"/>
              </w:rPr>
              <w:t>Christopher B. Paisley</w:t>
            </w: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0"/>
              </w:rPr>
              <w:t>March 1, 2017</w:t>
            </w:r>
          </w:p>
        </w:tc>
      </w:tr>
      <w:tr>
        <w:trPr>
          <w:trHeight w:val="27"/>
        </w:trPr>
        <w:tc>
          <w:tcPr>
            <w:tcW w:w="162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Christopher B. Paisley</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54"/>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color w:val="auto"/>
                <w:w w:val="92"/>
              </w:rPr>
              <w:t>/s/ Judith Sim</w:t>
            </w: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0"/>
              </w:rPr>
              <w:t>March 1, 2017</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Judith Sim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02"/>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ind w:left="158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02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Incorporated by reference herein</w:t>
            </w:r>
          </w:p>
        </w:tc>
        <w:tc>
          <w:tcPr>
            <w:tcW w:w="0" w:type="dxa"/>
            <w:vAlign w:val="bottom"/>
          </w:tcPr>
          <w:p>
            <w:pPr>
              <w:spacing w:after="0"/>
              <w:rPr>
                <w:sz w:val="1"/>
                <w:szCs w:val="1"/>
                <w:color w:val="auto"/>
              </w:rPr>
            </w:pPr>
          </w:p>
        </w:tc>
      </w:tr>
      <w:tr>
        <w:trPr>
          <w:trHeight w:val="192"/>
        </w:trPr>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4020" w:type="dxa"/>
            <w:vAlign w:val="bottom"/>
            <w:gridSpan w:val="2"/>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960" w:type="dxa"/>
            <w:vAlign w:val="bottom"/>
          </w:tcPr>
          <w:p>
            <w:pPr>
              <w:jc w:val="center"/>
              <w:ind w:left="388"/>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960" w:type="dxa"/>
            <w:vAlign w:val="bottom"/>
          </w:tcPr>
          <w:p>
            <w:pPr>
              <w:jc w:val="center"/>
              <w:ind w:left="38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-223520</wp:posOffset>
            </wp:positionV>
            <wp:extent cx="15779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8820" w:space="700"/>
            <w:col w:w="1700"/>
          </w:cols>
          <w:pgMar w:left="240" w:top="121" w:right="439" w:bottom="1440" w:gutter="0" w:footer="0" w:header="0"/>
        </w:sectPr>
      </w:pPr>
    </w:p>
    <w:tbl>
      <w:tblPr>
        <w:tblLayout w:type="fixed"/>
        <w:tblInd w:w="4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3.1</w:t>
            </w:r>
          </w:p>
        </w:tc>
        <w:tc>
          <w:tcPr>
            <w:tcW w:w="4100" w:type="dxa"/>
            <w:vAlign w:val="bottom"/>
          </w:tcPr>
          <w:p>
            <w:pPr>
              <w:ind w:left="280"/>
              <w:spacing w:after="0"/>
              <w:rPr>
                <w:sz w:val="20"/>
                <w:szCs w:val="20"/>
                <w:color w:val="auto"/>
              </w:rPr>
            </w:pPr>
            <w:r>
              <w:rPr>
                <w:rFonts w:ascii="Arial" w:cs="Arial" w:eastAsia="Arial" w:hAnsi="Arial"/>
                <w:sz w:val="14"/>
                <w:szCs w:val="14"/>
                <w:color w:val="auto"/>
              </w:rPr>
              <w:t>Amended and Restated Certificate of Incorporation</w:t>
            </w:r>
          </w:p>
        </w:tc>
      </w:tr>
      <w:tr>
        <w:trPr>
          <w:trHeight w:val="392"/>
        </w:trPr>
        <w:tc>
          <w:tcPr>
            <w:tcW w:w="640" w:type="dxa"/>
            <w:vAlign w:val="bottom"/>
          </w:tcPr>
          <w:p>
            <w:pPr>
              <w:spacing w:after="0"/>
              <w:rPr>
                <w:sz w:val="20"/>
                <w:szCs w:val="20"/>
                <w:color w:val="auto"/>
              </w:rPr>
            </w:pPr>
            <w:r>
              <w:rPr>
                <w:rFonts w:ascii="Arial" w:cs="Arial" w:eastAsia="Arial" w:hAnsi="Arial"/>
                <w:sz w:val="14"/>
                <w:szCs w:val="14"/>
                <w:color w:val="auto"/>
              </w:rPr>
              <w:t>3.2</w:t>
            </w:r>
          </w:p>
        </w:tc>
        <w:tc>
          <w:tcPr>
            <w:tcW w:w="4100" w:type="dxa"/>
            <w:vAlign w:val="bottom"/>
          </w:tcPr>
          <w:p>
            <w:pPr>
              <w:ind w:left="280"/>
              <w:spacing w:after="0"/>
              <w:rPr>
                <w:sz w:val="20"/>
                <w:szCs w:val="20"/>
                <w:color w:val="auto"/>
              </w:rPr>
            </w:pPr>
            <w:r>
              <w:rPr>
                <w:rFonts w:ascii="Arial" w:cs="Arial" w:eastAsia="Arial" w:hAnsi="Arial"/>
                <w:sz w:val="14"/>
                <w:szCs w:val="14"/>
                <w:color w:val="auto"/>
              </w:rPr>
              <w:t>Bylaws</w:t>
            </w:r>
          </w:p>
        </w:tc>
      </w:tr>
      <w:tr>
        <w:trPr>
          <w:trHeight w:val="392"/>
        </w:trPr>
        <w:tc>
          <w:tcPr>
            <w:tcW w:w="640" w:type="dxa"/>
            <w:vAlign w:val="bottom"/>
          </w:tcPr>
          <w:p>
            <w:pPr>
              <w:spacing w:after="0"/>
              <w:rPr>
                <w:sz w:val="20"/>
                <w:szCs w:val="20"/>
                <w:color w:val="auto"/>
              </w:rPr>
            </w:pPr>
            <w:r>
              <w:rPr>
                <w:rFonts w:ascii="Arial" w:cs="Arial" w:eastAsia="Arial" w:hAnsi="Arial"/>
                <w:sz w:val="14"/>
                <w:szCs w:val="14"/>
                <w:color w:val="auto"/>
              </w:rPr>
              <w:t>4.1</w:t>
            </w:r>
          </w:p>
        </w:tc>
        <w:tc>
          <w:tcPr>
            <w:tcW w:w="4100" w:type="dxa"/>
            <w:vAlign w:val="bottom"/>
          </w:tcPr>
          <w:p>
            <w:pPr>
              <w:ind w:left="280"/>
              <w:spacing w:after="0"/>
              <w:rPr>
                <w:sz w:val="20"/>
                <w:szCs w:val="20"/>
                <w:color w:val="auto"/>
              </w:rPr>
            </w:pPr>
            <w:r>
              <w:rPr>
                <w:rFonts w:ascii="Arial" w:cs="Arial" w:eastAsia="Arial" w:hAnsi="Arial"/>
                <w:sz w:val="14"/>
                <w:szCs w:val="14"/>
                <w:color w:val="auto"/>
              </w:rPr>
              <w:t>Specimen common stock certificate of the Company</w:t>
            </w:r>
          </w:p>
        </w:tc>
      </w:tr>
      <w:tr>
        <w:trPr>
          <w:trHeight w:val="439"/>
        </w:trPr>
        <w:tc>
          <w:tcPr>
            <w:tcW w:w="640" w:type="dxa"/>
            <w:vAlign w:val="bottom"/>
          </w:tcPr>
          <w:p>
            <w:pPr>
              <w:spacing w:after="0"/>
              <w:rPr>
                <w:sz w:val="20"/>
                <w:szCs w:val="20"/>
                <w:color w:val="auto"/>
              </w:rPr>
            </w:pPr>
            <w:r>
              <w:rPr>
                <w:rFonts w:ascii="Arial" w:cs="Arial" w:eastAsia="Arial" w:hAnsi="Arial"/>
                <w:sz w:val="14"/>
                <w:szCs w:val="14"/>
                <w:color w:val="auto"/>
              </w:rPr>
              <w:t>10.1</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5"/>
              </w:rPr>
              <w:t>Forms of Indemnification Agreement between the Company and</w:t>
            </w:r>
          </w:p>
        </w:tc>
      </w:tr>
      <w:tr>
        <w:trPr>
          <w:trHeight w:val="182"/>
        </w:trPr>
        <w:tc>
          <w:tcPr>
            <w:tcW w:w="64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its directors and officers</w:t>
            </w:r>
          </w:p>
        </w:tc>
      </w:tr>
      <w:tr>
        <w:trPr>
          <w:trHeight w:val="324"/>
        </w:trPr>
        <w:tc>
          <w:tcPr>
            <w:tcW w:w="640" w:type="dxa"/>
            <w:vAlign w:val="bottom"/>
          </w:tcPr>
          <w:p>
            <w:pPr>
              <w:spacing w:after="0"/>
              <w:rPr>
                <w:sz w:val="20"/>
                <w:szCs w:val="20"/>
                <w:color w:val="auto"/>
              </w:rPr>
            </w:pPr>
            <w:r>
              <w:rPr>
                <w:rFonts w:ascii="Arial" w:cs="Arial" w:eastAsia="Arial" w:hAnsi="Arial"/>
                <w:sz w:val="14"/>
                <w:szCs w:val="14"/>
                <w:color w:val="auto"/>
              </w:rPr>
              <w:t>10.2</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2000 Stock Plan and forms of agreement thereunder</w:t>
            </w:r>
          </w:p>
        </w:tc>
      </w:tr>
      <w:tr>
        <w:trPr>
          <w:trHeight w:val="392"/>
        </w:trPr>
        <w:tc>
          <w:tcPr>
            <w:tcW w:w="640" w:type="dxa"/>
            <w:vAlign w:val="bottom"/>
          </w:tcPr>
          <w:p>
            <w:pPr>
              <w:spacing w:after="0"/>
              <w:rPr>
                <w:sz w:val="20"/>
                <w:szCs w:val="20"/>
                <w:color w:val="auto"/>
              </w:rPr>
            </w:pPr>
            <w:r>
              <w:rPr>
                <w:rFonts w:ascii="Arial" w:cs="Arial" w:eastAsia="Arial" w:hAnsi="Arial"/>
                <w:sz w:val="14"/>
                <w:szCs w:val="14"/>
                <w:color w:val="auto"/>
              </w:rPr>
              <w:t>10.3</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2008 Stock Plan and forms of agreement thereunder</w:t>
            </w:r>
          </w:p>
        </w:tc>
      </w:tr>
      <w:tr>
        <w:trPr>
          <w:trHeight w:val="358"/>
        </w:trPr>
        <w:tc>
          <w:tcPr>
            <w:tcW w:w="640" w:type="dxa"/>
            <w:vAlign w:val="bottom"/>
          </w:tcPr>
          <w:p>
            <w:pPr>
              <w:spacing w:after="0"/>
              <w:rPr>
                <w:sz w:val="20"/>
                <w:szCs w:val="20"/>
                <w:color w:val="auto"/>
              </w:rPr>
            </w:pPr>
            <w:r>
              <w:rPr>
                <w:rFonts w:ascii="Arial" w:cs="Arial" w:eastAsia="Arial" w:hAnsi="Arial"/>
                <w:sz w:val="14"/>
                <w:szCs w:val="14"/>
                <w:color w:val="auto"/>
              </w:rPr>
              <w:t>10.4</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2009 Equity Incentive Plan and forms of restricted stock unit</w:t>
            </w:r>
          </w:p>
        </w:tc>
      </w:tr>
      <w:tr>
        <w:trPr>
          <w:trHeight w:val="182"/>
        </w:trPr>
        <w:tc>
          <w:tcPr>
            <w:tcW w:w="64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award and restricted stock agreement thereunder</w:t>
            </w:r>
          </w:p>
        </w:tc>
      </w:tr>
      <w:tr>
        <w:trPr>
          <w:trHeight w:val="290"/>
        </w:trPr>
        <w:tc>
          <w:tcPr>
            <w:tcW w:w="640" w:type="dxa"/>
            <w:vAlign w:val="bottom"/>
          </w:tcPr>
          <w:p>
            <w:pPr>
              <w:spacing w:after="0"/>
              <w:rPr>
                <w:sz w:val="20"/>
                <w:szCs w:val="20"/>
                <w:color w:val="auto"/>
              </w:rPr>
            </w:pPr>
            <w:r>
              <w:rPr>
                <w:rFonts w:ascii="Arial" w:cs="Arial" w:eastAsia="Arial" w:hAnsi="Arial"/>
                <w:sz w:val="14"/>
                <w:szCs w:val="14"/>
                <w:color w:val="auto"/>
              </w:rPr>
              <w:t>10.5</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9"/>
              </w:rPr>
              <w:t>Forms of stock option agreement under 2009 Equity Incentive</w:t>
            </w:r>
          </w:p>
        </w:tc>
      </w:tr>
      <w:tr>
        <w:trPr>
          <w:trHeight w:val="182"/>
        </w:trPr>
        <w:tc>
          <w:tcPr>
            <w:tcW w:w="64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Plan</w:t>
            </w:r>
          </w:p>
        </w:tc>
      </w:tr>
      <w:tr>
        <w:trPr>
          <w:trHeight w:val="290"/>
        </w:trPr>
        <w:tc>
          <w:tcPr>
            <w:tcW w:w="640" w:type="dxa"/>
            <w:vAlign w:val="bottom"/>
          </w:tcPr>
          <w:p>
            <w:pPr>
              <w:spacing w:after="0"/>
              <w:rPr>
                <w:sz w:val="20"/>
                <w:szCs w:val="20"/>
                <w:color w:val="auto"/>
              </w:rPr>
            </w:pPr>
            <w:r>
              <w:rPr>
                <w:rFonts w:ascii="Arial" w:cs="Arial" w:eastAsia="Arial" w:hAnsi="Arial"/>
                <w:sz w:val="14"/>
                <w:szCs w:val="14"/>
                <w:color w:val="auto"/>
              </w:rPr>
              <w:t>10.6</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9"/>
              </w:rPr>
              <w:t>Form of performance stock unit award agreement under 2009</w:t>
            </w:r>
          </w:p>
        </w:tc>
      </w:tr>
      <w:tr>
        <w:trPr>
          <w:trHeight w:val="182"/>
        </w:trPr>
        <w:tc>
          <w:tcPr>
            <w:tcW w:w="64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Equity Incentive Plan</w:t>
            </w:r>
          </w:p>
        </w:tc>
      </w:tr>
      <w:tr>
        <w:trPr>
          <w:trHeight w:val="290"/>
        </w:trPr>
        <w:tc>
          <w:tcPr>
            <w:tcW w:w="640" w:type="dxa"/>
            <w:vAlign w:val="bottom"/>
          </w:tcPr>
          <w:p>
            <w:pPr>
              <w:spacing w:after="0"/>
              <w:rPr>
                <w:sz w:val="20"/>
                <w:szCs w:val="20"/>
                <w:color w:val="auto"/>
              </w:rPr>
            </w:pPr>
            <w:r>
              <w:rPr>
                <w:rFonts w:ascii="Arial" w:cs="Arial" w:eastAsia="Arial" w:hAnsi="Arial"/>
                <w:sz w:val="14"/>
                <w:szCs w:val="14"/>
                <w:color w:val="auto"/>
              </w:rPr>
              <w:t>10.7</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6"/>
              </w:rPr>
              <w:t>Forms of restricted stock unit award and performance stock unit</w:t>
            </w:r>
          </w:p>
        </w:tc>
      </w:tr>
      <w:tr>
        <w:trPr>
          <w:trHeight w:val="149"/>
        </w:trPr>
        <w:tc>
          <w:tcPr>
            <w:tcW w:w="640" w:type="dxa"/>
            <w:vAlign w:val="bottom"/>
          </w:tcPr>
          <w:p>
            <w:pPr>
              <w:spacing w:after="0"/>
              <w:rPr>
                <w:sz w:val="12"/>
                <w:szCs w:val="12"/>
                <w:color w:val="auto"/>
              </w:rPr>
            </w:pPr>
          </w:p>
        </w:tc>
        <w:tc>
          <w:tcPr>
            <w:tcW w:w="4100" w:type="dxa"/>
            <w:vAlign w:val="bottom"/>
          </w:tcPr>
          <w:p>
            <w:pPr>
              <w:ind w:left="280"/>
              <w:spacing w:after="0" w:line="149" w:lineRule="exact"/>
              <w:rPr>
                <w:sz w:val="20"/>
                <w:szCs w:val="20"/>
                <w:color w:val="auto"/>
              </w:rPr>
            </w:pPr>
            <w:r>
              <w:rPr>
                <w:rFonts w:ascii="Arial" w:cs="Arial" w:eastAsia="Arial" w:hAnsi="Arial"/>
                <w:sz w:val="14"/>
                <w:szCs w:val="14"/>
                <w:color w:val="auto"/>
                <w:w w:val="97"/>
              </w:rPr>
              <w:t>award agreement under 2009 Equity Incentive Plan (Additional</w:t>
            </w:r>
          </w:p>
        </w:tc>
      </w:tr>
      <w:tr>
        <w:trPr>
          <w:trHeight w:val="182"/>
        </w:trPr>
        <w:tc>
          <w:tcPr>
            <w:tcW w:w="64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Forms)</w:t>
            </w:r>
          </w:p>
        </w:tc>
      </w:tr>
      <w:tr>
        <w:trPr>
          <w:trHeight w:val="324"/>
        </w:trPr>
        <w:tc>
          <w:tcPr>
            <w:tcW w:w="640" w:type="dxa"/>
            <w:vAlign w:val="bottom"/>
          </w:tcPr>
          <w:p>
            <w:pPr>
              <w:spacing w:after="0"/>
              <w:rPr>
                <w:sz w:val="20"/>
                <w:szCs w:val="20"/>
                <w:color w:val="auto"/>
              </w:rPr>
            </w:pPr>
            <w:r>
              <w:rPr>
                <w:rFonts w:ascii="Arial" w:cs="Arial" w:eastAsia="Arial" w:hAnsi="Arial"/>
                <w:sz w:val="14"/>
                <w:szCs w:val="14"/>
                <w:color w:val="auto"/>
              </w:rPr>
              <w:t>10.8</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Fortinet, Inc. 2011 Employee Stock Purchase Plan</w:t>
            </w:r>
          </w:p>
        </w:tc>
      </w:tr>
      <w:tr>
        <w:trPr>
          <w:trHeight w:val="392"/>
        </w:trPr>
        <w:tc>
          <w:tcPr>
            <w:tcW w:w="640" w:type="dxa"/>
            <w:vAlign w:val="bottom"/>
          </w:tcPr>
          <w:p>
            <w:pPr>
              <w:spacing w:after="0"/>
              <w:rPr>
                <w:sz w:val="20"/>
                <w:szCs w:val="20"/>
                <w:color w:val="auto"/>
              </w:rPr>
            </w:pPr>
            <w:r>
              <w:rPr>
                <w:rFonts w:ascii="Arial" w:cs="Arial" w:eastAsia="Arial" w:hAnsi="Arial"/>
                <w:sz w:val="14"/>
                <w:szCs w:val="14"/>
                <w:color w:val="auto"/>
              </w:rPr>
              <w:t>10.9</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Meru Networks, Inc. 2010 Equity Incentive Plan</w:t>
            </w:r>
          </w:p>
        </w:tc>
      </w:tr>
      <w:tr>
        <w:trPr>
          <w:trHeight w:val="473"/>
        </w:trPr>
        <w:tc>
          <w:tcPr>
            <w:tcW w:w="640" w:type="dxa"/>
            <w:vAlign w:val="bottom"/>
          </w:tcPr>
          <w:p>
            <w:pPr>
              <w:spacing w:after="0"/>
              <w:rPr>
                <w:sz w:val="20"/>
                <w:szCs w:val="20"/>
                <w:color w:val="auto"/>
              </w:rPr>
            </w:pPr>
            <w:r>
              <w:rPr>
                <w:rFonts w:ascii="Arial" w:cs="Arial" w:eastAsia="Arial" w:hAnsi="Arial"/>
                <w:sz w:val="14"/>
                <w:szCs w:val="14"/>
                <w:color w:val="auto"/>
              </w:rPr>
              <w:t>10.10</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3"/>
              </w:rPr>
              <w:t>Meru Networks, Inc. 2013 New Employee Stock Inducement Plan</w:t>
            </w:r>
          </w:p>
        </w:tc>
      </w:tr>
      <w:tr>
        <w:trPr>
          <w:trHeight w:val="439"/>
        </w:trPr>
        <w:tc>
          <w:tcPr>
            <w:tcW w:w="640" w:type="dxa"/>
            <w:vAlign w:val="bottom"/>
          </w:tcPr>
          <w:p>
            <w:pPr>
              <w:spacing w:after="0"/>
              <w:rPr>
                <w:sz w:val="20"/>
                <w:szCs w:val="20"/>
                <w:color w:val="auto"/>
              </w:rPr>
            </w:pPr>
            <w:r>
              <w:rPr>
                <w:rFonts w:ascii="Arial" w:cs="Arial" w:eastAsia="Arial" w:hAnsi="Arial"/>
                <w:sz w:val="14"/>
                <w:szCs w:val="14"/>
                <w:color w:val="auto"/>
              </w:rPr>
              <w:t>10.11</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Forms of Fortinet, Inc. Restricted Stock Unit Assumption</w:t>
            </w:r>
          </w:p>
        </w:tc>
      </w:tr>
      <w:tr>
        <w:trPr>
          <w:trHeight w:val="182"/>
        </w:trPr>
        <w:tc>
          <w:tcPr>
            <w:tcW w:w="64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Agreement</w:t>
            </w:r>
          </w:p>
        </w:tc>
      </w:tr>
      <w:tr>
        <w:trPr>
          <w:trHeight w:val="473"/>
        </w:trPr>
        <w:tc>
          <w:tcPr>
            <w:tcW w:w="640" w:type="dxa"/>
            <w:vAlign w:val="bottom"/>
          </w:tcPr>
          <w:p>
            <w:pPr>
              <w:spacing w:after="0"/>
              <w:rPr>
                <w:sz w:val="20"/>
                <w:szCs w:val="20"/>
                <w:color w:val="auto"/>
              </w:rPr>
            </w:pPr>
            <w:r>
              <w:rPr>
                <w:rFonts w:ascii="Arial" w:cs="Arial" w:eastAsia="Arial" w:hAnsi="Arial"/>
                <w:sz w:val="14"/>
                <w:szCs w:val="14"/>
                <w:color w:val="auto"/>
              </w:rPr>
              <w:t>10.12</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Fortinet, Inc. Bonus Plan</w:t>
            </w:r>
          </w:p>
        </w:tc>
      </w:tr>
      <w:tr>
        <w:trPr>
          <w:trHeight w:val="473"/>
        </w:trPr>
        <w:tc>
          <w:tcPr>
            <w:tcW w:w="640" w:type="dxa"/>
            <w:vAlign w:val="bottom"/>
          </w:tcPr>
          <w:p>
            <w:pPr>
              <w:spacing w:after="0"/>
              <w:rPr>
                <w:sz w:val="20"/>
                <w:szCs w:val="20"/>
                <w:color w:val="auto"/>
              </w:rPr>
            </w:pPr>
            <w:r>
              <w:rPr>
                <w:rFonts w:ascii="Arial" w:cs="Arial" w:eastAsia="Arial" w:hAnsi="Arial"/>
                <w:sz w:val="14"/>
                <w:szCs w:val="14"/>
                <w:color w:val="auto"/>
              </w:rPr>
              <w:t>10.13</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Fortinet, Inc. Cash and Equity Incentive Plan</w:t>
            </w:r>
          </w:p>
        </w:tc>
      </w:tr>
      <w:tr>
        <w:trPr>
          <w:trHeight w:val="358"/>
        </w:trPr>
        <w:tc>
          <w:tcPr>
            <w:tcW w:w="640" w:type="dxa"/>
            <w:vAlign w:val="bottom"/>
          </w:tcPr>
          <w:p>
            <w:pPr>
              <w:spacing w:after="0"/>
              <w:rPr>
                <w:sz w:val="20"/>
                <w:szCs w:val="20"/>
                <w:color w:val="auto"/>
              </w:rPr>
            </w:pPr>
            <w:r>
              <w:rPr>
                <w:rFonts w:ascii="Arial" w:cs="Arial" w:eastAsia="Arial" w:hAnsi="Arial"/>
                <w:sz w:val="14"/>
                <w:szCs w:val="14"/>
                <w:color w:val="auto"/>
              </w:rPr>
              <w:t>10.14</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2"/>
              </w:rPr>
              <w:t>Form of Change of Control Agreement between the Company and</w:t>
            </w:r>
          </w:p>
        </w:tc>
      </w:tr>
      <w:tr>
        <w:trPr>
          <w:trHeight w:val="182"/>
        </w:trPr>
        <w:tc>
          <w:tcPr>
            <w:tcW w:w="64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its directors</w:t>
            </w:r>
          </w:p>
        </w:tc>
      </w:tr>
      <w:tr>
        <w:trPr>
          <w:trHeight w:val="290"/>
        </w:trPr>
        <w:tc>
          <w:tcPr>
            <w:tcW w:w="640" w:type="dxa"/>
            <w:vAlign w:val="bottom"/>
          </w:tcPr>
          <w:p>
            <w:pPr>
              <w:spacing w:after="0"/>
              <w:rPr>
                <w:sz w:val="20"/>
                <w:szCs w:val="20"/>
                <w:color w:val="auto"/>
              </w:rPr>
            </w:pPr>
            <w:r>
              <w:rPr>
                <w:rFonts w:ascii="Arial" w:cs="Arial" w:eastAsia="Arial" w:hAnsi="Arial"/>
                <w:sz w:val="14"/>
                <w:szCs w:val="14"/>
                <w:color w:val="auto"/>
              </w:rPr>
              <w:t>10.15</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1"/>
              </w:rPr>
              <w:t>Amended and Restated Change of Control Agreement, dated as of</w:t>
            </w:r>
          </w:p>
        </w:tc>
      </w:tr>
      <w:tr>
        <w:trPr>
          <w:trHeight w:val="182"/>
        </w:trPr>
        <w:tc>
          <w:tcPr>
            <w:tcW w:w="64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February 4, 2016, between the Company and Ken Xie</w:t>
            </w:r>
          </w:p>
        </w:tc>
      </w:tr>
      <w:tr>
        <w:trPr>
          <w:trHeight w:val="290"/>
        </w:trPr>
        <w:tc>
          <w:tcPr>
            <w:tcW w:w="640" w:type="dxa"/>
            <w:vAlign w:val="bottom"/>
          </w:tcPr>
          <w:p>
            <w:pPr>
              <w:spacing w:after="0"/>
              <w:rPr>
                <w:sz w:val="20"/>
                <w:szCs w:val="20"/>
                <w:color w:val="auto"/>
              </w:rPr>
            </w:pPr>
            <w:r>
              <w:rPr>
                <w:rFonts w:ascii="Arial" w:cs="Arial" w:eastAsia="Arial" w:hAnsi="Arial"/>
                <w:sz w:val="14"/>
                <w:szCs w:val="14"/>
                <w:color w:val="auto"/>
              </w:rPr>
              <w:t>10.16</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1"/>
              </w:rPr>
              <w:t>Amended and Restated Change of Control Agreement, dated as of</w:t>
            </w:r>
          </w:p>
        </w:tc>
      </w:tr>
      <w:tr>
        <w:trPr>
          <w:trHeight w:val="182"/>
        </w:trPr>
        <w:tc>
          <w:tcPr>
            <w:tcW w:w="64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February 4, 2016, between the Company and Michael Xie</w:t>
            </w:r>
          </w:p>
        </w:tc>
      </w:tr>
      <w:tr>
        <w:trPr>
          <w:trHeight w:val="290"/>
        </w:trPr>
        <w:tc>
          <w:tcPr>
            <w:tcW w:w="640" w:type="dxa"/>
            <w:vAlign w:val="bottom"/>
          </w:tcPr>
          <w:p>
            <w:pPr>
              <w:spacing w:after="0"/>
              <w:rPr>
                <w:sz w:val="20"/>
                <w:szCs w:val="20"/>
                <w:color w:val="auto"/>
              </w:rPr>
            </w:pPr>
            <w:r>
              <w:rPr>
                <w:rFonts w:ascii="Arial" w:cs="Arial" w:eastAsia="Arial" w:hAnsi="Arial"/>
                <w:sz w:val="14"/>
                <w:szCs w:val="14"/>
                <w:color w:val="auto"/>
              </w:rPr>
              <w:t>10.17</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1"/>
              </w:rPr>
              <w:t>Amended and Restated Change of Control Agreement, dated as of</w:t>
            </w:r>
          </w:p>
        </w:tc>
      </w:tr>
      <w:tr>
        <w:trPr>
          <w:trHeight w:val="182"/>
        </w:trPr>
        <w:tc>
          <w:tcPr>
            <w:tcW w:w="64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February 4, 2016, between the Company and John Whittle</w:t>
            </w:r>
          </w:p>
        </w:tc>
      </w:tr>
      <w:tr>
        <w:trPr>
          <w:trHeight w:val="290"/>
        </w:trPr>
        <w:tc>
          <w:tcPr>
            <w:tcW w:w="640" w:type="dxa"/>
            <w:vAlign w:val="bottom"/>
          </w:tcPr>
          <w:p>
            <w:pPr>
              <w:spacing w:after="0"/>
              <w:rPr>
                <w:sz w:val="20"/>
                <w:szCs w:val="20"/>
                <w:color w:val="auto"/>
              </w:rPr>
            </w:pPr>
            <w:r>
              <w:rPr>
                <w:rFonts w:ascii="Arial" w:cs="Arial" w:eastAsia="Arial" w:hAnsi="Arial"/>
                <w:sz w:val="14"/>
                <w:szCs w:val="14"/>
                <w:color w:val="auto"/>
              </w:rPr>
              <w:t>10.18</w:t>
            </w:r>
            <w:r>
              <w:rPr>
                <w:rFonts w:ascii="Arial" w:cs="Arial" w:eastAsia="Arial" w:hAnsi="Arial"/>
                <w:sz w:val="8"/>
                <w:szCs w:val="8"/>
                <w:color w:val="auto"/>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1"/>
              </w:rPr>
              <w:t>Amended and Restated Change of Control Agreement, dated as of</w:t>
            </w:r>
          </w:p>
        </w:tc>
      </w:tr>
      <w:tr>
        <w:trPr>
          <w:trHeight w:val="182"/>
        </w:trPr>
        <w:tc>
          <w:tcPr>
            <w:tcW w:w="64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w w:val="95"/>
              </w:rPr>
              <w:t>February 4, 2016, between the Company and Andrew Del Matto</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Registration Statement on Form S-8 (File No. 333-205958)</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Registration Statement on Form S-8 (File No. 333-205958)</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Registration Statement on Form S-8 (File No. 333-205958)</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3.2</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April 21, 2014</w:t>
            </w:r>
          </w:p>
        </w:tc>
        <w:tc>
          <w:tcPr>
            <w:tcW w:w="580" w:type="dxa"/>
            <w:vAlign w:val="bottom"/>
          </w:tcPr>
          <w:p>
            <w:pPr>
              <w:ind w:left="260"/>
              <w:spacing w:after="0"/>
              <w:rPr>
                <w:sz w:val="20"/>
                <w:szCs w:val="20"/>
                <w:color w:val="auto"/>
              </w:rPr>
            </w:pPr>
            <w:r>
              <w:rPr>
                <w:rFonts w:ascii="Arial" w:cs="Arial" w:eastAsia="Arial" w:hAnsi="Arial"/>
                <w:sz w:val="14"/>
                <w:szCs w:val="14"/>
                <w:color w:val="auto"/>
              </w:rPr>
              <w:t>3.4</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November 2, 2009</w:t>
            </w:r>
          </w:p>
        </w:tc>
        <w:tc>
          <w:tcPr>
            <w:tcW w:w="580" w:type="dxa"/>
            <w:vAlign w:val="bottom"/>
          </w:tcPr>
          <w:p>
            <w:pPr>
              <w:ind w:left="260"/>
              <w:spacing w:after="0"/>
              <w:rPr>
                <w:sz w:val="20"/>
                <w:szCs w:val="20"/>
                <w:color w:val="auto"/>
              </w:rPr>
            </w:pPr>
            <w:r>
              <w:rPr>
                <w:rFonts w:ascii="Arial" w:cs="Arial" w:eastAsia="Arial" w:hAnsi="Arial"/>
                <w:sz w:val="14"/>
                <w:szCs w:val="14"/>
                <w:color w:val="auto"/>
              </w:rPr>
              <w:t>4.1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10.2</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10.3</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10.4</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28, 2012</w:t>
            </w:r>
          </w:p>
        </w:tc>
        <w:tc>
          <w:tcPr>
            <w:tcW w:w="580" w:type="dxa"/>
            <w:vAlign w:val="bottom"/>
          </w:tcPr>
          <w:p>
            <w:pPr>
              <w:ind w:left="260"/>
              <w:spacing w:after="0"/>
              <w:rPr>
                <w:sz w:val="20"/>
                <w:szCs w:val="20"/>
                <w:color w:val="auto"/>
              </w:rPr>
            </w:pPr>
            <w:r>
              <w:rPr>
                <w:rFonts w:ascii="Arial" w:cs="Arial" w:eastAsia="Arial" w:hAnsi="Arial"/>
                <w:sz w:val="14"/>
                <w:szCs w:val="14"/>
                <w:color w:val="auto"/>
              </w:rPr>
              <w:t>10.5</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6, 2013</w:t>
            </w:r>
          </w:p>
        </w:tc>
        <w:tc>
          <w:tcPr>
            <w:tcW w:w="580" w:type="dxa"/>
            <w:vAlign w:val="bottom"/>
          </w:tcPr>
          <w:p>
            <w:pPr>
              <w:ind w:left="260"/>
              <w:spacing w:after="0"/>
              <w:rPr>
                <w:sz w:val="20"/>
                <w:szCs w:val="20"/>
                <w:color w:val="auto"/>
              </w:rPr>
            </w:pPr>
            <w:r>
              <w:rPr>
                <w:rFonts w:ascii="Arial" w:cs="Arial" w:eastAsia="Arial" w:hAnsi="Arial"/>
                <w:sz w:val="14"/>
                <w:szCs w:val="14"/>
                <w:color w:val="auto"/>
              </w:rPr>
              <w:t>99.1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March 2, 2015</w:t>
            </w:r>
          </w:p>
        </w:tc>
        <w:tc>
          <w:tcPr>
            <w:tcW w:w="580" w:type="dxa"/>
            <w:vAlign w:val="bottom"/>
          </w:tcPr>
          <w:p>
            <w:pPr>
              <w:ind w:left="260"/>
              <w:spacing w:after="0"/>
              <w:rPr>
                <w:sz w:val="20"/>
                <w:szCs w:val="20"/>
                <w:color w:val="auto"/>
              </w:rPr>
            </w:pPr>
            <w:r>
              <w:rPr>
                <w:rFonts w:ascii="Arial" w:cs="Arial" w:eastAsia="Arial" w:hAnsi="Arial"/>
                <w:sz w:val="14"/>
                <w:szCs w:val="14"/>
                <w:color w:val="auto"/>
              </w:rPr>
              <w:t>10.7</w:t>
            </w:r>
          </w:p>
        </w:tc>
      </w:tr>
      <w:tr>
        <w:trPr>
          <w:trHeight w:val="621"/>
        </w:trPr>
        <w:tc>
          <w:tcPr>
            <w:tcW w:w="1320" w:type="dxa"/>
            <w:vAlign w:val="bottom"/>
          </w:tcPr>
          <w:p>
            <w:pPr>
              <w:spacing w:after="0"/>
              <w:rPr>
                <w:sz w:val="20"/>
                <w:szCs w:val="20"/>
                <w:color w:val="auto"/>
              </w:rPr>
            </w:pPr>
            <w:r>
              <w:rPr>
                <w:rFonts w:ascii="Arial" w:cs="Arial" w:eastAsia="Arial" w:hAnsi="Arial"/>
                <w:sz w:val="14"/>
                <w:szCs w:val="14"/>
                <w:color w:val="auto"/>
              </w:rPr>
              <w:t>June 27, 2011</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580" w:type="dxa"/>
            <w:vAlign w:val="bottom"/>
          </w:tcPr>
          <w:p>
            <w:pPr>
              <w:ind w:left="260"/>
              <w:spacing w:after="0"/>
              <w:rPr>
                <w:sz w:val="20"/>
                <w:szCs w:val="20"/>
                <w:color w:val="auto"/>
              </w:rPr>
            </w:pPr>
            <w:r>
              <w:rPr>
                <w:rFonts w:ascii="Arial" w:cs="Arial" w:eastAsia="Arial" w:hAnsi="Arial"/>
                <w:sz w:val="14"/>
                <w:szCs w:val="14"/>
                <w:color w:val="auto"/>
              </w:rPr>
              <w:t>99.1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580" w:type="dxa"/>
            <w:vAlign w:val="bottom"/>
          </w:tcPr>
          <w:p>
            <w:pPr>
              <w:ind w:left="260"/>
              <w:spacing w:after="0"/>
              <w:rPr>
                <w:sz w:val="20"/>
                <w:szCs w:val="20"/>
                <w:color w:val="auto"/>
              </w:rPr>
            </w:pPr>
            <w:r>
              <w:rPr>
                <w:rFonts w:ascii="Arial" w:cs="Arial" w:eastAsia="Arial" w:hAnsi="Arial"/>
                <w:sz w:val="14"/>
                <w:szCs w:val="14"/>
                <w:color w:val="auto"/>
              </w:rPr>
              <w:t>99.2</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580" w:type="dxa"/>
            <w:vAlign w:val="bottom"/>
          </w:tcPr>
          <w:p>
            <w:pPr>
              <w:ind w:left="260"/>
              <w:spacing w:after="0"/>
              <w:rPr>
                <w:sz w:val="20"/>
                <w:szCs w:val="20"/>
                <w:color w:val="auto"/>
              </w:rPr>
            </w:pPr>
            <w:r>
              <w:rPr>
                <w:rFonts w:ascii="Arial" w:cs="Arial" w:eastAsia="Arial" w:hAnsi="Arial"/>
                <w:sz w:val="14"/>
                <w:szCs w:val="14"/>
                <w:color w:val="auto"/>
              </w:rPr>
              <w:t>99.2</w:t>
            </w:r>
          </w:p>
        </w:tc>
      </w:tr>
      <w:tr>
        <w:trPr>
          <w:trHeight w:val="621"/>
        </w:trPr>
        <w:tc>
          <w:tcPr>
            <w:tcW w:w="1320" w:type="dxa"/>
            <w:vAlign w:val="bottom"/>
          </w:tcPr>
          <w:p>
            <w:pPr>
              <w:spacing w:after="0"/>
              <w:rPr>
                <w:sz w:val="20"/>
                <w:szCs w:val="20"/>
                <w:color w:val="auto"/>
              </w:rPr>
            </w:pPr>
            <w:r>
              <w:rPr>
                <w:rFonts w:ascii="Arial" w:cs="Arial" w:eastAsia="Arial" w:hAnsi="Arial"/>
                <w:sz w:val="14"/>
                <w:szCs w:val="14"/>
                <w:color w:val="auto"/>
              </w:rPr>
              <w:t>January 26, 2010</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November 5, 2013</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4, 2015</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10.15</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10.16</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10.17</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10.18</w:t>
            </w:r>
          </w:p>
        </w:tc>
      </w:tr>
    </w:tbl>
    <w:p>
      <w:pPr>
        <w:spacing w:after="0" w:line="348" w:lineRule="exact"/>
        <w:rPr>
          <w:sz w:val="20"/>
          <w:szCs w:val="20"/>
          <w:color w:val="auto"/>
        </w:rPr>
      </w:pPr>
    </w:p>
    <w:p>
      <w:pPr>
        <w:sectPr>
          <w:pgSz w:w="11900" w:h="16838" w:orient="portrait"/>
          <w:cols w:equalWidth="0" w:num="3">
            <w:col w:w="4780" w:space="200"/>
            <w:col w:w="3640" w:space="340"/>
            <w:col w:w="2260"/>
          </w:cols>
          <w:pgMar w:left="240" w:top="121" w:right="439" w:bottom="1440" w:gutter="0" w:footer="0" w:header="0"/>
          <w:type w:val="continuous"/>
        </w:sect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220"/>
          </w:cols>
          <w:pgMar w:left="240" w:top="121" w:right="4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484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42"/>
        </w:trPr>
        <w:tc>
          <w:tcPr>
            <w:tcW w:w="680" w:type="dxa"/>
            <w:vAlign w:val="bottom"/>
          </w:tcPr>
          <w:p>
            <w:pPr>
              <w:ind w:left="40"/>
              <w:spacing w:after="0"/>
              <w:rPr>
                <w:sz w:val="20"/>
                <w:szCs w:val="20"/>
                <w:color w:val="auto"/>
              </w:rPr>
            </w:pPr>
            <w:r>
              <w:rPr>
                <w:rFonts w:ascii="Arial" w:cs="Arial" w:eastAsia="Arial" w:hAnsi="Arial"/>
                <w:sz w:val="14"/>
                <w:szCs w:val="14"/>
                <w:color w:val="auto"/>
              </w:rPr>
              <w:t>10.19</w:t>
            </w:r>
            <w:r>
              <w:rPr>
                <w:rFonts w:ascii="Arial" w:cs="Arial" w:eastAsia="Arial" w:hAnsi="Arial"/>
                <w:sz w:val="8"/>
                <w:szCs w:val="8"/>
                <w:color w:val="auto"/>
              </w:rPr>
              <w:t>†</w:t>
            </w:r>
          </w:p>
        </w:tc>
        <w:tc>
          <w:tcPr>
            <w:tcW w:w="4160" w:type="dxa"/>
            <w:vAlign w:val="bottom"/>
            <w:gridSpan w:val="2"/>
          </w:tcPr>
          <w:p>
            <w:pPr>
              <w:ind w:left="280"/>
              <w:spacing w:after="0"/>
              <w:rPr>
                <w:sz w:val="20"/>
                <w:szCs w:val="20"/>
                <w:color w:val="auto"/>
              </w:rPr>
            </w:pPr>
            <w:r>
              <w:rPr>
                <w:rFonts w:ascii="Arial" w:cs="Arial" w:eastAsia="Arial" w:hAnsi="Arial"/>
                <w:sz w:val="14"/>
                <w:szCs w:val="14"/>
                <w:color w:val="auto"/>
              </w:rPr>
              <w:t>Offer Letter, dated as of August 31, 2007, by and between the</w:t>
            </w:r>
          </w:p>
        </w:tc>
        <w:tc>
          <w:tcPr>
            <w:tcW w:w="3960" w:type="dxa"/>
            <w:vAlign w:val="bottom"/>
          </w:tcPr>
          <w:p>
            <w:pPr>
              <w:ind w:left="140"/>
              <w:spacing w:after="0"/>
              <w:rPr>
                <w:sz w:val="20"/>
                <w:szCs w:val="20"/>
                <w:color w:val="auto"/>
              </w:rPr>
            </w:pPr>
            <w:r>
              <w:rPr>
                <w:rFonts w:ascii="Arial" w:cs="Arial" w:eastAsia="Arial" w:hAnsi="Arial"/>
                <w:sz w:val="14"/>
                <w:szCs w:val="14"/>
                <w:color w:val="auto"/>
                <w:w w:val="96"/>
              </w:rPr>
              <w:t>Registration Statement on Form S-l, as amended (File No. 333-</w:t>
            </w:r>
          </w:p>
        </w:tc>
        <w:tc>
          <w:tcPr>
            <w:tcW w:w="1520" w:type="dxa"/>
            <w:vAlign w:val="bottom"/>
          </w:tcPr>
          <w:p>
            <w:pPr>
              <w:ind w:left="160"/>
              <w:spacing w:after="0"/>
              <w:rPr>
                <w:sz w:val="20"/>
                <w:szCs w:val="20"/>
                <w:color w:val="auto"/>
              </w:rPr>
            </w:pPr>
            <w:r>
              <w:rPr>
                <w:rFonts w:ascii="Arial" w:cs="Arial" w:eastAsia="Arial" w:hAnsi="Arial"/>
                <w:sz w:val="14"/>
                <w:szCs w:val="14"/>
                <w:color w:val="auto"/>
              </w:rPr>
              <w:t>August 10, 2009</w:t>
            </w:r>
          </w:p>
        </w:tc>
        <w:tc>
          <w:tcPr>
            <w:tcW w:w="540" w:type="dxa"/>
            <w:vAlign w:val="bottom"/>
          </w:tcPr>
          <w:p>
            <w:pPr>
              <w:ind w:left="220"/>
              <w:spacing w:after="0"/>
              <w:rPr>
                <w:sz w:val="20"/>
                <w:szCs w:val="20"/>
                <w:color w:val="auto"/>
              </w:rPr>
            </w:pPr>
            <w:r>
              <w:rPr>
                <w:rFonts w:ascii="Arial" w:cs="Arial" w:eastAsia="Arial" w:hAnsi="Arial"/>
                <w:sz w:val="14"/>
                <w:szCs w:val="14"/>
                <w:color w:val="auto"/>
                <w:w w:val="85"/>
              </w:rPr>
              <w:t>10.10</w:t>
            </w:r>
          </w:p>
        </w:tc>
      </w:tr>
      <w:tr>
        <w:trPr>
          <w:trHeight w:val="182"/>
        </w:trPr>
        <w:tc>
          <w:tcPr>
            <w:tcW w:w="680" w:type="dxa"/>
            <w:vAlign w:val="bottom"/>
          </w:tcPr>
          <w:p>
            <w:pPr>
              <w:spacing w:after="0"/>
              <w:rPr>
                <w:sz w:val="15"/>
                <w:szCs w:val="15"/>
                <w:color w:val="auto"/>
              </w:rPr>
            </w:pPr>
          </w:p>
        </w:tc>
        <w:tc>
          <w:tcPr>
            <w:tcW w:w="4160" w:type="dxa"/>
            <w:vAlign w:val="bottom"/>
            <w:gridSpan w:val="2"/>
          </w:tcPr>
          <w:p>
            <w:pPr>
              <w:ind w:left="280"/>
              <w:spacing w:after="0"/>
              <w:rPr>
                <w:sz w:val="20"/>
                <w:szCs w:val="20"/>
                <w:color w:val="auto"/>
              </w:rPr>
            </w:pPr>
            <w:r>
              <w:rPr>
                <w:rFonts w:ascii="Arial" w:cs="Arial" w:eastAsia="Arial" w:hAnsi="Arial"/>
                <w:sz w:val="14"/>
                <w:szCs w:val="14"/>
                <w:color w:val="auto"/>
              </w:rPr>
              <w:t>Company and John Whittle</w:t>
            </w:r>
          </w:p>
        </w:tc>
        <w:tc>
          <w:tcPr>
            <w:tcW w:w="3960" w:type="dxa"/>
            <w:vAlign w:val="bottom"/>
          </w:tcPr>
          <w:p>
            <w:pPr>
              <w:ind w:left="140"/>
              <w:spacing w:after="0"/>
              <w:rPr>
                <w:sz w:val="20"/>
                <w:szCs w:val="20"/>
                <w:color w:val="auto"/>
              </w:rPr>
            </w:pPr>
            <w:r>
              <w:rPr>
                <w:rFonts w:ascii="Arial" w:cs="Arial" w:eastAsia="Arial" w:hAnsi="Arial"/>
                <w:sz w:val="14"/>
                <w:szCs w:val="14"/>
                <w:color w:val="auto"/>
              </w:rPr>
              <w:t>161190)</w:t>
            </w: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439"/>
        </w:trPr>
        <w:tc>
          <w:tcPr>
            <w:tcW w:w="680" w:type="dxa"/>
            <w:vAlign w:val="bottom"/>
          </w:tcPr>
          <w:p>
            <w:pPr>
              <w:ind w:left="40"/>
              <w:spacing w:after="0"/>
              <w:rPr>
                <w:sz w:val="20"/>
                <w:szCs w:val="20"/>
                <w:color w:val="auto"/>
              </w:rPr>
            </w:pPr>
            <w:r>
              <w:rPr>
                <w:rFonts w:ascii="Arial" w:cs="Arial" w:eastAsia="Arial" w:hAnsi="Arial"/>
                <w:sz w:val="14"/>
                <w:szCs w:val="14"/>
                <w:color w:val="auto"/>
              </w:rPr>
              <w:t>10.20</w:t>
            </w:r>
            <w:r>
              <w:rPr>
                <w:rFonts w:ascii="Arial" w:cs="Arial" w:eastAsia="Arial" w:hAnsi="Arial"/>
                <w:sz w:val="8"/>
                <w:szCs w:val="8"/>
                <w:color w:val="auto"/>
              </w:rPr>
              <w:t>†</w:t>
            </w:r>
          </w:p>
        </w:tc>
        <w:tc>
          <w:tcPr>
            <w:tcW w:w="4160" w:type="dxa"/>
            <w:vAlign w:val="bottom"/>
            <w:gridSpan w:val="2"/>
          </w:tcPr>
          <w:p>
            <w:pPr>
              <w:ind w:left="280"/>
              <w:spacing w:after="0"/>
              <w:rPr>
                <w:sz w:val="20"/>
                <w:szCs w:val="20"/>
                <w:color w:val="auto"/>
              </w:rPr>
            </w:pPr>
            <w:r>
              <w:rPr>
                <w:rFonts w:ascii="Arial" w:cs="Arial" w:eastAsia="Arial" w:hAnsi="Arial"/>
                <w:sz w:val="14"/>
                <w:szCs w:val="14"/>
                <w:color w:val="auto"/>
                <w:w w:val="95"/>
              </w:rPr>
              <w:t>Offer Letter, dated as of December 17, 2013, by and between the</w:t>
            </w:r>
          </w:p>
        </w:tc>
        <w:tc>
          <w:tcPr>
            <w:tcW w:w="3960" w:type="dxa"/>
            <w:vAlign w:val="bottom"/>
          </w:tcPr>
          <w:p>
            <w:pPr>
              <w:ind w:left="140"/>
              <w:spacing w:after="0"/>
              <w:rPr>
                <w:sz w:val="20"/>
                <w:szCs w:val="20"/>
                <w:color w:val="auto"/>
              </w:rPr>
            </w:pPr>
            <w:r>
              <w:rPr>
                <w:rFonts w:ascii="Arial" w:cs="Arial" w:eastAsia="Arial" w:hAnsi="Arial"/>
                <w:sz w:val="14"/>
                <w:szCs w:val="14"/>
                <w:color w:val="auto"/>
              </w:rPr>
              <w:t>Current Report on Form 8-K (File No. 001-34511)</w:t>
            </w:r>
          </w:p>
        </w:tc>
        <w:tc>
          <w:tcPr>
            <w:tcW w:w="1520" w:type="dxa"/>
            <w:vAlign w:val="bottom"/>
          </w:tcPr>
          <w:p>
            <w:pPr>
              <w:ind w:left="160"/>
              <w:spacing w:after="0"/>
              <w:rPr>
                <w:sz w:val="20"/>
                <w:szCs w:val="20"/>
                <w:color w:val="auto"/>
              </w:rPr>
            </w:pPr>
            <w:r>
              <w:rPr>
                <w:rFonts w:ascii="Arial" w:cs="Arial" w:eastAsia="Arial" w:hAnsi="Arial"/>
                <w:sz w:val="14"/>
                <w:szCs w:val="14"/>
                <w:color w:val="auto"/>
              </w:rPr>
              <w:t>December 20, 2013</w:t>
            </w:r>
          </w:p>
        </w:tc>
        <w:tc>
          <w:tcPr>
            <w:tcW w:w="540" w:type="dxa"/>
            <w:vAlign w:val="bottom"/>
          </w:tcPr>
          <w:p>
            <w:pPr>
              <w:ind w:left="220"/>
              <w:spacing w:after="0"/>
              <w:rPr>
                <w:sz w:val="20"/>
                <w:szCs w:val="20"/>
                <w:color w:val="auto"/>
              </w:rPr>
            </w:pPr>
            <w:r>
              <w:rPr>
                <w:rFonts w:ascii="Arial" w:cs="Arial" w:eastAsia="Arial" w:hAnsi="Arial"/>
                <w:sz w:val="14"/>
                <w:szCs w:val="14"/>
                <w:color w:val="auto"/>
              </w:rPr>
              <w:t>99.1</w:t>
            </w:r>
          </w:p>
        </w:tc>
      </w:tr>
      <w:tr>
        <w:trPr>
          <w:trHeight w:val="182"/>
        </w:trPr>
        <w:tc>
          <w:tcPr>
            <w:tcW w:w="680" w:type="dxa"/>
            <w:vAlign w:val="bottom"/>
          </w:tcPr>
          <w:p>
            <w:pPr>
              <w:spacing w:after="0"/>
              <w:rPr>
                <w:sz w:val="15"/>
                <w:szCs w:val="15"/>
                <w:color w:val="auto"/>
              </w:rPr>
            </w:pPr>
          </w:p>
        </w:tc>
        <w:tc>
          <w:tcPr>
            <w:tcW w:w="4160" w:type="dxa"/>
            <w:vAlign w:val="bottom"/>
            <w:gridSpan w:val="2"/>
          </w:tcPr>
          <w:p>
            <w:pPr>
              <w:ind w:left="280"/>
              <w:spacing w:after="0"/>
              <w:rPr>
                <w:sz w:val="20"/>
                <w:szCs w:val="20"/>
                <w:color w:val="auto"/>
              </w:rPr>
            </w:pPr>
            <w:r>
              <w:rPr>
                <w:rFonts w:ascii="Arial" w:cs="Arial" w:eastAsia="Arial" w:hAnsi="Arial"/>
                <w:sz w:val="14"/>
                <w:szCs w:val="14"/>
                <w:color w:val="auto"/>
              </w:rPr>
              <w:t>Company and Andrew Del Matto</w:t>
            </w:r>
          </w:p>
        </w:tc>
        <w:tc>
          <w:tcPr>
            <w:tcW w:w="3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439"/>
        </w:trPr>
        <w:tc>
          <w:tcPr>
            <w:tcW w:w="680" w:type="dxa"/>
            <w:vAlign w:val="bottom"/>
          </w:tcPr>
          <w:p>
            <w:pPr>
              <w:ind w:left="40"/>
              <w:spacing w:after="0"/>
              <w:rPr>
                <w:sz w:val="20"/>
                <w:szCs w:val="20"/>
                <w:color w:val="auto"/>
              </w:rPr>
            </w:pPr>
            <w:r>
              <w:rPr>
                <w:rFonts w:ascii="Arial" w:cs="Arial" w:eastAsia="Arial" w:hAnsi="Arial"/>
                <w:sz w:val="14"/>
                <w:szCs w:val="14"/>
                <w:color w:val="auto"/>
              </w:rPr>
              <w:t>10.21</w:t>
            </w:r>
            <w:r>
              <w:rPr>
                <w:rFonts w:ascii="Arial" w:cs="Arial" w:eastAsia="Arial" w:hAnsi="Arial"/>
                <w:sz w:val="8"/>
                <w:szCs w:val="8"/>
                <w:color w:val="auto"/>
              </w:rPr>
              <w:t>†</w:t>
            </w:r>
          </w:p>
        </w:tc>
        <w:tc>
          <w:tcPr>
            <w:tcW w:w="4160" w:type="dxa"/>
            <w:vAlign w:val="bottom"/>
            <w:gridSpan w:val="2"/>
          </w:tcPr>
          <w:p>
            <w:pPr>
              <w:ind w:left="280"/>
              <w:spacing w:after="0"/>
              <w:rPr>
                <w:sz w:val="20"/>
                <w:szCs w:val="20"/>
                <w:color w:val="auto"/>
              </w:rPr>
            </w:pPr>
            <w:r>
              <w:rPr>
                <w:rFonts w:ascii="Arial" w:cs="Arial" w:eastAsia="Arial" w:hAnsi="Arial"/>
                <w:sz w:val="14"/>
                <w:szCs w:val="14"/>
                <w:color w:val="auto"/>
                <w:w w:val="99"/>
              </w:rPr>
              <w:t>Letter regarding stock grants, dated as of December 17, 2013,</w:t>
            </w:r>
          </w:p>
        </w:tc>
        <w:tc>
          <w:tcPr>
            <w:tcW w:w="3960" w:type="dxa"/>
            <w:vAlign w:val="bottom"/>
          </w:tcPr>
          <w:p>
            <w:pPr>
              <w:ind w:left="140"/>
              <w:spacing w:after="0"/>
              <w:rPr>
                <w:sz w:val="20"/>
                <w:szCs w:val="20"/>
                <w:color w:val="auto"/>
              </w:rPr>
            </w:pPr>
            <w:r>
              <w:rPr>
                <w:rFonts w:ascii="Arial" w:cs="Arial" w:eastAsia="Arial" w:hAnsi="Arial"/>
                <w:sz w:val="14"/>
                <w:szCs w:val="14"/>
                <w:color w:val="auto"/>
              </w:rPr>
              <w:t>Current Report on Form 8-K (File No. 001-34511)</w:t>
            </w:r>
          </w:p>
        </w:tc>
        <w:tc>
          <w:tcPr>
            <w:tcW w:w="1520" w:type="dxa"/>
            <w:vAlign w:val="bottom"/>
          </w:tcPr>
          <w:p>
            <w:pPr>
              <w:ind w:left="160"/>
              <w:spacing w:after="0"/>
              <w:rPr>
                <w:sz w:val="20"/>
                <w:szCs w:val="20"/>
                <w:color w:val="auto"/>
              </w:rPr>
            </w:pPr>
            <w:r>
              <w:rPr>
                <w:rFonts w:ascii="Arial" w:cs="Arial" w:eastAsia="Arial" w:hAnsi="Arial"/>
                <w:sz w:val="14"/>
                <w:szCs w:val="14"/>
                <w:color w:val="auto"/>
              </w:rPr>
              <w:t>December 20, 2013</w:t>
            </w:r>
          </w:p>
        </w:tc>
        <w:tc>
          <w:tcPr>
            <w:tcW w:w="540" w:type="dxa"/>
            <w:vAlign w:val="bottom"/>
          </w:tcPr>
          <w:p>
            <w:pPr>
              <w:ind w:left="220"/>
              <w:spacing w:after="0"/>
              <w:rPr>
                <w:sz w:val="20"/>
                <w:szCs w:val="20"/>
                <w:color w:val="auto"/>
              </w:rPr>
            </w:pPr>
            <w:r>
              <w:rPr>
                <w:rFonts w:ascii="Arial" w:cs="Arial" w:eastAsia="Arial" w:hAnsi="Arial"/>
                <w:sz w:val="14"/>
                <w:szCs w:val="14"/>
                <w:color w:val="auto"/>
              </w:rPr>
              <w:t>99.2</w:t>
            </w:r>
          </w:p>
        </w:tc>
      </w:tr>
      <w:tr>
        <w:trPr>
          <w:trHeight w:val="182"/>
        </w:trPr>
        <w:tc>
          <w:tcPr>
            <w:tcW w:w="680" w:type="dxa"/>
            <w:vAlign w:val="bottom"/>
          </w:tcPr>
          <w:p>
            <w:pPr>
              <w:spacing w:after="0"/>
              <w:rPr>
                <w:sz w:val="15"/>
                <w:szCs w:val="15"/>
                <w:color w:val="auto"/>
              </w:rPr>
            </w:pPr>
          </w:p>
        </w:tc>
        <w:tc>
          <w:tcPr>
            <w:tcW w:w="4160" w:type="dxa"/>
            <w:vAlign w:val="bottom"/>
            <w:gridSpan w:val="2"/>
          </w:tcPr>
          <w:p>
            <w:pPr>
              <w:ind w:left="280"/>
              <w:spacing w:after="0"/>
              <w:rPr>
                <w:sz w:val="20"/>
                <w:szCs w:val="20"/>
                <w:color w:val="auto"/>
              </w:rPr>
            </w:pPr>
            <w:r>
              <w:rPr>
                <w:rFonts w:ascii="Arial" w:cs="Arial" w:eastAsia="Arial" w:hAnsi="Arial"/>
                <w:sz w:val="14"/>
                <w:szCs w:val="14"/>
                <w:color w:val="auto"/>
              </w:rPr>
              <w:t>between the Company and Andrew Del Matto</w:t>
            </w:r>
          </w:p>
        </w:tc>
        <w:tc>
          <w:tcPr>
            <w:tcW w:w="3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473"/>
        </w:trPr>
        <w:tc>
          <w:tcPr>
            <w:tcW w:w="680" w:type="dxa"/>
            <w:vAlign w:val="bottom"/>
          </w:tcPr>
          <w:p>
            <w:pPr>
              <w:ind w:left="40"/>
              <w:spacing w:after="0"/>
              <w:rPr>
                <w:sz w:val="20"/>
                <w:szCs w:val="20"/>
                <w:color w:val="auto"/>
              </w:rPr>
            </w:pPr>
            <w:r>
              <w:rPr>
                <w:rFonts w:ascii="Arial" w:cs="Arial" w:eastAsia="Arial" w:hAnsi="Arial"/>
                <w:sz w:val="14"/>
                <w:szCs w:val="14"/>
                <w:color w:val="auto"/>
              </w:rPr>
              <w:t>21.1*</w:t>
            </w:r>
          </w:p>
        </w:tc>
        <w:tc>
          <w:tcPr>
            <w:tcW w:w="4160" w:type="dxa"/>
            <w:vAlign w:val="bottom"/>
            <w:gridSpan w:val="2"/>
          </w:tcPr>
          <w:p>
            <w:pPr>
              <w:ind w:left="280"/>
              <w:spacing w:after="0"/>
              <w:rPr>
                <w:sz w:val="20"/>
                <w:szCs w:val="20"/>
                <w:color w:val="auto"/>
              </w:rPr>
            </w:pPr>
            <w:r>
              <w:rPr>
                <w:rFonts w:ascii="Arial" w:cs="Arial" w:eastAsia="Arial" w:hAnsi="Arial"/>
                <w:sz w:val="14"/>
                <w:szCs w:val="14"/>
                <w:color w:val="auto"/>
              </w:rPr>
              <w:t>List of subsidiaries</w:t>
            </w:r>
          </w:p>
        </w:tc>
        <w:tc>
          <w:tcPr>
            <w:tcW w:w="3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2"/>
        </w:trPr>
        <w:tc>
          <w:tcPr>
            <w:tcW w:w="680" w:type="dxa"/>
            <w:vAlign w:val="bottom"/>
          </w:tcPr>
          <w:p>
            <w:pPr>
              <w:ind w:left="40"/>
              <w:spacing w:after="0"/>
              <w:rPr>
                <w:sz w:val="20"/>
                <w:szCs w:val="20"/>
                <w:color w:val="auto"/>
              </w:rPr>
            </w:pPr>
            <w:r>
              <w:rPr>
                <w:rFonts w:ascii="Arial" w:cs="Arial" w:eastAsia="Arial" w:hAnsi="Arial"/>
                <w:sz w:val="14"/>
                <w:szCs w:val="14"/>
                <w:color w:val="auto"/>
              </w:rPr>
              <w:t>23.1*</w:t>
            </w:r>
          </w:p>
        </w:tc>
        <w:tc>
          <w:tcPr>
            <w:tcW w:w="4160" w:type="dxa"/>
            <w:vAlign w:val="bottom"/>
            <w:gridSpan w:val="2"/>
          </w:tcPr>
          <w:p>
            <w:pPr>
              <w:ind w:left="280"/>
              <w:spacing w:after="0"/>
              <w:rPr>
                <w:sz w:val="20"/>
                <w:szCs w:val="20"/>
                <w:color w:val="auto"/>
              </w:rPr>
            </w:pPr>
            <w:r>
              <w:rPr>
                <w:rFonts w:ascii="Arial" w:cs="Arial" w:eastAsia="Arial" w:hAnsi="Arial"/>
                <w:sz w:val="14"/>
                <w:szCs w:val="14"/>
                <w:color w:val="auto"/>
              </w:rPr>
              <w:t>Consent of Independent Registered Public Accounting Firm</w:t>
            </w:r>
          </w:p>
        </w:tc>
        <w:tc>
          <w:tcPr>
            <w:tcW w:w="3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8"/>
        </w:trPr>
        <w:tc>
          <w:tcPr>
            <w:tcW w:w="680" w:type="dxa"/>
            <w:vAlign w:val="bottom"/>
          </w:tcPr>
          <w:p>
            <w:pPr>
              <w:ind w:left="40"/>
              <w:spacing w:after="0"/>
              <w:rPr>
                <w:sz w:val="20"/>
                <w:szCs w:val="20"/>
                <w:color w:val="auto"/>
              </w:rPr>
            </w:pPr>
            <w:r>
              <w:rPr>
                <w:rFonts w:ascii="Arial" w:cs="Arial" w:eastAsia="Arial" w:hAnsi="Arial"/>
                <w:sz w:val="14"/>
                <w:szCs w:val="14"/>
                <w:color w:val="auto"/>
              </w:rPr>
              <w:t>24.1*</w:t>
            </w:r>
          </w:p>
        </w:tc>
        <w:tc>
          <w:tcPr>
            <w:tcW w:w="4160" w:type="dxa"/>
            <w:vAlign w:val="bottom"/>
            <w:gridSpan w:val="2"/>
          </w:tcPr>
          <w:p>
            <w:pPr>
              <w:ind w:left="280"/>
              <w:spacing w:after="0"/>
              <w:rPr>
                <w:sz w:val="20"/>
                <w:szCs w:val="20"/>
                <w:color w:val="auto"/>
              </w:rPr>
            </w:pPr>
            <w:r>
              <w:rPr>
                <w:rFonts w:ascii="Arial" w:cs="Arial" w:eastAsia="Arial" w:hAnsi="Arial"/>
                <w:sz w:val="14"/>
                <w:szCs w:val="14"/>
                <w:color w:val="auto"/>
              </w:rPr>
              <w:t>Power of Attorney (incorporated by reference to the signature</w:t>
            </w:r>
          </w:p>
        </w:tc>
        <w:tc>
          <w:tcPr>
            <w:tcW w:w="3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2"/>
        </w:trPr>
        <w:tc>
          <w:tcPr>
            <w:tcW w:w="680" w:type="dxa"/>
            <w:vAlign w:val="bottom"/>
          </w:tcPr>
          <w:p>
            <w:pPr>
              <w:spacing w:after="0"/>
              <w:rPr>
                <w:sz w:val="15"/>
                <w:szCs w:val="15"/>
                <w:color w:val="auto"/>
              </w:rPr>
            </w:pPr>
          </w:p>
        </w:tc>
        <w:tc>
          <w:tcPr>
            <w:tcW w:w="4160" w:type="dxa"/>
            <w:vAlign w:val="bottom"/>
            <w:gridSpan w:val="2"/>
          </w:tcPr>
          <w:p>
            <w:pPr>
              <w:ind w:left="280"/>
              <w:spacing w:after="0"/>
              <w:rPr>
                <w:sz w:val="20"/>
                <w:szCs w:val="20"/>
                <w:color w:val="auto"/>
              </w:rPr>
            </w:pPr>
            <w:r>
              <w:rPr>
                <w:rFonts w:ascii="Arial" w:cs="Arial" w:eastAsia="Arial" w:hAnsi="Arial"/>
                <w:sz w:val="14"/>
                <w:szCs w:val="14"/>
                <w:color w:val="auto"/>
              </w:rPr>
              <w:t>page of this Annual Report on Form 10-K)</w:t>
            </w:r>
          </w:p>
        </w:tc>
        <w:tc>
          <w:tcPr>
            <w:tcW w:w="3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pacing w:after="0" w:line="15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3"/>
          <w:szCs w:val="13"/>
          <w:color w:val="auto"/>
        </w:rPr>
        <w:t>Certification of Chief Executive Officer pursuant to Exchange Act Rules 13a-14(a) and 15d-14(a), as adopted pursuant to Section 302 of the Sarbanes-Oxley Act of 2002</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3"/>
          <w:szCs w:val="13"/>
          <w:color w:val="auto"/>
        </w:rPr>
        <w:t>Certification of Chief Financial Officer pursuant to Exchange Act Rules 13a-14(a) and 15d-14(a), as adopted pursuant to Section 302 of the Sarbanes-Oxley Act of 2002</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3"/>
          <w:szCs w:val="13"/>
          <w:color w:val="auto"/>
        </w:rPr>
        <w:t>Certifications of Chief Executive Officer and Chief Financial Officer pursuant to 18 U.S.C. Section 1350, as adopted pursuant to Section 906 of the Sarbanes-Oxley Act of 2002</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101.SCH*</w:t>
      </w:r>
      <w:r>
        <w:rPr>
          <w:sz w:val="20"/>
          <w:szCs w:val="20"/>
          <w:color w:val="auto"/>
        </w:rPr>
        <w:tab/>
      </w:r>
      <w:r>
        <w:rPr>
          <w:rFonts w:ascii="Arial" w:cs="Arial" w:eastAsia="Arial" w:hAnsi="Arial"/>
          <w:sz w:val="13"/>
          <w:szCs w:val="13"/>
          <w:color w:val="auto"/>
        </w:rPr>
        <w:t>XBRL Taxonomy Extension Schema Document</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101.CAL*</w:t>
      </w:r>
      <w:r>
        <w:rPr>
          <w:sz w:val="20"/>
          <w:szCs w:val="20"/>
          <w:color w:val="auto"/>
        </w:rPr>
        <w:tab/>
      </w:r>
      <w:r>
        <w:rPr>
          <w:rFonts w:ascii="Arial" w:cs="Arial" w:eastAsia="Arial" w:hAnsi="Arial"/>
          <w:sz w:val="13"/>
          <w:szCs w:val="13"/>
          <w:color w:val="auto"/>
        </w:rPr>
        <w:t>XBRL Taxonomy Extension Calculation Linkbase Document</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101.PRE*</w:t>
      </w:r>
      <w:r>
        <w:rPr>
          <w:sz w:val="20"/>
          <w:szCs w:val="20"/>
          <w:color w:val="auto"/>
        </w:rPr>
        <w:tab/>
      </w:r>
      <w:r>
        <w:rPr>
          <w:rFonts w:ascii="Arial" w:cs="Arial" w:eastAsia="Arial" w:hAnsi="Arial"/>
          <w:sz w:val="13"/>
          <w:szCs w:val="13"/>
          <w:color w:val="auto"/>
        </w:rPr>
        <w:t>XBRL Taxonomy Extension Presentation Linkbase Document</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101.DEF*</w:t>
      </w:r>
      <w:r>
        <w:rPr>
          <w:sz w:val="20"/>
          <w:szCs w:val="20"/>
          <w:color w:val="auto"/>
        </w:rPr>
        <w:tab/>
      </w:r>
      <w:r>
        <w:rPr>
          <w:rFonts w:ascii="Arial" w:cs="Arial" w:eastAsia="Arial" w:hAnsi="Arial"/>
          <w:sz w:val="13"/>
          <w:szCs w:val="13"/>
          <w:color w:val="auto"/>
        </w:rPr>
        <w:t>XBRL Taxonomy Extension Definition Linkbase Document</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101.LAB*</w:t>
      </w:r>
      <w:r>
        <w:rPr>
          <w:sz w:val="20"/>
          <w:szCs w:val="20"/>
          <w:color w:val="auto"/>
        </w:rPr>
        <w:tab/>
      </w:r>
      <w:r>
        <w:rPr>
          <w:rFonts w:ascii="Arial" w:cs="Arial" w:eastAsia="Arial" w:hAnsi="Arial"/>
          <w:sz w:val="13"/>
          <w:szCs w:val="13"/>
          <w:color w:val="auto"/>
        </w:rPr>
        <w:t>XBRL Taxonomy Extension Label Linkbase Document</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101.INS*</w:t>
      </w:r>
      <w:r>
        <w:rPr>
          <w:sz w:val="20"/>
          <w:szCs w:val="20"/>
          <w:color w:val="auto"/>
        </w:rPr>
        <w:tab/>
      </w:r>
      <w:r>
        <w:rPr>
          <w:rFonts w:ascii="Arial" w:cs="Arial" w:eastAsia="Arial" w:hAnsi="Arial"/>
          <w:sz w:val="13"/>
          <w:szCs w:val="13"/>
          <w:color w:val="auto"/>
        </w:rPr>
        <w:t>XBRL Instance Document</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90" w:lineRule="exact"/>
        <w:rPr>
          <w:sz w:val="20"/>
          <w:szCs w:val="20"/>
          <w:color w:val="auto"/>
        </w:rPr>
      </w:pPr>
    </w:p>
    <w:p>
      <w:pPr>
        <w:ind w:right="7260" w:firstLine="8"/>
        <w:spacing w:after="0" w:line="221" w:lineRule="auto"/>
        <w:tabs>
          <w:tab w:leader="none" w:pos="94" w:val="left"/>
        </w:tabs>
        <w:numPr>
          <w:ilvl w:val="0"/>
          <w:numId w:val="39"/>
        </w:numPr>
        <w:rPr>
          <w:rFonts w:ascii="Arial" w:cs="Arial" w:eastAsia="Arial" w:hAnsi="Arial"/>
          <w:sz w:val="23"/>
          <w:szCs w:val="23"/>
          <w:color w:val="auto"/>
          <w:vertAlign w:val="superscript"/>
        </w:rPr>
      </w:pPr>
      <w:r>
        <w:rPr>
          <w:rFonts w:ascii="Arial" w:cs="Arial" w:eastAsia="Arial" w:hAnsi="Arial"/>
          <w:sz w:val="13"/>
          <w:szCs w:val="13"/>
          <w:color w:val="auto"/>
        </w:rPr>
        <w:t xml:space="preserve">Indicates management compensatory plan, contract or arrangement. </w:t>
      </w:r>
      <w:r>
        <w:rPr>
          <w:rFonts w:ascii="Arial" w:cs="Arial" w:eastAsia="Arial" w:hAnsi="Arial"/>
          <w:sz w:val="17"/>
          <w:szCs w:val="17"/>
          <w:color w:val="auto"/>
        </w:rPr>
        <w:t xml:space="preserve">* </w:t>
      </w:r>
      <w:r>
        <w:rPr>
          <w:rFonts w:ascii="Arial" w:cs="Arial" w:eastAsia="Arial" w:hAnsi="Arial"/>
          <w:sz w:val="13"/>
          <w:szCs w:val="13"/>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60"/>
          </w:cols>
          <w:pgMar w:left="240" w:top="114" w:right="3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6620" w:type="dxa"/>
            <w:vAlign w:val="bottom"/>
            <w:gridSpan w:val="3"/>
          </w:tcPr>
          <w:p>
            <w:pPr>
              <w:ind w:left="40"/>
              <w:spacing w:after="0"/>
              <w:rPr>
                <w:sz w:val="20"/>
                <w:szCs w:val="20"/>
                <w:color w:val="auto"/>
              </w:rPr>
            </w:pPr>
            <w:r>
              <w:rPr>
                <w:rFonts w:ascii="Arial" w:cs="Arial" w:eastAsia="Arial" w:hAnsi="Arial"/>
                <w:sz w:val="18"/>
                <w:szCs w:val="18"/>
                <w:b w:val="1"/>
                <w:bCs w:val="1"/>
                <w:color w:val="auto"/>
              </w:rPr>
              <w:t>FORTINET, INC. SUBSIDIARIES</w:t>
            </w:r>
          </w:p>
        </w:tc>
      </w:tr>
      <w:tr>
        <w:trPr>
          <w:trHeight w:val="378"/>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3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156"/>
        </w:trPr>
        <w:tc>
          <w:tcPr>
            <w:tcW w:w="38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0" w:type="dxa"/>
            <w:vAlign w:val="bottom"/>
          </w:tcPr>
          <w:p>
            <w:pPr>
              <w:spacing w:after="0"/>
              <w:rPr>
                <w:sz w:val="13"/>
                <w:szCs w:val="13"/>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International,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Cayman Islands</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UK,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Technologies (Canada), ULC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Japan K.K.</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Fortinet Information Technology (Beijing) Co.,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w w:val="95"/>
              </w:rPr>
              <w:t>Fortinet Information Technology (Tianjin) Co.,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Malaysia SDN. BHD.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Singapore Private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Technologies India Private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Innovation Centre India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S.A.R.L.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GmbH</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Federal,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BV</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30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Mexico, S. de R.L. de C.V.</w:t>
            </w:r>
          </w:p>
        </w:tc>
        <w:tc>
          <w:tcPr>
            <w:tcW w:w="1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Network Security Brazil Limitada</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Colombia S.A.S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Colombia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NZ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Israel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Israel</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Korea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Korea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LLC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Qatar</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Italy S.R.L.</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Networks Romania S.R.L.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Romania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Meru Networks International, Inc.</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Meru Networks BV</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Holding LLC</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Accelops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Accelops HK</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Accelops China</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7"/>
        </w:trPr>
        <w:tc>
          <w:tcPr>
            <w:tcW w:w="38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r>
    </w:tbl>
    <w:p>
      <w:pPr>
        <w:sectPr>
          <w:pgSz w:w="11900" w:h="16838" w:orient="portrait"/>
          <w:cols w:equalWidth="0" w:num="1">
            <w:col w:w="10920"/>
          </w:cols>
          <w:pgMar w:left="740" w:top="837"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333-209783, 333-205958, 333-202402, 333-163367, 333-172459, 333-175985, 333-179751, 333-186921, and 333-194281 on Form S-8 of our reports dated March 1, 2017, relating to the consolidated financial statements and financial statement schedule of Fortinet, Inc. and the effectiveness of Fortinet, Inc.’s internal control over financial reporting, appearing in this Annual Report on Form 10-K of Fortinet, Inc. for the year ended December 31,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Annual Report on Form 10-K of Fortinet, Inc. for the fiscal year ended December 31, 2016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40"/>
              <w:spacing w:after="0"/>
              <w:rPr>
                <w:sz w:val="20"/>
                <w:szCs w:val="20"/>
                <w:color w:val="auto"/>
              </w:rPr>
            </w:pPr>
            <w:r>
              <w:rPr>
                <w:rFonts w:ascii="Arial" w:cs="Arial" w:eastAsia="Arial" w:hAnsi="Arial"/>
                <w:sz w:val="18"/>
                <w:szCs w:val="18"/>
                <w:color w:val="auto"/>
              </w:rPr>
              <w:t>March 1, 2017</w:t>
            </w:r>
          </w:p>
        </w:tc>
        <w:tc>
          <w:tcPr>
            <w:tcW w:w="2800" w:type="dxa"/>
            <w:vAlign w:val="bottom"/>
          </w:tcPr>
          <w:p>
            <w:pPr>
              <w:ind w:left="216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Annual Report on Form 10-K of Fortinet, Inc. for the fiscal year ended December 31, 2016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5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40"/>
              <w:spacing w:after="0"/>
              <w:rPr>
                <w:sz w:val="20"/>
                <w:szCs w:val="20"/>
                <w:color w:val="auto"/>
              </w:rPr>
            </w:pPr>
            <w:r>
              <w:rPr>
                <w:rFonts w:ascii="Arial" w:cs="Arial" w:eastAsia="Arial" w:hAnsi="Arial"/>
                <w:sz w:val="18"/>
                <w:szCs w:val="18"/>
                <w:color w:val="auto"/>
              </w:rPr>
              <w:t>March 1, 2017</w:t>
            </w:r>
          </w:p>
        </w:tc>
        <w:tc>
          <w:tcPr>
            <w:tcW w:w="2800" w:type="dxa"/>
            <w:vAlign w:val="bottom"/>
          </w:tcPr>
          <w:p>
            <w:pPr>
              <w:ind w:left="216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2"/>
    </w:lvl>
  </w:abstractNum>
  <w:abstractNum w:abstractNumId="30">
    <w:nsid w:val="5072367"/>
    <w:multiLevelType w:val="hybridMultilevel"/>
    <w:lvl w:ilvl="0">
      <w:lvlJc w:val="left"/>
      <w:lvlText w:val="(%1)"/>
      <w:numFmt w:val="decimal"/>
      <w:start w:val="3"/>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3"/>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2019-12-29T07:22:10Z</dcterms:created>
  <dcterms:modified xsi:type="dcterms:W3CDTF">2019-12-29T07:22:10Z</dcterms:modified>
</cp:coreProperties>
</file>