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740" w:right="1840" w:hanging="3705"/>
        <w:spacing w:after="0" w:line="461"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167"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7"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x</w:t>
            </w:r>
          </w:p>
        </w:tc>
        <w:tc>
          <w:tcPr>
            <w:tcW w:w="502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o</w:t>
            </w:r>
          </w:p>
        </w:tc>
        <w:tc>
          <w:tcPr>
            <w:tcW w:w="502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pacing w:after="0" w:line="175" w:lineRule="exact"/>
        <w:rPr>
          <w:sz w:val="24"/>
          <w:szCs w:val="24"/>
          <w:color w:val="auto"/>
        </w:rPr>
      </w:pPr>
    </w:p>
    <w:p>
      <w:pPr>
        <w:ind w:right="40"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6" w:lineRule="exact"/>
        <w:rPr>
          <w:sz w:val="24"/>
          <w:szCs w:val="24"/>
          <w:color w:val="auto"/>
        </w:rPr>
      </w:pPr>
    </w:p>
    <w:p>
      <w:pPr>
        <w:ind w:left="280"/>
        <w:spacing w:after="0"/>
        <w:tabs>
          <w:tab w:leader="none" w:pos="7860" w:val="left"/>
          <w:tab w:leader="none" w:pos="85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Yes o</w:t>
        <w:tab/>
        <w:t>No x</w:t>
      </w:r>
    </w:p>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October 31, 2018, there were 170,370,205 shares of the registrant’s common stock outstanding.</w:t>
      </w:r>
    </w:p>
    <w:p>
      <w:pPr>
        <w:sectPr>
          <w:pgSz w:w="11900" w:h="16838" w:orient="portrait"/>
          <w:cols w:equalWidth="0" w:num="1">
            <w:col w:w="10219"/>
          </w:cols>
          <w:pgMar w:left="240" w:top="121" w:right="1440"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5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September 30, 2018 and December 31, 2017</w:t>
              </w:r>
            </w:hyperlink>
          </w:p>
        </w:tc>
        <w:tc>
          <w:tcPr>
            <w:tcW w:w="3200" w:type="dxa"/>
            <w:vAlign w:val="bottom"/>
            <w:gridSpan w:val="4"/>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86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Nine Months Ended September 30, 2018 and 2017</w:t>
              </w:r>
            </w:hyperlink>
          </w:p>
        </w:tc>
        <w:tc>
          <w:tcPr>
            <w:tcW w:w="11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6"/>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for the Three and Nine Months Ended September 30, 2018 and 2017</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Nine Months Ended September 30, 2018 and 2017</w:t>
              </w:r>
            </w:hyperlink>
          </w:p>
        </w:tc>
        <w:tc>
          <w:tcPr>
            <w:tcW w:w="2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92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8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1"/>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1">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548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46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Exhibits</w:t>
              </w:r>
            </w:hyperlink>
          </w:p>
        </w:tc>
        <w:tc>
          <w:tcPr>
            <w:tcW w:w="3740" w:type="dxa"/>
            <w:vAlign w:val="bottom"/>
            <w:gridSpan w:val="9"/>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4"/>
          </w:tcPr>
          <w:p>
            <w:pPr>
              <w:spacing w:after="0"/>
              <w:rPr>
                <w:rFonts w:ascii="Arial" w:cs="Arial" w:eastAsia="Arial" w:hAnsi="Arial"/>
                <w:sz w:val="18"/>
                <w:szCs w:val="18"/>
                <w:color w:val="0000EE"/>
                <w:w w:val="93"/>
              </w:rPr>
            </w:pPr>
            <w:hyperlink w:anchor="page78">
              <w:r>
                <w:rPr>
                  <w:rFonts w:ascii="Arial" w:cs="Arial" w:eastAsia="Arial" w:hAnsi="Arial"/>
                  <w:sz w:val="18"/>
                  <w:szCs w:val="18"/>
                  <w:color w:val="0000EE"/>
                  <w:w w:val="93"/>
                </w:rPr>
                <w:t>Exhibit Index</w:t>
              </w:r>
            </w:hyperlink>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79">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440.3</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77.3</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1,716.8</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245.4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146.9</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14.6</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2,763.5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2,257.9</w:t>
            </w: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21.4</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1,027.2</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90.2</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1,668.5</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Common stock, $0.001 par value—300 shares authorized; 170.3 and 167.9 shares issued and outstanding at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September 30, 2018 and December 31, 2017,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909.6</w:t>
            </w:r>
          </w:p>
        </w:tc>
      </w:tr>
      <w:tr>
        <w:trPr>
          <w:trHeight w:val="27"/>
        </w:trPr>
        <w:tc>
          <w:tcPr>
            <w:tcW w:w="8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(319.6)</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2,763.5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2,257.9</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1,078.3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Product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557.5</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509.1</w:t>
            </w:r>
          </w:p>
        </w:tc>
        <w:tc>
          <w:tcPr>
            <w:tcW w:w="0" w:type="dxa"/>
            <w:vAlign w:val="bottom"/>
          </w:tcPr>
          <w:p>
            <w:pPr>
              <w:spacing w:after="0"/>
              <w:rPr>
                <w:sz w:val="1"/>
                <w:szCs w:val="1"/>
                <w:color w:val="auto"/>
              </w:rPr>
            </w:pP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516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INCOME—NET</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(EXPENSE)—NET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(Note 9):</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5"/>
              </w:rPr>
              <w:t>Tax provision related to change in unrealized gains (losses) on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60.7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4"/>
          </w:tcPr>
          <w:p>
            <w:pPr>
              <w:jc w:val="right"/>
              <w:ind w:right="648"/>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20" w:type="dxa"/>
            <w:vAlign w:val="bottom"/>
          </w:tcPr>
          <w:p>
            <w:pPr>
              <w:jc w:val="right"/>
              <w:ind w:right="128"/>
              <w:spacing w:after="0"/>
              <w:rPr>
                <w:sz w:val="20"/>
                <w:szCs w:val="20"/>
                <w:color w:val="auto"/>
              </w:rPr>
            </w:pPr>
            <w:r>
              <w:rPr>
                <w:rFonts w:ascii="Arial" w:cs="Arial" w:eastAsia="Arial" w:hAnsi="Arial"/>
                <w:sz w:val="16"/>
                <w:szCs w:val="16"/>
                <w:b w:val="1"/>
                <w:bCs w:val="1"/>
                <w:color w:val="auto"/>
                <w:w w:val="91"/>
              </w:rPr>
              <w:t>September 30,</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46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48"/>
              <w:spacing w:after="0"/>
              <w:rPr>
                <w:sz w:val="20"/>
                <w:szCs w:val="20"/>
                <w:color w:val="auto"/>
              </w:rPr>
            </w:pPr>
            <w:r>
              <w:rPr>
                <w:rFonts w:ascii="Arial" w:cs="Arial" w:eastAsia="Arial" w:hAnsi="Arial"/>
                <w:sz w:val="16"/>
                <w:szCs w:val="16"/>
                <w:b w:val="1"/>
                <w:bCs w:val="1"/>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60.4</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102.7</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41.2</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Amortization of investment premiums</w:t>
            </w: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51.4</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184.4</w:t>
            </w: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458.7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436.9</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140" w:type="dxa"/>
            <w:vAlign w:val="bottom"/>
          </w:tcPr>
          <w:p>
            <w:pPr>
              <w:spacing w:after="0"/>
              <w:rPr>
                <w:sz w:val="22"/>
                <w:szCs w:val="22"/>
                <w:color w:val="auto"/>
              </w:rPr>
            </w:pPr>
          </w:p>
        </w:tc>
        <w:tc>
          <w:tcPr>
            <w:tcW w:w="1240" w:type="dxa"/>
            <w:vAlign w:val="bottom"/>
          </w:tcPr>
          <w:p>
            <w:pPr>
              <w:jc w:val="right"/>
              <w:ind w:right="7"/>
              <w:spacing w:after="0"/>
              <w:rPr>
                <w:sz w:val="20"/>
                <w:szCs w:val="20"/>
                <w:color w:val="auto"/>
              </w:rPr>
            </w:pPr>
            <w:r>
              <w:rPr>
                <w:rFonts w:ascii="Arial" w:cs="Arial" w:eastAsia="Arial" w:hAnsi="Arial"/>
                <w:sz w:val="14"/>
                <w:szCs w:val="14"/>
                <w:color w:val="auto"/>
              </w:rPr>
              <w:t>(405.2)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(359.6)</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329.1</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r>
      <w:tr>
        <w:trPr>
          <w:trHeight w:val="264"/>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made in connection with business combination, net of cash acquired</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5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(142.1)</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w:t>
            </w: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140" w:type="dxa"/>
            <w:vAlign w:val="bottom"/>
          </w:tcPr>
          <w:p>
            <w:pPr>
              <w:spacing w:after="0"/>
              <w:rPr>
                <w:sz w:val="22"/>
                <w:szCs w:val="22"/>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61.9</w:t>
            </w: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r>
      <w:tr>
        <w:trPr>
          <w:trHeight w:val="264"/>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Payments of debt assumed in connection with business combination</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5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(98.0)</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Pr>
          <w:p>
            <w:pPr>
              <w:spacing w:after="0"/>
              <w:rPr>
                <w:sz w:val="21"/>
                <w:szCs w:val="21"/>
                <w:color w:val="auto"/>
              </w:rPr>
            </w:pPr>
          </w:p>
        </w:tc>
        <w:tc>
          <w:tcPr>
            <w:tcW w:w="1240" w:type="dxa"/>
            <w:vAlign w:val="bottom"/>
          </w:tcPr>
          <w:p>
            <w:pPr>
              <w:jc w:val="right"/>
              <w:ind w:right="47"/>
              <w:spacing w:after="0"/>
              <w:rPr>
                <w:sz w:val="20"/>
                <w:szCs w:val="20"/>
                <w:color w:val="auto"/>
              </w:rPr>
            </w:pPr>
            <w:r>
              <w:rPr>
                <w:rFonts w:ascii="Arial" w:cs="Arial" w:eastAsia="Arial" w:hAnsi="Arial"/>
                <w:sz w:val="14"/>
                <w:szCs w:val="14"/>
                <w:color w:val="auto"/>
              </w:rPr>
              <w:t>358.3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196.8</w:t>
            </w: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1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811.0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709.0</w:t>
            </w: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1,169.3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905.8</w:t>
            </w: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w:t>
            </w: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Basis of Presentation and Preparation</w:t>
      </w:r>
      <w:r>
        <w:rPr>
          <w:rFonts w:ascii="Arial" w:cs="Arial" w:eastAsia="Arial" w:hAnsi="Arial"/>
          <w:sz w:val="17"/>
          <w:szCs w:val="17"/>
          <w:color w:val="auto"/>
        </w:rPr>
        <w:t>—The unaudited condensed consolidated financial statements of Fortinet,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2017, contained in our Annual Report on Form 10-K filed with the SEC on February 26, 2018 (the “Form 10-K”). In the opinion of management, all adjustments, which includes normal recurring adjustments, considered necessary for a fair presentation have been included. All intercompany balances, transactions and cash flows have been eliminated. The results of operations for the three and nine months ended September 30, 2018 are not necessarily indicative of the results for the full year or for any future periods. The condensed consolidated balance sheet as of December 31, 2017 is derived from the audited consolidated financial statements for the year ended December 31, 2017.</w:t>
      </w:r>
    </w:p>
    <w:p>
      <w:pPr>
        <w:spacing w:after="0" w:line="182"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and nine months ended September 30, 2018, except for the accounting policies for revenue recognition, trade receivables and deferred contract costs that were updated as a result of adopting Accounting Standards Update (“ASU”) 2014-09, Revenue from Contracts with Customers (Topic 606) (“Topic 606”). For more information, refer to the “Recently Adopted Accounting Standards” and Note 2.</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 – Recognition and Measurement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January 2016, the Financial Accounting Standard Board (“FASB”) issued ASU 2016-01—Financial Instruments—Overall (Subtopic 825-10): Recognition and Measurement of Financial Assets and Financial Liabilities, with further clarifications made recently with the issuance of ASU 2018-03, which requires most equity investments to be measured at fair value, with subsequent changes in fair value recognized in net income. A practicality exception applies to those equity investments that do not have a readily determinable fair value. These investments may be measured at cost, adjusted for changes in observable prices minus impairment. ASU 2016-01 was effective prospectively for us beginning on January 1, 2018 for our equity investments, which were previously accounted for under the cost-method. We adopted ASU 2016-01 on January 1, 2018. There was no material impact on our condensed consolidated financial statements as of the adoption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May 2014, the FASB issued Topic 606, which supersedes the revenue recognition requirements in Topic 605, Revenue Recognition, and requires entities to recognize revenue when control of the promised goods or services is transferred to customers at an amount that reflects the consideration to which the entity expects to be entitled in exchange for those goods or services. We adopted Topic 606 as of January 1, 2018 using the modified retrospective transition method. The comparative information has not been restated and continues to be reported under the accounting standards in effect for those periods.</w:t>
      </w:r>
    </w:p>
    <w:p>
      <w:pPr>
        <w:spacing w:after="0" w:line="15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recorded a net reduction to our accumulated deficit as of January 1, 2018 of $117.3 million due to the cumulative impact of adopting Topic 606. The primary impact of adopting Topic 606 relates to the deferral of our incremental contract costs, which are comprised of sales commissions. Prior to January 1, 2018, we expensed all sales commissions upfront. Beginning on January 1, 2018, we continue to expense sales commissions related to product sales upfront, but capitalize and then amortize certain sales commissions on service contracts over the applicable amortization period. The capitalized sales commissions for initial service contracts are deferred and then amortized as expense on a straight-line basis over the period of benefit which we have determined to be five years. Sales commissions for renewal contracts are deferred and then amortized on a straight line basis over the contractual period of the underlying contracts. The deferral of sales commissions generated a deferred tax liability of $23.8 million, of which $18.0 million was recorded against deferred tax assets and the remaining $5.8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million was recorded in other long-term liabilities on our condensed consolidated balance sheet. The impact on deferred revenue as of January 1, 2018 was $4.1 million, which primarily relates to certain changes in revenue recognition on software license sales and the acceleration of revenue from U.S.-based channel partners which were previously deferred until the product was sold through. Beginning on January 1, 2018, our sales returns reserve is now included on the balance sheet in accrued liabilities and no longer as a reduction to our accounts receivable. See Note 2 for further details.</w:t>
      </w:r>
    </w:p>
    <w:p>
      <w:pPr>
        <w:spacing w:after="0" w:line="15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cumulative effects of the changes made to our January 1, 2018 condensed consolidated balance sheet for the adoption of Topic 606 were as follows (in millions):</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Balance at</w:t>
            </w:r>
          </w:p>
        </w:tc>
        <w:tc>
          <w:tcPr>
            <w:tcW w:w="220" w:type="dxa"/>
            <w:vAlign w:val="bottom"/>
          </w:tcPr>
          <w:p>
            <w:pPr>
              <w:spacing w:after="0"/>
              <w:rPr>
                <w:sz w:val="17"/>
                <w:szCs w:val="17"/>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Adjustments due to</w:t>
            </w:r>
          </w:p>
        </w:tc>
        <w:tc>
          <w:tcPr>
            <w:tcW w:w="280" w:type="dxa"/>
            <w:vAlign w:val="bottom"/>
          </w:tcPr>
          <w:p>
            <w:pPr>
              <w:spacing w:after="0"/>
              <w:rPr>
                <w:sz w:val="17"/>
                <w:szCs w:val="17"/>
                <w:color w:val="auto"/>
              </w:rPr>
            </w:pPr>
          </w:p>
        </w:tc>
        <w:tc>
          <w:tcPr>
            <w:tcW w:w="1660" w:type="dxa"/>
            <w:vAlign w:val="bottom"/>
          </w:tcPr>
          <w:p>
            <w:pPr>
              <w:jc w:val="right"/>
              <w:ind w:right="532"/>
              <w:spacing w:after="0"/>
              <w:rPr>
                <w:sz w:val="20"/>
                <w:szCs w:val="20"/>
                <w:color w:val="auto"/>
              </w:rPr>
            </w:pPr>
            <w:r>
              <w:rPr>
                <w:rFonts w:ascii="Arial" w:cs="Arial" w:eastAsia="Arial" w:hAnsi="Arial"/>
                <w:sz w:val="16"/>
                <w:szCs w:val="16"/>
                <w:b w:val="1"/>
                <w:bCs w:val="1"/>
                <w:color w:val="auto"/>
              </w:rPr>
              <w:t>Balance at</w:t>
            </w:r>
          </w:p>
        </w:tc>
      </w:tr>
      <w:tr>
        <w:trPr>
          <w:trHeight w:val="210"/>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 2017</w:t>
            </w:r>
          </w:p>
        </w:tc>
        <w:tc>
          <w:tcPr>
            <w:tcW w:w="220" w:type="dxa"/>
            <w:vAlign w:val="bottom"/>
          </w:tcPr>
          <w:p>
            <w:pPr>
              <w:spacing w:after="0"/>
              <w:rPr>
                <w:sz w:val="18"/>
                <w:szCs w:val="18"/>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80" w:type="dxa"/>
            <w:vAlign w:val="bottom"/>
          </w:tcPr>
          <w:p>
            <w:pPr>
              <w:spacing w:after="0"/>
              <w:rPr>
                <w:sz w:val="18"/>
                <w:szCs w:val="18"/>
                <w:color w:val="auto"/>
              </w:rPr>
            </w:pPr>
          </w:p>
        </w:tc>
        <w:tc>
          <w:tcPr>
            <w:tcW w:w="1660" w:type="dxa"/>
            <w:vAlign w:val="bottom"/>
          </w:tcPr>
          <w:p>
            <w:pPr>
              <w:jc w:val="right"/>
              <w:ind w:right="312"/>
              <w:spacing w:after="0"/>
              <w:rPr>
                <w:sz w:val="20"/>
                <w:szCs w:val="20"/>
                <w:color w:val="auto"/>
              </w:rPr>
            </w:pPr>
            <w:r>
              <w:rPr>
                <w:rFonts w:ascii="Arial" w:cs="Arial" w:eastAsia="Arial" w:hAnsi="Arial"/>
                <w:sz w:val="16"/>
                <w:szCs w:val="16"/>
                <w:b w:val="1"/>
                <w:bCs w:val="1"/>
                <w:color w:val="auto"/>
              </w:rPr>
              <w:t>January 1, 2018</w:t>
            </w:r>
          </w:p>
        </w:tc>
      </w:tr>
      <w:tr>
        <w:trPr>
          <w:trHeight w:val="33"/>
        </w:trPr>
        <w:tc>
          <w:tcPr>
            <w:tcW w:w="5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361.8</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128.9</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contract costs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137.1</w:t>
            </w:r>
          </w:p>
        </w:tc>
      </w:tr>
      <w:tr>
        <w:trPr>
          <w:trHeight w:val="297"/>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63.6</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 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794.1</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32"/>
              <w:spacing w:after="0"/>
              <w:rPr>
                <w:sz w:val="20"/>
                <w:szCs w:val="20"/>
                <w:color w:val="auto"/>
              </w:rPr>
            </w:pPr>
            <w:r>
              <w:rPr>
                <w:rFonts w:ascii="Arial" w:cs="Arial" w:eastAsia="Arial" w:hAnsi="Arial"/>
                <w:sz w:val="18"/>
                <w:szCs w:val="18"/>
                <w:color w:val="auto"/>
              </w:rPr>
              <w:t>538.1</w:t>
            </w:r>
          </w:p>
        </w:tc>
      </w:tr>
      <w:tr>
        <w:trPr>
          <w:trHeight w:val="27"/>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 non-current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r>
      <w:tr>
        <w:trPr>
          <w:trHeight w:val="297"/>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(202.3)</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February 2016, the FASB issued ASU 2016-02—Leases, which requires the recognition of right-of-use assets and lease liabilities on the consolidated balance sheet for substantially all leases. ASU 2016-02 includes a number of optional practical expedients that entities may elect to apply. ASU 2016-02 will also require significant additional disclosures about the amount, timing and uncertainty of cash flows from leases. In July 2018, the FASB issued ASU 2018-10—Codification Improvements to Topic 842, Leases, and ASU 2018-11 Leases (Topic 842) Targeted Improvements, which address questions about how to apply certain aspects of Accounting Standards Codification (“ASC”) 2016-02. The clarifications address the rate implicit in the lease, impairment of the net investment in the lease, lessee reassessment of lease classification, lessor reassessment of lease term and purchase options and variable payments that depend on an index or rate, and provide an alternative transition approach that allows companies to initially apply the new leases standard by recognizing a cumulative-effect adjustment on adoption date. ASC 2016-02 will be effective for us beginning on January 1, 2019, using a modified retrospective approach. Based on our current lease portfolio, we currently estimate the value of leased assets and liabilities that may be recognized on the consolidated balance sheet to be at least $45.0 million. We are continuing to evaluate the impact of ASU 2016-02 and our estimate is subject to change. We do not believe that ASC 2016-02 will have a material impact on our consolidated statements of operations and cash flows. We expect to expand our disclosures in the notes to consolidated financial statements to include more details on our leases, significant judgments and lease-related amounts recognized in the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ASC 2018-07 expands the scope of ASC Topic 718, Compensation-Stock Compensation (“ASC 718”) to include share-based payments granted to nonemployees in exchange for goods or services used or consumed in an entity’s own operations and supersedes the guidance in ASC 505-50 by moving it to ASC 718. This amendment is effective for us beginning January 1, 2019. Early adoption is permitted, but no earlier than an entity’s adoption date of ASC 606. We are currently evaluating the impact of ASU 2018-07 on our consolidated financial statements.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Subtopic 350-40 to determine which implementation costs to capitalize as assets or expense as incurred. ASU 2018-15 is effective for us beginning January 1, 2020, and early adoption is permitted. We are currently evaluating the impact of ASU 2018-15 on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We are currently evaluating the impact of ASU 2018-13 on our consolidated financial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Tax Cuts and Jobs Act of 2017 (the “2017 Tax Act”), from accumulated other comprehensive income to retained earnings. ASU 2018-02 also requires certain new disclosures regardless of the election. ASU 2018-02 is effective for us beginning January 1, 2019, and early adoption is permitted. We are currently evaluating the impact of ASU 2018-02 on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June 2016, the FASB issued ASU 2016-13—Financial Instruments-Credit Losses (Topic 326): Measurement of Credit Losses on Financial Instruments, which requires a financial asset (or a group of financial assets) measured at an amortized cost basis to be presented at the net amount expected to be collected. The new approach to estimating credit losses (referred to as the current expected credit losses model) applies to most financial assets measured at amortized cost and certain other instruments, including trade and other receivables, loans and held-to-maturity debt securities. ASU 2016-13 is effective for us beginning on January 1, 2020, and early adoption is permitted. We are currently evaluating the impact of ASU 2016-13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On January 1, 2018 we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under Topic 605. The details of significant changes and quantitative impact of the changes are discussed below.</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derive the majority of our revenue from sales of our products, FortiGuard security subscription and FortiCare technical support services, and other services. Beginning in 2018, revenues are recognized when control of these goods or services is transferred to our customers, in an amount that reflects the consideration we expect to be entitled to in exchange for those goods or services. Prior to 2018, revenue was recognized under Topic 605 when all of the following criteria were met: (i) persuasive evidence of an arrangement existed, (ii) delivery has occurred or services have been rendered, (iii) sales price was fixed or determinable and (iv) collectability was reasonably assured.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Topic 606, we determine revenue recognition through the following steps:</w:t>
      </w:r>
    </w:p>
    <w:p>
      <w:pPr>
        <w:spacing w:after="0" w:line="252" w:lineRule="exact"/>
        <w:rPr>
          <w:sz w:val="20"/>
          <w:szCs w:val="20"/>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the customer,</w:t>
      </w:r>
    </w:p>
    <w:p>
      <w:pPr>
        <w:spacing w:after="0" w:line="23" w:lineRule="exact"/>
        <w:rPr>
          <w:rFonts w:ascii="Arial" w:cs="Arial" w:eastAsia="Arial" w:hAnsi="Arial"/>
          <w:sz w:val="18"/>
          <w:szCs w:val="18"/>
          <w:color w:val="auto"/>
        </w:rPr>
      </w:pPr>
    </w:p>
    <w:p>
      <w:pPr>
        <w:ind w:left="1300" w:right="180" w:hanging="320"/>
        <w:spacing w:after="0" w:line="26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including evaluation of performance obligations as to being distinct goods or services in a contract,</w:t>
      </w:r>
    </w:p>
    <w:p>
      <w:pPr>
        <w:spacing w:after="0" w:line="1"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Product revenue primarily consists of sales of hardware and software licenses of our FortiGate and Fabric products. We derive a majority of product sales from our FortiGate products. Our FortiGate products include a broad set of built-in security and networking features and functionalities including firewall, SD-WAN, data leak prevention, VPN, switch and wireless controller and WAN acceleration, among others.</w:t>
      </w:r>
    </w:p>
    <w:p>
      <w:pPr>
        <w:spacing w:after="0" w:line="166"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We previously recognized product revenue for sales to distributors that had no general right of return and direct sales to end-customers upon shipment, based on general revenue recognition accounting guidance once all other revenue recognition criteria were met. Certain distributors are granted stock rotation rights, limited rights of return or rebates for sales of our products. The arrangement fee for this group of distributors was not fixed or determinable when products were shipped and revenue was therefore deferred and recognized upon sell-through. Under Topic 606, we recognize product revenue upon shipment when control of the promised goods is transferred to the customer. We recognize revenue from term licenses upon electronic transfer of the license key to the customer. Previously, term licenses were recognized over the license period.</w:t>
      </w:r>
    </w:p>
    <w:p>
      <w:pPr>
        <w:spacing w:after="0" w:line="178" w:lineRule="exact"/>
        <w:rPr>
          <w:sz w:val="20"/>
          <w:szCs w:val="20"/>
          <w:color w:val="auto"/>
        </w:rPr>
      </w:pPr>
    </w:p>
    <w:p>
      <w:pPr>
        <w:jc w:val="both"/>
        <w:ind w:right="500" w:firstLine="648"/>
        <w:spacing w:after="0" w:line="312" w:lineRule="auto"/>
        <w:rPr>
          <w:sz w:val="20"/>
          <w:szCs w:val="20"/>
          <w:color w:val="auto"/>
        </w:rPr>
      </w:pPr>
      <w:r>
        <w:rPr>
          <w:rFonts w:ascii="Arial" w:cs="Arial" w:eastAsia="Arial" w:hAnsi="Arial"/>
          <w:sz w:val="16"/>
          <w:szCs w:val="16"/>
          <w:color w:val="auto"/>
        </w:rPr>
        <w:t>We generally provide a 1-year warranty on hardware products and a 90-day warranty on software that provides assurance that our hardware or software products conform to published specifications. Such assurance-type warranties are not deemed to be separate performance obligations from the hardware or software product and costs associated with providing the warranties are accrued in accordance with ASC 460-10.</w:t>
      </w:r>
    </w:p>
    <w:p>
      <w:pPr>
        <w:spacing w:after="0" w:line="14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Service revenue relates to sales of our FortiGuard security subscription, FortiCare technical support services, and other services. Our FortiGuard security subscription services provide access to our application control, intrusion prevention, anti-botnet and mobile, anti-spam, web filtering, cloud sandbox and virus outbreak protection, industry security, security rating service and threat intelligent service functionality. Our FortiCare support services include rights to unspecified software upgrades, maintenance releases and patches, telephone and internet access to technical support personnel. Our typical subscription and contractual support term is one to three years, and to a lesser extent, five years. Our revenue recognition for service arrangements did not significantly change under Topic 606. We continue to recognize revenue from these services ratably over the contractual service period because of continuous transfer of control to the customer over the maintenance period. Revenue related to subsequent renewals of these services are recognized over the support term of the renewal agreement. We also generate a small portion of our revenue from other services consisting of professional services, training and software-as-a-service (“SaaS”) which is either hosted or cloud-based services. We recognize revenue from professional and training services as the services are provided. We recognize revenue from SaaS as the subscription service is delivered over the term, which is typically one year, or on a monthly usage basis. To date, SaaS revenue has not represented a significant percentage of our total revenue.</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Our sales contracts typically contain multiple deliverables, such as hardware, software license, security subscription, technical support services and other services, which are generally capable of being distinct and accounted for as separate performance obligations. We evaluated the criteria to be distinct under Topic 606 and concluded that the hardware and software license were distinct and distinct in the context of the contract from the security subscription and technical support services, as the customer can benefit from the hardware and license without the services and the services are separately identifiable within the contract. We allocate the transaction price to each performance obligation based on relative standalone selling price. We determine standalone selling price based on the historical pricing and discounting practices for those services when sold separately. We determine standalone selling price for a product or service by considering multiple historical factors including, but not limited to, cost of products, gross margin objectives, pricing practices, geographies and the term of the service contract that fall within a reasonably range as a percentage of list price. Revenue is reported net of sales tax.</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Topic 605, revenue from contracts that contain our products and services are allocated to each unit of accounting based on an estimated selling price using vendor-specific objective evidence (“VSOE”) of selling price, if it existed, or third-party evidence (“TPE”) of selling price. If neither VSOE nor TPE of selling price existed for a deliverable, we used our best estimate of selling price for that deliverable. For multiple-element arrangements where software deliverables were included, revenue was allocated to the non-software deliverables and to the software deliverables as a group using the relative estimated selling prices of each of the deliverables in the arrangement based on the estimated selling price hierarchy. The amount allocated to the software deliverables was then allocated to each software deliverable using the residual method when VSOE of fair value existed. If evidence of VSOE of fair value of one or more undelivered elements did not exist, all software allocated revenue was deferred and recognized when delivery of those elements occurred or when fair value was established. When the undelivered element for which we did not have VSOE of fair value was support, revenue for the entire arrangement was recognized ratably over the support period. The same residual method and VSOE of fair value principles applied for our multiple element arrangements that contained only software elements.</w:t>
      </w:r>
    </w:p>
    <w:p>
      <w:pPr>
        <w:spacing w:after="0" w:line="178"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certain circumstances, our contracts include provisions for sales rebates and other customer incentive programs. Additionally, in limited circumstances, we may permit end-customers, distributors and resellers to return our products, subject to varying limitations, for a refund within a reasonably short period from the date of purchase. These amounts are accounted for as variable consideration that can decrease the transaction price. We estimate variable consideration at the most likely amounts to which we expect our customers to be entitled. We include estimated amounts in the transaction price to the extent that it is probable that a significant reversal of cumulative revenue recognized will not occur when the uncertainty associated with the variable consideration is resolved. Our estimate for sales return reserve was $13.7 million as of September 30, 2018 and is included in current liabilities in our condensed consolidated balance sheet. Under Topic 605, a sales return reserve of $13.6 million was presented as a reduction to accounts receivable as of December 31, 2017.</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generally invoice at the time of our sale for the total price of the hardware, software licenses, security and technical support and other services, and the invoice is payable within 30 to 45 days. We also invoice certain services on a monthly basis. Amounts billed and due from our customers are classified as receivables on the balance sheet and do not bear interest. Our deferred revenue primarily consists of amounts that have been invoiced but have not been recognized as revenue as of period end.</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three and nine months ended September 30, 2018, we recognized $173.0 million and $615.3 million, respectively, in revenue that was included in the deferred revenue balance as of December 31, 2017.</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Shipping and handling fees charged to our customers are recognized as product revenue in the period shipped and the related costs for providing these services are recorded as a cost of sale. Shipping and handling fees recognized as product revenue were not significant during the three and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8"/>
                <w:szCs w:val="18"/>
                <w:color w:val="auto"/>
              </w:rPr>
            </w:pPr>
          </w:p>
        </w:tc>
        <w:tc>
          <w:tcPr>
            <w:tcW w:w="3500" w:type="dxa"/>
            <w:vAlign w:val="bottom"/>
            <w:gridSpan w:val="4"/>
          </w:tcPr>
          <w:p>
            <w:pPr>
              <w:jc w:val="right"/>
              <w:ind w:right="109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3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3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60" w:type="dxa"/>
            <w:vAlign w:val="bottom"/>
          </w:tcPr>
          <w:p>
            <w:pPr>
              <w:jc w:val="right"/>
              <w:ind w:right="332"/>
              <w:spacing w:after="0"/>
              <w:rPr>
                <w:sz w:val="20"/>
                <w:szCs w:val="20"/>
                <w:color w:val="auto"/>
              </w:rPr>
            </w:pPr>
            <w:r>
              <w:rPr>
                <w:rFonts w:ascii="Arial" w:cs="Arial" w:eastAsia="Arial" w:hAnsi="Arial"/>
                <w:sz w:val="16"/>
                <w:szCs w:val="16"/>
                <w:b w:val="1"/>
                <w:bCs w:val="1"/>
                <w:color w:val="auto"/>
              </w:rPr>
              <w:t>September 30,</w:t>
            </w:r>
          </w:p>
        </w:tc>
      </w:tr>
      <w:tr>
        <w:trPr>
          <w:trHeight w:val="243"/>
        </w:trPr>
        <w:tc>
          <w:tcPr>
            <w:tcW w:w="37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 xml:space="preserve">2017 </w:t>
            </w:r>
            <w:r>
              <w:rPr>
                <w:rFonts w:ascii="Arial" w:cs="Arial" w:eastAsia="Arial" w:hAnsi="Arial"/>
                <w:sz w:val="21"/>
                <w:szCs w:val="21"/>
                <w:b w:val="1"/>
                <w:bCs w:val="1"/>
                <w:color w:val="auto"/>
                <w:vertAlign w:val="superscript"/>
              </w:rPr>
              <w:t>(1)</w:t>
            </w: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415.1</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Service:</w:t>
            </w: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w:t>
            </w:r>
          </w:p>
        </w:tc>
      </w:tr>
      <w:tr>
        <w:trPr>
          <w:trHeight w:val="243"/>
        </w:trPr>
        <w:tc>
          <w:tcPr>
            <w:tcW w:w="3760" w:type="dxa"/>
            <w:vAlign w:val="bottom"/>
          </w:tcPr>
          <w:p>
            <w:pPr>
              <w:ind w:left="160"/>
              <w:spacing w:after="0"/>
              <w:rPr>
                <w:sz w:val="20"/>
                <w:szCs w:val="20"/>
                <w:color w:val="auto"/>
              </w:rPr>
            </w:pPr>
            <w:r>
              <w:rPr>
                <w:rFonts w:ascii="Arial" w:cs="Arial" w:eastAsia="Arial" w:hAnsi="Arial"/>
                <w:sz w:val="18"/>
                <w:szCs w:val="18"/>
                <w:color w:val="auto"/>
              </w:rPr>
              <w:t>Technical support</w:t>
            </w:r>
          </w:p>
        </w:tc>
        <w:tc>
          <w:tcPr>
            <w:tcW w:w="26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32"/>
              <w:spacing w:after="0"/>
              <w:rPr>
                <w:sz w:val="20"/>
                <w:szCs w:val="20"/>
                <w:color w:val="auto"/>
              </w:rPr>
            </w:pPr>
            <w:r>
              <w:rPr>
                <w:rFonts w:ascii="Arial" w:cs="Arial" w:eastAsia="Arial" w:hAnsi="Arial"/>
                <w:sz w:val="18"/>
                <w:szCs w:val="18"/>
                <w:color w:val="auto"/>
              </w:rPr>
              <w:t>267.3</w:t>
            </w:r>
          </w:p>
        </w:tc>
      </w:tr>
      <w:tr>
        <w:trPr>
          <w:trHeight w:val="27"/>
        </w:trPr>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Professional services and training</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r>
      <w:tr>
        <w:trPr>
          <w:trHeight w:val="237"/>
        </w:trPr>
        <w:tc>
          <w:tcPr>
            <w:tcW w:w="3760" w:type="dxa"/>
            <w:vAlign w:val="bottom"/>
          </w:tcPr>
          <w:p>
            <w:pPr>
              <w:ind w:left="280"/>
              <w:spacing w:after="0"/>
              <w:rPr>
                <w:sz w:val="20"/>
                <w:szCs w:val="20"/>
                <w:color w:val="auto"/>
              </w:rPr>
            </w:pPr>
            <w:r>
              <w:rPr>
                <w:rFonts w:ascii="Arial" w:cs="Arial" w:eastAsia="Arial" w:hAnsi="Arial"/>
                <w:sz w:val="18"/>
                <w:szCs w:val="18"/>
                <w:color w:val="auto"/>
              </w:rPr>
              <w:t>Total service revenue</w:t>
            </w:r>
          </w:p>
        </w:tc>
        <w:tc>
          <w:tcPr>
            <w:tcW w:w="2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820.6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663.2</w:t>
            </w:r>
          </w:p>
        </w:tc>
      </w:tr>
      <w:tr>
        <w:trPr>
          <w:trHeight w:val="27"/>
        </w:trPr>
        <w:tc>
          <w:tcPr>
            <w:tcW w:w="3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374.2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1,294.2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1,078.3</w:t>
            </w:r>
          </w:p>
        </w:tc>
      </w:tr>
    </w:tbl>
    <w:p>
      <w:pPr>
        <w:spacing w:after="0" w:line="2" w:lineRule="exact"/>
        <w:rPr>
          <w:sz w:val="20"/>
          <w:szCs w:val="20"/>
          <w:color w:val="auto"/>
        </w:rPr>
      </w:pPr>
    </w:p>
    <w:p>
      <w:pPr>
        <w:ind w:left="220" w:hanging="178"/>
        <w:spacing w:after="0"/>
        <w:tabs>
          <w:tab w:leader="none" w:pos="22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-145415</wp:posOffset>
            </wp:positionV>
            <wp:extent cx="4845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450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jc w:val="both"/>
        <w:ind w:right="660" w:firstLine="648"/>
        <w:spacing w:after="0" w:line="286" w:lineRule="auto"/>
        <w:rPr>
          <w:sz w:val="20"/>
          <w:szCs w:val="20"/>
          <w:color w:val="auto"/>
        </w:rPr>
      </w:pPr>
      <w:r>
        <w:rPr>
          <w:rFonts w:ascii="Arial" w:cs="Arial" w:eastAsia="Arial" w:hAnsi="Arial"/>
          <w:sz w:val="17"/>
          <w:szCs w:val="17"/>
          <w:color w:val="auto"/>
        </w:rPr>
        <w:t>As of September 30, 2018, we had $1.54 billion in remaining performance obligations, which is substantially comprised of deferred security subscription and technical support services not yet delivered. We expect to recognize revenue on approximately 80% of these remaining performance obligations over the next one to two years, with the remaining balance to be recognized in three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Trade accounts receivable are recorded at the invoiced amount. Trade accounts receivable is reduced by allowance for doubtful accounts which is determined based on our assessment of the collectability of customer accounts. The allowance for doubtful accounts was $0.7 million and $0.9 million as of September 30, 2018 and December 31, 2017, respectively. As of December 31, 2017, accounts receivable was also reduced by sales return reserve of $13.6 million which we reclassified to accrued liabilities account as of January 1, 2018 in accordance with the adoption of Topic 606.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Contract assets represent amounts that have been recognized as revenue but for which we did not have the unconditional right to invoice the customer. Contract assets were insignificant as of September 30, 2018 and January 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Sales commissions for the sale of products and software licenses are recognized at the time of sale. Sales commissions for initial service contracts are deferred and then amortized as an expense on a straight-line basis over the period of benefit which we have determined to be five years. We determined the period of benefit taking into consideration our customer contracts, our technology and other factors. Sales commissions for renewal contracts are deferred and then amortized on a straight line basis over the contractual period of the underlying contracts which ranges from one to three years and, to a lesser extent, five years. The amortization of deferred contract costs is included in sales and marketing expense in our condensed consolidated statement of operations. Amortization of deferred contract costs during the three and nine months ended September 30, 2018 was $23.2 million and $66.3 million, respectively. No impairment loss was recognized during the three and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elected to use the contract modification practical expedient. This practical expedient allows for all contract modifications before January 1, 2018 to be aggregated and evaluated at adoption date.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Condensed Consolidated Financial Statements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following tables summarize the impact of adopting Topic 606 on our condensed consolidated financial statements as of and for the three and nine months ended September 30, 2018 (in millions). These tables do not represent the full condensed consolidated financial statements as they only reflect the accounts impacted by the adoption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Balance Sheet</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9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As of September 30, 2018</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ind w:right="331"/>
              <w:spacing w:after="0"/>
              <w:rPr>
                <w:sz w:val="20"/>
                <w:szCs w:val="20"/>
                <w:color w:val="auto"/>
              </w:rPr>
            </w:pPr>
            <w:r>
              <w:rPr>
                <w:rFonts w:ascii="Arial" w:cs="Arial" w:eastAsia="Arial" w:hAnsi="Arial"/>
                <w:sz w:val="16"/>
                <w:szCs w:val="16"/>
                <w:b w:val="1"/>
                <w:bCs w:val="1"/>
                <w:color w:val="auto"/>
              </w:rPr>
              <w:t>As Reported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398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324.4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Inventory</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contract costs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169.6</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15.2</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revenue, 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3980" w:type="dxa"/>
            <w:vAlign w:val="bottom"/>
          </w:tcPr>
          <w:p>
            <w:pPr>
              <w:ind w:left="260"/>
              <w:spacing w:after="0"/>
              <w:rPr>
                <w:sz w:val="20"/>
                <w:szCs w:val="20"/>
                <w:color w:val="auto"/>
              </w:rPr>
            </w:pPr>
            <w:r>
              <w:rPr>
                <w:rFonts w:ascii="Arial" w:cs="Arial" w:eastAsia="Arial" w:hAnsi="Arial"/>
                <w:sz w:val="18"/>
                <w:szCs w:val="18"/>
                <w:color w:val="auto"/>
              </w:rPr>
              <w:t>Deferred revenue, non-current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668.2</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39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liabilities, non-current</w:t>
            </w:r>
          </w:p>
        </w:tc>
        <w:tc>
          <w:tcPr>
            <w:tcW w:w="2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97"/>
        </w:trPr>
        <w:tc>
          <w:tcPr>
            <w:tcW w:w="39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(156.0)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152.5</w:t>
            </w:r>
          </w:p>
        </w:tc>
      </w:tr>
      <w:tr>
        <w:trPr>
          <w:trHeight w:val="702"/>
        </w:trPr>
        <w:tc>
          <w:tcPr>
            <w:tcW w:w="3980" w:type="dxa"/>
            <w:vAlign w:val="bottom"/>
          </w:tcPr>
          <w:p>
            <w:pPr>
              <w:spacing w:after="0"/>
              <w:rPr>
                <w:sz w:val="24"/>
                <w:szCs w:val="24"/>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320"/>
          </w:cols>
          <w:pgMar w:left="24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Statement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0" w:type="dxa"/>
            <w:vAlign w:val="bottom"/>
            <w:gridSpan w:val="7"/>
          </w:tcPr>
          <w:p>
            <w:pPr>
              <w:jc w:val="center"/>
              <w:ind w:right="151"/>
              <w:spacing w:after="0"/>
              <w:rPr>
                <w:sz w:val="20"/>
                <w:szCs w:val="20"/>
                <w:color w:val="auto"/>
              </w:rPr>
            </w:pPr>
            <w:r>
              <w:rPr>
                <w:rFonts w:ascii="Arial" w:cs="Arial" w:eastAsia="Arial" w:hAnsi="Arial"/>
                <w:sz w:val="16"/>
                <w:szCs w:val="16"/>
                <w:b w:val="1"/>
                <w:bCs w:val="1"/>
                <w:color w:val="auto"/>
                <w:w w:val="92"/>
              </w:rPr>
              <w:t>Three Months Ended September 30, 2018</w:t>
            </w:r>
          </w:p>
        </w:tc>
      </w:tr>
      <w:tr>
        <w:trPr>
          <w:trHeight w:val="33"/>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Balances Without</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5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Adoption of</w:t>
            </w:r>
          </w:p>
        </w:tc>
        <w:tc>
          <w:tcPr>
            <w:tcW w:w="140" w:type="dxa"/>
            <w:vAlign w:val="bottom"/>
          </w:tcPr>
          <w:p>
            <w:pPr>
              <w:spacing w:after="0"/>
              <w:rPr>
                <w:sz w:val="17"/>
                <w:szCs w:val="17"/>
                <w:color w:val="auto"/>
              </w:rPr>
            </w:pPr>
          </w:p>
        </w:tc>
        <w:tc>
          <w:tcPr>
            <w:tcW w:w="154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Topic 606</w:t>
            </w:r>
          </w:p>
        </w:tc>
        <w:tc>
          <w:tcPr>
            <w:tcW w:w="140" w:type="dxa"/>
            <w:vAlign w:val="bottom"/>
          </w:tcPr>
          <w:p>
            <w:pPr>
              <w:spacing w:after="0"/>
              <w:rPr>
                <w:sz w:val="18"/>
                <w:szCs w:val="18"/>
                <w:color w:val="auto"/>
              </w:rPr>
            </w:pPr>
          </w:p>
        </w:tc>
        <w:tc>
          <w:tcPr>
            <w:tcW w:w="1540" w:type="dxa"/>
            <w:vAlign w:val="bottom"/>
          </w:tcPr>
          <w:p>
            <w:pPr>
              <w:jc w:val="right"/>
              <w:ind w:right="7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5960" w:type="dxa"/>
            <w:vAlign w:val="bottom"/>
          </w:tcPr>
          <w:p>
            <w:pPr>
              <w:ind w:left="520"/>
              <w:spacing w:after="0" w:line="270" w:lineRule="exact"/>
              <w:rPr>
                <w:sz w:val="20"/>
                <w:szCs w:val="20"/>
                <w:color w:val="auto"/>
              </w:rPr>
            </w:pPr>
            <w:r>
              <w:rPr>
                <w:rFonts w:ascii="Arial" w:cs="Arial" w:eastAsia="Arial" w:hAnsi="Arial"/>
                <w:sz w:val="18"/>
                <w:szCs w:val="18"/>
                <w:color w:val="auto"/>
              </w:rPr>
              <w:t xml:space="preserve">Product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2.2</w:t>
            </w:r>
          </w:p>
        </w:tc>
      </w:tr>
      <w:tr>
        <w:trPr>
          <w:trHeight w:val="270"/>
        </w:trPr>
        <w:tc>
          <w:tcPr>
            <w:tcW w:w="5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96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2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2.5</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96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Sales and marketing expenses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11.3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9.2</w:t>
            </w:r>
          </w:p>
        </w:tc>
      </w:tr>
      <w:tr>
        <w:trPr>
          <w:trHeight w:val="23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960" w:type="dxa"/>
            <w:vAlign w:val="bottom"/>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0.05</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9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r>
      <w:tr>
        <w:trPr>
          <w:trHeight w:val="27"/>
        </w:trPr>
        <w:tc>
          <w:tcPr>
            <w:tcW w:w="5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8"/>
        <w:spacing w:after="0" w:line="292" w:lineRule="auto"/>
        <w:tabs>
          <w:tab w:leader="none" w:pos="178" w:val="left"/>
        </w:tabs>
        <w:numPr>
          <w:ilvl w:val="0"/>
          <w:numId w:val="7"/>
        </w:numPr>
        <w:rPr>
          <w:rFonts w:ascii="Arial" w:cs="Arial" w:eastAsia="Arial" w:hAnsi="Arial"/>
          <w:sz w:val="20"/>
          <w:szCs w:val="20"/>
          <w:color w:val="auto"/>
          <w:vertAlign w:val="superscript"/>
        </w:rPr>
      </w:pPr>
      <w:r>
        <w:rPr>
          <w:rFonts w:ascii="Arial" w:cs="Arial" w:eastAsia="Arial" w:hAnsi="Arial"/>
          <w:sz w:val="15"/>
          <w:szCs w:val="15"/>
          <w:color w:val="auto"/>
        </w:rPr>
        <w:t>Product revenue during the three months ended September 30, 2018 included a $2.2 million benefit from the adoption of Topic 606, which primarily related to the change in accounting treatment under Topic 606 for some of our software products where revenue from these arrangements is now recognized upfront instead of ratably over the contracted service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125" w:right="4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0" w:type="dxa"/>
            <w:vAlign w:val="bottom"/>
            <w:gridSpan w:val="7"/>
          </w:tcPr>
          <w:p>
            <w:pPr>
              <w:jc w:val="center"/>
              <w:ind w:right="171"/>
              <w:spacing w:after="0"/>
              <w:rPr>
                <w:sz w:val="20"/>
                <w:szCs w:val="20"/>
                <w:color w:val="auto"/>
              </w:rPr>
            </w:pPr>
            <w:r>
              <w:rPr>
                <w:rFonts w:ascii="Arial" w:cs="Arial" w:eastAsia="Arial" w:hAnsi="Arial"/>
                <w:sz w:val="16"/>
                <w:szCs w:val="16"/>
                <w:b w:val="1"/>
                <w:bCs w:val="1"/>
                <w:color w:val="auto"/>
                <w:w w:val="91"/>
              </w:rPr>
              <w:t>Nine Months Ended September 30, 2018</w:t>
            </w:r>
          </w:p>
        </w:tc>
      </w:tr>
      <w:tr>
        <w:trPr>
          <w:trHeight w:val="3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3"/>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right"/>
              <w:ind w:right="171"/>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right"/>
              <w:ind w:right="71"/>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70"/>
        </w:trPr>
        <w:tc>
          <w:tcPr>
            <w:tcW w:w="594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Product </w:t>
            </w:r>
            <w:r>
              <w:rPr>
                <w:rFonts w:ascii="Arial" w:cs="Arial" w:eastAsia="Arial" w:hAnsi="Arial"/>
                <w:sz w:val="25"/>
                <w:szCs w:val="25"/>
                <w:color w:val="auto"/>
                <w:vertAlign w:val="superscript"/>
              </w:rPr>
              <w:t>(1)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70"/>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5940" w:type="dxa"/>
            <w:vAlign w:val="bottom"/>
          </w:tcPr>
          <w:p>
            <w:pPr>
              <w:ind w:left="90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1,280.6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36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80"/>
              <w:spacing w:after="0"/>
              <w:rPr>
                <w:sz w:val="20"/>
                <w:szCs w:val="20"/>
                <w:color w:val="auto"/>
              </w:rPr>
            </w:pPr>
            <w:r>
              <w:rPr>
                <w:rFonts w:ascii="Arial" w:cs="Arial" w:eastAsia="Arial" w:hAnsi="Arial"/>
                <w:sz w:val="18"/>
                <w:szCs w:val="18"/>
                <w:color w:val="auto"/>
              </w:rPr>
              <w:t>Product</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Service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37"/>
        </w:trPr>
        <w:tc>
          <w:tcPr>
            <w:tcW w:w="5940" w:type="dxa"/>
            <w:vAlign w:val="bottom"/>
          </w:tcPr>
          <w:p>
            <w:pPr>
              <w:ind w:left="900"/>
              <w:spacing w:after="0"/>
              <w:rPr>
                <w:sz w:val="20"/>
                <w:szCs w:val="20"/>
                <w:color w:val="auto"/>
              </w:rPr>
            </w:pPr>
            <w:r>
              <w:rPr>
                <w:rFonts w:ascii="Arial" w:cs="Arial" w:eastAsia="Arial" w:hAnsi="Arial"/>
                <w:sz w:val="18"/>
                <w:szCs w:val="18"/>
                <w:color w:val="auto"/>
              </w:rPr>
              <w:t>Total gross profit</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972.3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959.7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80"/>
              <w:spacing w:after="0"/>
              <w:rPr>
                <w:sz w:val="20"/>
                <w:szCs w:val="20"/>
                <w:color w:val="auto"/>
              </w:rPr>
            </w:pPr>
            <w:r>
              <w:rPr>
                <w:rFonts w:ascii="Arial" w:cs="Arial" w:eastAsia="Arial" w:hAnsi="Arial"/>
                <w:sz w:val="18"/>
                <w:szCs w:val="18"/>
                <w:color w:val="auto"/>
              </w:rPr>
              <w:t>Sales and marketing expenses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608.9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97"/>
        </w:trPr>
        <w:tc>
          <w:tcPr>
            <w:tcW w:w="59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FROM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r>
      <w:tr>
        <w:trPr>
          <w:trHeight w:val="297"/>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114.4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35.2</w:t>
            </w:r>
          </w:p>
        </w:tc>
      </w:tr>
      <w:tr>
        <w:trPr>
          <w:trHeight w:val="23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4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r>
      <w:tr>
        <w:trPr>
          <w:trHeight w:val="27"/>
        </w:trPr>
        <w:tc>
          <w:tcPr>
            <w:tcW w:w="59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8"/>
        <w:spacing w:after="0" w:line="292" w:lineRule="auto"/>
        <w:tabs>
          <w:tab w:leader="none" w:pos="178"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Product revenue during the nine months ended September 30, 2018 included a $12.1 million benefit from the adoption of Topic 606, which primarily related to the change in accounting treatment under Topic 606 for some of our software products where revenue from these arrangements is now recognized upfront instead of ratably over the contracted service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Condensed Consolidated Statement of Cash Flows</w:t>
      </w:r>
    </w:p>
    <w:p>
      <w:pPr>
        <w:spacing w:after="0" w:line="185" w:lineRule="exact"/>
        <w:rPr>
          <w:sz w:val="20"/>
          <w:szCs w:val="20"/>
          <w:color w:val="auto"/>
        </w:rPr>
      </w:pPr>
    </w:p>
    <w:p>
      <w:pPr>
        <w:ind w:left="7300"/>
        <w:spacing w:after="0"/>
        <w:rPr>
          <w:sz w:val="20"/>
          <w:szCs w:val="20"/>
          <w:color w:val="auto"/>
        </w:rPr>
      </w:pPr>
      <w:r>
        <w:rPr>
          <w:rFonts w:ascii="Arial" w:cs="Arial" w:eastAsia="Arial" w:hAnsi="Arial"/>
          <w:sz w:val="16"/>
          <w:szCs w:val="16"/>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3445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6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Balances Without</w:t>
            </w: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Adoption of</w:t>
            </w:r>
          </w:p>
        </w:tc>
        <w:tc>
          <w:tcPr>
            <w:tcW w:w="120" w:type="dxa"/>
            <w:vAlign w:val="bottom"/>
          </w:tcPr>
          <w:p>
            <w:pPr>
              <w:spacing w:after="0"/>
              <w:rPr>
                <w:sz w:val="17"/>
                <w:szCs w:val="17"/>
                <w:color w:val="auto"/>
              </w:rPr>
            </w:pPr>
          </w:p>
        </w:tc>
        <w:tc>
          <w:tcPr>
            <w:tcW w:w="1540" w:type="dxa"/>
            <w:vAlign w:val="bottom"/>
          </w:tcPr>
          <w:p>
            <w:pPr>
              <w:jc w:val="right"/>
              <w:ind w:right="172"/>
              <w:spacing w:after="0"/>
              <w:rPr>
                <w:sz w:val="20"/>
                <w:szCs w:val="20"/>
                <w:color w:val="auto"/>
              </w:rPr>
            </w:pPr>
            <w:r>
              <w:rPr>
                <w:rFonts w:ascii="Arial" w:cs="Arial" w:eastAsia="Arial" w:hAnsi="Arial"/>
                <w:sz w:val="16"/>
                <w:szCs w:val="16"/>
                <w:b w:val="1"/>
                <w:bCs w:val="1"/>
                <w:color w:val="auto"/>
                <w:w w:val="99"/>
              </w:rPr>
              <w:t>Effect of Change</w:t>
            </w:r>
          </w:p>
        </w:tc>
      </w:tr>
      <w:tr>
        <w:trPr>
          <w:trHeight w:val="210"/>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As Reported</w:t>
            </w:r>
          </w:p>
        </w:tc>
        <w:tc>
          <w:tcPr>
            <w:tcW w:w="18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Topic 606</w:t>
            </w:r>
          </w:p>
        </w:tc>
        <w:tc>
          <w:tcPr>
            <w:tcW w:w="120" w:type="dxa"/>
            <w:vAlign w:val="bottom"/>
          </w:tcPr>
          <w:p>
            <w:pPr>
              <w:spacing w:after="0"/>
              <w:rPr>
                <w:sz w:val="18"/>
                <w:szCs w:val="18"/>
                <w:color w:val="auto"/>
              </w:rPr>
            </w:pPr>
          </w:p>
        </w:tc>
        <w:tc>
          <w:tcPr>
            <w:tcW w:w="1540" w:type="dxa"/>
            <w:vAlign w:val="bottom"/>
          </w:tcPr>
          <w:p>
            <w:pPr>
              <w:jc w:val="right"/>
              <w:ind w:right="72"/>
              <w:spacing w:after="0"/>
              <w:rPr>
                <w:sz w:val="20"/>
                <w:szCs w:val="20"/>
                <w:color w:val="auto"/>
              </w:rPr>
            </w:pPr>
            <w:r>
              <w:rPr>
                <w:rFonts w:ascii="Arial" w:cs="Arial" w:eastAsia="Arial" w:hAnsi="Arial"/>
                <w:sz w:val="16"/>
                <w:szCs w:val="16"/>
                <w:b w:val="1"/>
                <w:bCs w:val="1"/>
                <w:color w:val="auto"/>
                <w:w w:val="89"/>
              </w:rPr>
              <w:t>Increase (Decrease)</w:t>
            </w:r>
          </w:p>
        </w:tc>
      </w:tr>
      <w:tr>
        <w:trPr>
          <w:trHeight w:val="33"/>
        </w:trPr>
        <w:tc>
          <w:tcPr>
            <w:tcW w:w="5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94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35.2</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Adjustments to reconcile net income to net cash provided by operating</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7"/>
        </w:trPr>
        <w:tc>
          <w:tcPr>
            <w:tcW w:w="5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940" w:type="dxa"/>
            <w:vAlign w:val="bottom"/>
          </w:tcPr>
          <w:p>
            <w:pPr>
              <w:ind w:left="900"/>
              <w:spacing w:after="0"/>
              <w:rPr>
                <w:sz w:val="20"/>
                <w:szCs w:val="20"/>
                <w:color w:val="auto"/>
              </w:rPr>
            </w:pPr>
            <w:r>
              <w:rPr>
                <w:rFonts w:ascii="Arial" w:cs="Arial" w:eastAsia="Arial" w:hAnsi="Arial"/>
                <w:sz w:val="18"/>
                <w:szCs w:val="18"/>
                <w:color w:val="auto"/>
              </w:rPr>
              <w:t>Amortization of deferred contract costs</w:t>
            </w: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66.3</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940" w:type="dxa"/>
            <w:vAlign w:val="bottom"/>
          </w:tcPr>
          <w:p>
            <w:pPr>
              <w:ind w:left="90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5940" w:type="dxa"/>
            <w:vAlign w:val="bottom"/>
          </w:tcPr>
          <w:p>
            <w:pPr>
              <w:ind w:left="1440"/>
              <w:spacing w:after="0"/>
              <w:rPr>
                <w:sz w:val="20"/>
                <w:szCs w:val="20"/>
                <w:color w:val="auto"/>
              </w:rPr>
            </w:pPr>
            <w:r>
              <w:rPr>
                <w:rFonts w:ascii="Arial" w:cs="Arial" w:eastAsia="Arial" w:hAnsi="Arial"/>
                <w:sz w:val="18"/>
                <w:szCs w:val="18"/>
                <w:color w:val="auto"/>
              </w:rPr>
              <w:t>Deferred contract costs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r>
      <w:tr>
        <w:trPr>
          <w:trHeight w:val="243"/>
        </w:trPr>
        <w:tc>
          <w:tcPr>
            <w:tcW w:w="5940" w:type="dxa"/>
            <w:vAlign w:val="bottom"/>
          </w:tcPr>
          <w:p>
            <w:pPr>
              <w:ind w:left="14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1.5</w:t>
            </w:r>
          </w:p>
        </w:tc>
      </w:tr>
      <w:tr>
        <w:trPr>
          <w:trHeight w:val="27"/>
        </w:trPr>
        <w:tc>
          <w:tcPr>
            <w:tcW w:w="5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5940" w:type="dxa"/>
            <w:vAlign w:val="bottom"/>
          </w:tcPr>
          <w:p>
            <w:pPr>
              <w:ind w:left="18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458.7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458.7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20"/>
          </w:cols>
          <w:pgMar w:left="240" w:top="125"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September 30, 2018</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295.4</w:t>
            </w:r>
          </w:p>
        </w:tc>
      </w:tr>
      <w:tr>
        <w:trPr>
          <w:trHeight w:val="270"/>
        </w:trPr>
        <w:tc>
          <w:tcPr>
            <w:tcW w:w="5160" w:type="dxa"/>
            <w:vAlign w:val="bottom"/>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tcPr>
          <w:p>
            <w:pPr>
              <w:spacing w:after="0"/>
              <w:rPr>
                <w:sz w:val="23"/>
                <w:szCs w:val="23"/>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106.1</w:t>
            </w: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29.6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504.9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503.5</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ind w:left="620"/>
              <w:spacing w:after="0"/>
              <w:rPr>
                <w:sz w:val="20"/>
                <w:szCs w:val="20"/>
                <w:color w:val="auto"/>
              </w:rPr>
            </w:pPr>
            <w:r>
              <w:rPr>
                <w:rFonts w:ascii="Arial" w:cs="Arial" w:eastAsia="Arial" w:hAnsi="Arial"/>
                <w:sz w:val="16"/>
                <w:szCs w:val="16"/>
                <w:b w:val="1"/>
                <w:bCs w:val="1"/>
                <w:color w:val="auto"/>
              </w:rPr>
              <w:t>December 31, 2017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74.2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539.6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538.3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80" w:hanging="186"/>
        <w:spacing w:after="0"/>
        <w:tabs>
          <w:tab w:leader="none" w:pos="68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89"/>
              </w:rPr>
              <w:t>September 30, 2018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315.7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75"/>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0"/>
              </w:rPr>
              <w:t>December 31, 2017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6"/>
                <w:szCs w:val="16"/>
                <w:b w:val="1"/>
                <w:bCs w:val="1"/>
                <w:color w:val="auto"/>
                <w:w w:val="83"/>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7"/>
                <w:szCs w:val="17"/>
                <w:color w:val="auto"/>
              </w:rPr>
            </w:pPr>
          </w:p>
        </w:tc>
        <w:tc>
          <w:tcPr>
            <w:tcW w:w="156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654"/>
              <w:spacing w:after="0"/>
              <w:rPr>
                <w:sz w:val="20"/>
                <w:szCs w:val="20"/>
                <w:color w:val="auto"/>
              </w:rPr>
            </w:pPr>
            <w:r>
              <w:rPr>
                <w:rFonts w:ascii="Arial" w:cs="Arial" w:eastAsia="Arial" w:hAnsi="Arial"/>
                <w:sz w:val="16"/>
                <w:szCs w:val="16"/>
                <w:b w:val="1"/>
                <w:bCs w:val="1"/>
                <w:color w:val="auto"/>
              </w:rPr>
              <w:t>2017</w:t>
            </w:r>
          </w:p>
        </w:tc>
      </w:tr>
      <w:tr>
        <w:trPr>
          <w:trHeight w:val="33"/>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98.0</w:t>
            </w: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538.3</w:t>
            </w: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losses on available-for-sale securities were insignificant in the periods presented and are included in other income (expense)—net in our condensed consolidated statements of operations.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September 30, 2018.</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on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the fair value of our financial assets measured at fair value on a recurring basis as of September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millions):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240"/>
              <w:spacing w:after="0"/>
              <w:rPr>
                <w:sz w:val="20"/>
                <w:szCs w:val="20"/>
                <w:color w:val="auto"/>
              </w:rPr>
            </w:pPr>
            <w:r>
              <w:rPr>
                <w:rFonts w:ascii="Arial" w:cs="Arial" w:eastAsia="Arial" w:hAnsi="Arial"/>
                <w:sz w:val="16"/>
                <w:szCs w:val="16"/>
                <w:b w:val="1"/>
                <w:bCs w:val="1"/>
                <w:color w:val="auto"/>
              </w:rPr>
              <w:t>September 30, 2018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295.4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411.1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411.1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228.3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139.0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195.6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675.6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309.8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464.9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440.3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38.6</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98.0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813.3</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896.1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nine months ended September 30, 2018 and year ended December 31, 2017.</w:t>
      </w:r>
    </w:p>
    <w:p>
      <w:pPr>
        <w:spacing w:after="0" w:line="166"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80" w:type="dxa"/>
            <w:vAlign w:val="bottom"/>
            <w:tcBorders>
              <w:bottom w:val="single" w:sz="8" w:color="CCEEFF"/>
            </w:tcBorders>
            <w:shd w:val="clear" w:color="auto" w:fill="CCEEFF"/>
          </w:tcPr>
          <w:p>
            <w:pPr>
              <w:jc w:val="right"/>
              <w:ind w:right="12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14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w w:val="96"/>
              </w:rPr>
              <w:t>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64.3</w:t>
            </w:r>
          </w:p>
        </w:tc>
      </w:tr>
      <w:tr>
        <w:trPr>
          <w:trHeight w:val="27"/>
        </w:trPr>
        <w:tc>
          <w:tcPr>
            <w:tcW w:w="74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480" w:type="dxa"/>
            <w:vAlign w:val="bottom"/>
            <w:tcBorders>
              <w:bottom w:val="single" w:sz="8" w:color="auto"/>
            </w:tcBorders>
            <w:shd w:val="clear" w:color="auto" w:fill="CCEEFF"/>
          </w:tcPr>
          <w:p>
            <w:pPr>
              <w:jc w:val="right"/>
              <w:ind w:right="12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80.8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77.3</w:t>
            </w:r>
          </w:p>
        </w:tc>
      </w:tr>
      <w:tr>
        <w:trPr>
          <w:trHeight w:val="20"/>
        </w:trPr>
        <w:tc>
          <w:tcPr>
            <w:tcW w:w="7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Inventory includes materials at contract manufacturers of $2.9 million and $2.6 million as of September 30, 2018 and December 31, 2017, respectively. Inventory also includes finished goods held by distributors where revenue is recognized on a sell-through basis of $0.1 million as of December 31,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6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 and building improvements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79.9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20.8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340.6</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245.4</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Depreciation expense was $11.8 million and $11.7 million during the three months ended September 30, 2018 and September 30,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$34.9 million and $34.7 million during the nine months ended September 30, 2018 and September 30, 2017, respectively.</w:t>
      </w:r>
    </w:p>
    <w:p>
      <w:pPr>
        <w:spacing w:after="0" w:line="21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investments in the equity securities of privately held companies totaled $9.1 million as of September 30, 2018 and $12.1 million as of December 31, 2017. These investments, which were previously accounted for at cost, are now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carried at historical cost and are recorded as other assets on our condensed consolidated balance sheets and would be measured at fair value if indicators of impairment existed. During the three months ended September 30, 2018, we sold equity securities of a privately held company for $5.2 million and recognized a gain of $2.2 million as other income in our condensed consolidated statements of operations. As of September 30, 2018, no other events have occurred that would adversely affect the carrying value of our remaining investments.</w:t>
      </w:r>
    </w:p>
    <w:p>
      <w:pPr>
        <w:spacing w:after="0" w:line="19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September 30, 2018, we determined that we had a variable interest in these privately held companies. However, we determined that we were not the primary beneficiary as we did not have the power to direct their activities that most significantly affect their economic performance. The variable interest entities are not required to be consolidated in our condensed consolidated financial statements.</w:t>
      </w:r>
    </w:p>
    <w:p>
      <w:pPr>
        <w:spacing w:after="0" w:line="177"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 We believe that this acquisition will extend the Fortinet Security Fabric to include network access control and provide for the security assessment and response related to devices accessing the network, including Internet of Things devices.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Under the business combination method of accounting, the total purchase price was allocated to Bradford’s net tangible and intangible assets based upon their estimated fair values as of June 4, 2018. The purchase price allocation was preliminary and was based on management's best estimates and assumptions as of the reporting date. During the three months ended September 30, 2018, we subsequently decreased the intangible assets by $0.8 million with a corresponding change to goodwill of $0.6 million and deferred tax asset of $0.2 million. The preliminary purchase price for Bradford was $6.8 million, of which $11.1 million was allocated to goodwill that was non-deductible for tax purposes, and $8.0 million was allocated to identifiable intangible assets offset by $12.3 million of net liabilities assumed.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September 30, 2018, no fair value was assigned to the contingent consideration based on the estimated probability of attainment of the target.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 forma information has not been presented for these acquisitions as the impact to our Condensed Consolidated Financial Statements was not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07"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8.</w:t>
        <w:tab/>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carrying value of goodwill were (in millions):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9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jc w:val="right"/>
              <w:ind w:right="592"/>
              <w:spacing w:after="0"/>
              <w:rPr>
                <w:sz w:val="20"/>
                <w:szCs w:val="20"/>
                <w:color w:val="auto"/>
              </w:rPr>
            </w:pPr>
            <w:r>
              <w:rPr>
                <w:rFonts w:ascii="Arial" w:cs="Arial" w:eastAsia="Arial" w:hAnsi="Arial"/>
                <w:sz w:val="16"/>
                <w:szCs w:val="16"/>
                <w:b w:val="1"/>
                <w:bCs w:val="1"/>
                <w:color w:val="auto"/>
              </w:rPr>
              <w:t>Amount</w:t>
            </w:r>
          </w:p>
        </w:tc>
      </w:tr>
      <w:tr>
        <w:trPr>
          <w:trHeight w:val="33"/>
        </w:trPr>
        <w:tc>
          <w:tcPr>
            <w:tcW w:w="9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Addition due to business combination</w:t>
            </w:r>
          </w:p>
        </w:tc>
        <w:tc>
          <w:tcPr>
            <w:tcW w:w="40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11.1</w:t>
            </w:r>
          </w:p>
        </w:tc>
      </w:tr>
      <w:tr>
        <w:trPr>
          <w:trHeight w:val="27"/>
        </w:trPr>
        <w:tc>
          <w:tcPr>
            <w:tcW w:w="9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2018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r>
      <w:tr>
        <w:trPr>
          <w:trHeight w:val="20"/>
        </w:trPr>
        <w:tc>
          <w:tcPr>
            <w:tcW w:w="9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impairments to goodwill during the three and nine months ended September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September 30, 2018 and December 31, 2017 (in millions, except years):</w:t>
      </w:r>
    </w:p>
    <w:p>
      <w:pPr>
        <w:spacing w:after="0" w:line="200" w:lineRule="exact"/>
        <w:rPr>
          <w:sz w:val="20"/>
          <w:szCs w:val="20"/>
          <w:color w:val="auto"/>
        </w:rPr>
      </w:pPr>
    </w:p>
    <w:p>
      <w:pPr>
        <w:spacing w:after="0" w:line="201" w:lineRule="exact"/>
        <w:rPr>
          <w:sz w:val="20"/>
          <w:szCs w:val="20"/>
          <w:color w:val="auto"/>
        </w:rPr>
      </w:pPr>
    </w:p>
    <w:p>
      <w:pPr>
        <w:ind w:left="7780"/>
        <w:spacing w:after="0"/>
        <w:rPr>
          <w:sz w:val="20"/>
          <w:szCs w:val="20"/>
          <w:color w:val="auto"/>
        </w:rPr>
      </w:pPr>
      <w:r>
        <w:rPr>
          <w:rFonts w:ascii="Arial" w:cs="Arial" w:eastAsia="Arial" w:hAnsi="Arial"/>
          <w:sz w:val="16"/>
          <w:szCs w:val="16"/>
          <w:b w:val="1"/>
          <w:bCs w:val="1"/>
          <w:color w:val="auto"/>
        </w:rPr>
        <w:t>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1"/>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 and other</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97"/>
        </w:trPr>
        <w:tc>
          <w:tcPr>
            <w:tcW w:w="5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In-process research and development</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The in-process research and development intangible asset of $1.6 million was completed in the three months ended March 31, 2018. Upon completion, the cost was transferred to developed technology and is amortized over the estimated useful life of four years.</w:t>
      </w:r>
    </w:p>
    <w:p>
      <w:pPr>
        <w:sectPr>
          <w:pgSz w:w="11900" w:h="16838" w:orient="portrait"/>
          <w:cols w:equalWidth="0" w:num="1">
            <w:col w:w="11420"/>
          </w:cols>
          <w:pgMar w:left="240" w:top="125"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expense was $2.5 million and $2.0 million during the three months ended September 30, 2018 and September 30,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$6.1 million and $6.5 million during the nine months ended September 30, 2018 and September 30, 2017,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2018</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 and thereafter</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18.1</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the Employee Stock Purchase Plan (the “ESPP”). Dilutive shares of common stock are determined by applying the treasury stock method.</w:t>
      </w:r>
    </w:p>
    <w:p>
      <w:pPr>
        <w:spacing w:after="0" w:line="18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ind w:right="5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58.7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311"/>
        </w:trPr>
        <w:tc>
          <w:tcPr>
            <w:tcW w:w="5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shares: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168.7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920"/>
              <w:spacing w:after="0"/>
              <w:rPr>
                <w:sz w:val="20"/>
                <w:szCs w:val="20"/>
                <w:color w:val="auto"/>
              </w:rPr>
            </w:pPr>
            <w:r>
              <w:rPr>
                <w:rFonts w:ascii="Arial" w:cs="Arial" w:eastAsia="Arial" w:hAnsi="Arial"/>
                <w:sz w:val="18"/>
                <w:szCs w:val="18"/>
                <w:color w:val="auto"/>
              </w:rPr>
              <w:t>RSUs</w:t>
            </w: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920"/>
              <w:spacing w:after="0"/>
              <w:rPr>
                <w:sz w:val="20"/>
                <w:szCs w:val="20"/>
                <w:color w:val="auto"/>
              </w:rPr>
            </w:pPr>
            <w:r>
              <w:rPr>
                <w:rFonts w:ascii="Arial" w:cs="Arial" w:eastAsia="Arial" w:hAnsi="Arial"/>
                <w:sz w:val="18"/>
                <w:szCs w:val="18"/>
                <w:color w:val="auto"/>
              </w:rPr>
              <w:t>ESPP</w:t>
            </w:r>
          </w:p>
        </w:tc>
        <w:tc>
          <w:tcPr>
            <w:tcW w:w="1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Weighted-average shares used to compute diluted net income per share</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260" w:type="dxa"/>
            <w:vAlign w:val="bottom"/>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89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4"/>
          </w:tcPr>
          <w:p>
            <w:pPr>
              <w:ind w:left="820"/>
              <w:spacing w:after="0"/>
              <w:rPr>
                <w:sz w:val="20"/>
                <w:szCs w:val="20"/>
                <w:color w:val="auto"/>
              </w:rPr>
            </w:pPr>
            <w:r>
              <w:rPr>
                <w:rFonts w:ascii="Arial" w:cs="Arial" w:eastAsia="Arial" w:hAnsi="Arial"/>
                <w:sz w:val="16"/>
                <w:szCs w:val="16"/>
                <w:b w:val="1"/>
                <w:bCs w:val="1"/>
                <w:color w:val="auto"/>
              </w:rPr>
              <w:t>Three Months Ended</w:t>
            </w:r>
          </w:p>
        </w:tc>
        <w:tc>
          <w:tcPr>
            <w:tcW w:w="306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20"/>
              <w:spacing w:after="0"/>
              <w:rPr>
                <w:sz w:val="20"/>
                <w:szCs w:val="20"/>
                <w:color w:val="auto"/>
              </w:rPr>
            </w:pPr>
            <w:r>
              <w:rPr>
                <w:rFonts w:ascii="Arial" w:cs="Arial" w:eastAsia="Arial" w:hAnsi="Arial"/>
                <w:sz w:val="16"/>
                <w:szCs w:val="16"/>
                <w:b w:val="1"/>
                <w:bCs w:val="1"/>
                <w:color w:val="auto"/>
              </w:rPr>
              <w:t>September 30,</w:t>
            </w: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480" w:type="dxa"/>
            <w:vAlign w:val="bottom"/>
          </w:tcPr>
          <w:p>
            <w:pPr>
              <w:jc w:val="right"/>
              <w:ind w:right="17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5160" w:type="dxa"/>
            <w:vAlign w:val="bottom"/>
          </w:tcPr>
          <w:p>
            <w:pPr>
              <w:spacing w:after="0"/>
              <w:rPr>
                <w:sz w:val="18"/>
                <w:szCs w:val="18"/>
                <w:color w:val="auto"/>
              </w:rPr>
            </w:pPr>
          </w:p>
        </w:tc>
        <w:tc>
          <w:tcPr>
            <w:tcW w:w="1500" w:type="dxa"/>
            <w:vAlign w:val="bottom"/>
          </w:tcPr>
          <w:p>
            <w:pPr>
              <w:jc w:val="right"/>
              <w:ind w:right="51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September 30, 2018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3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7"/>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commitments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226.0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18"/>
          <w:szCs w:val="18"/>
          <w:color w:val="auto"/>
        </w:rPr>
        <w:t>—We lease certain facilities under various non-cancelable operating leases, which expire through 2026. Certain leases require us</w:t>
      </w:r>
      <w:r>
        <w:rPr>
          <w:rFonts w:ascii="Arial" w:cs="Arial" w:eastAsia="Arial" w:hAnsi="Arial"/>
          <w:sz w:val="18"/>
          <w:szCs w:val="18"/>
          <w:b w:val="1"/>
          <w:bCs w:val="1"/>
          <w:color w:val="auto"/>
        </w:rPr>
        <w:t xml:space="preserve"> </w:t>
      </w:r>
      <w:r>
        <w:rPr>
          <w:rFonts w:ascii="Arial" w:cs="Arial" w:eastAsia="Arial" w:hAnsi="Arial"/>
          <w:sz w:val="18"/>
          <w:szCs w:val="18"/>
          <w:color w:val="auto"/>
        </w:rPr>
        <w:t>to pay variable costs such as taxes, maintenance, and insurance. The terms of certain operating leases also provide for renewal options and escalation clauses. Rent expense was $4.4 million and $4.1 million during the three months ended September 30, 2018 and September 30, 2017, respectively. Rent expense was $13.1 million and $12.5 million during the nine months ended September 30, 2018 and September 30, 2017, respectively. Rent expense is recognized using the straight-line method over the term of the lease.</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September 30, 2018, we had $174.0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September 30, 2018, we had $11.6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—We are involved in disputes, litigation, and other legal actions. For lawsuits where we are the defendant, we are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defending these litigation matters, and there can be no assurances and the outcome of these matters is currently not determinable. There are many uncertainties associated with any litigation and these actions or other third-party claims against us may cause us to incur costly litigation fees, including contingent legal fees with related parties,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The actual liability in any such matters may be materially different from our estimates, if any, which could result in the need to adjust the liability and record additional expenses. As required under ASC 450, Contingencies, issued by the FASB, we accrue for contingencies when we believe that a loss is probable and that we can reasonably estimate the amount of any such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480"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172"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stock-based compensation plans pursuant to which we have granted RSUs and stock options. We also have an ESPP for eligible employees.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there were a total of 54.5 million shares of common stock available for grant under our stock-based compensation plans.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2017</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34.79</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54.82</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38.24</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34.32</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2018</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44.48</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342" w:lineRule="auto"/>
        <w:rPr>
          <w:sz w:val="20"/>
          <w:szCs w:val="20"/>
          <w:color w:val="auto"/>
        </w:rPr>
      </w:pPr>
      <w:r>
        <w:rPr>
          <w:rFonts w:ascii="Arial" w:cs="Arial" w:eastAsia="Arial" w:hAnsi="Arial"/>
          <w:sz w:val="16"/>
          <w:szCs w:val="16"/>
          <w:color w:val="auto"/>
        </w:rPr>
        <w:t>As of September 30, 2018, total compensation expense related to unvested RSUs granted to employees and non-employees under the 2009 Plan, but not yet recognized, was $331.7 million. This expense is expected to be amortized on a straight-line basis over a weighted-average vesting period of 2.8 years.</w:t>
      </w:r>
    </w:p>
    <w:p>
      <w:pPr>
        <w:spacing w:after="0" w:line="12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taxes. Total payment for the employees’ tax obligations to the taxing authorities is reflected as a financing activity within the condensed consolidated statements of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35.9</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51.29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34.69</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vest—September 30, 2018</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34.69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183.4</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exercisable—September 30, 2018</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104.9</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September 30, 2018, for all in-the-money stock options. As of September 30, 2018, total compensation expense related to unvested stock options granted to employees but not yet recognized was $18.1 million. This expense is expected to be amortized on a straight-line basis over a weighted-average period of 2.7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determining the fair value of the ESPP, we use the Black-Scholes option pricing model that employs the following weighted-average assumptions: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3"/>
              <w:spacing w:after="0"/>
              <w:rPr>
                <w:sz w:val="20"/>
                <w:szCs w:val="20"/>
                <w:color w:val="auto"/>
              </w:rPr>
            </w:pPr>
            <w:r>
              <w:rPr>
                <w:rFonts w:ascii="Arial" w:cs="Arial" w:eastAsia="Arial" w:hAnsi="Arial"/>
                <w:sz w:val="16"/>
                <w:szCs w:val="16"/>
                <w:b w:val="1"/>
                <w:bCs w:val="1"/>
                <w:color w:val="auto"/>
              </w:rPr>
              <w:t>September 30,</w:t>
            </w:r>
          </w:p>
        </w:tc>
      </w:tr>
      <w:tr>
        <w:trPr>
          <w:trHeight w:val="210"/>
        </w:trPr>
        <w:tc>
          <w:tcPr>
            <w:tcW w:w="494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54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2017</w:t>
            </w:r>
          </w:p>
        </w:tc>
      </w:tr>
      <w:tr>
        <w:trPr>
          <w:trHeight w:val="33"/>
        </w:trPr>
        <w:tc>
          <w:tcPr>
            <w:tcW w:w="494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49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the ESPP is provided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29.52</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7.2</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58.4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102.7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1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102.7</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3"/>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consolidated statements of operations is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6"/>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30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7"/>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21.1</w:t>
            </w:r>
          </w:p>
        </w:tc>
      </w:tr>
      <w:tr>
        <w:trPr>
          <w:trHeight w:val="27"/>
        </w:trPr>
        <w:tc>
          <w:tcPr>
            <w:tcW w:w="5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January 2016, our board of directors approved a Share Repurchase Program (the “Repurchase Program”), which authorized the repurchase of up to $200.0 million of our outstanding common stock through December 31, 2017. In 2016 and 2017, our board of directors approved the increases in the aggregate authorized repurchase amount under the Repurchase Program by $100.0 million and $700.0 million, respectively, to a total of $1.0 billion. In July 2018, our board of directors approved a $500.0 million increase in the authorized stock repurchase under the Repurchase Program and extended the term of the Repurchase Program to December 31, 2019, bringing the aggregate amount authorized to be repurchased to $1.5 billion of our outstanding common stock through December 31, 2019. Under the Repurchase Program,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7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During the three months ended September 30, 2018, we did not repurchase shares under the Repurchase Program. During the nine months ended September 30, 2018, we repurchased 2,540,547 shares of common stock under the Repurchase Program in open market transactions at an average price of $46.08 per share, for an aggregate purchase price of $117.1 million. As of September 30, 2018, $825.8 million remained available for future share repurchases under the Repurchase Program.</w:t>
      </w:r>
    </w:p>
    <w:p>
      <w:pPr>
        <w:spacing w:after="0" w:line="18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effective tax rate was 17% for the three months ended September 30, 2018, compared to an effective tax rate of 30% for the same period last year. Our effective tax rate was 6% for the nine months ended September 30, 2018, compared to an effective tax rate of 24% for the same period last year, with the primary difference being the change in the federal corporate income tax rate to 21% in 2018 from 35% in the prior year, the release of reserve for uncertain tax positions including interest due to a statute of limitation expiring and the completion of the Internal Revenue Service (“IRS”) audit. The effective tax rates for the periods presented are comprised of U.S. federal and state taxes, withholding taxes and foreign taxes, excess tax benefits from stock-based compensation and release of a reserve for uncertain tax positions. The tax rates for the three months ended September 30, 2018 and September 30, 2017 were impacted by U.S. federal and state taxes, withholding taxes and foreign taxes of $17.7 million and $12.7 million, respectively, which were offset by a tax provision benefit of $5.8 million and $1.8 million, respectively, for stock-based compensation. The tax rate for the nine months ended September 30, 2018 and September 30, 2017 were impacted by withholding taxes and foreign taxes of $43.4 million and $30.0 million, respectively, which were offset by a tax benefit of $16.2 million and $11.4 million, respectively, for stock-based compensation. The tax rate for the nine months ended September 30, 2018 was also impacted by release of reserve for uncertain tax positions including interest of $18.0 million. Our effective tax rates fluctuate based on the amount of pre-tax income or loss. The impact of discrete items, such as excess tax benefits from stock-based compensation, on our effective tax rate is greater when our pre-tax income is lower.</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September 30, 2018 and December 31, 2017, unrecognized tax benefits were $64.1 million and $72.5 million, respectively. The amount of $62.8 million in unrecognized tax benefits, if recognized, would favorably affect our effective tax rate. It is our policy to include accrued interest and penalties related to uncertain tax benefits in income tax expense. As of September 30, 2018 and December 31, 2017, accrued interest and penalties were $12.2 million and $13.5 million, respectively. It is reasonably possible that our gross unrecognized tax benefits will decrease by up to $8.0 million in the next 12 months, primarily due to the lapse of the statute of limitations. These adjustments, if recognized, would positively impact our effective tax rate, and would be recognized as additional tax benefits.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non-U.S. income tax examinations by tax authorities for tax years prior to 2008. We are no longer subject to examination by U.S federal income tax authorities for tax years prior to 2015. We have closed the Internal Revenue Service audit for tax years 2012, 2013 and 2014. In March 2018, we received a refund of $6.8 million for a carry-back claim approved in this audit. In October 2018, the French tax authorities notified us that they had closed the audit for tax years from 2007 to 2015 with no tax adjustment. This audit was examining the intercompany relationship between Fortinet, Inc., Fortinet France and Fortinet Singapore. In April 2018, the tax authorities in Israel initiated a tax audit for tax years from 2008 to 2014. In July 2018, the tax authorities in Italy initiated a tax audit for tax year 2015.</w:t>
      </w:r>
    </w:p>
    <w:p>
      <w:pPr>
        <w:spacing w:after="0" w:line="18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On July 24, 2018, the U.S. Court of Appeals for the Ninth Circuit overturned the U.S. Tax Court’s unanimous 2015 decision in </w:t>
      </w:r>
      <w:r>
        <w:rPr>
          <w:rFonts w:ascii="Arial" w:cs="Arial" w:eastAsia="Arial" w:hAnsi="Arial"/>
          <w:sz w:val="18"/>
          <w:szCs w:val="18"/>
          <w:i w:val="1"/>
          <w:iCs w:val="1"/>
          <w:color w:val="auto"/>
        </w:rPr>
        <w:t>Altera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holding that the IRS did not violate the rulemaking procedures required by the Administrative Procedures Act. On August 7, 2018, the Ninth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withdrew the opinions filed on July 24, 2018 to allow time for the reconstituted panel to confer on the appeal. In </w:t>
      </w:r>
      <w:r>
        <w:rPr>
          <w:rFonts w:ascii="Arial" w:cs="Arial" w:eastAsia="Arial" w:hAnsi="Arial"/>
          <w:sz w:val="18"/>
          <w:szCs w:val="18"/>
          <w:i w:val="1"/>
          <w:iCs w:val="1"/>
          <w:color w:val="auto"/>
        </w:rPr>
        <w:t>Altera</w:t>
      </w:r>
      <w:r>
        <w:rPr>
          <w:rFonts w:ascii="Arial" w:cs="Arial" w:eastAsia="Arial" w:hAnsi="Arial"/>
          <w:sz w:val="18"/>
          <w:szCs w:val="18"/>
          <w:color w:val="auto"/>
        </w:rPr>
        <w:t>, the taxpayer challenged IRS regulations that required participants in qualified cost sharing arrangements to share stock-based compensation costs. The U.S. Tax Court had invalidated those regulations, in part because the Treasury Department failed to adequately consider significant taxpayer comments when adopting them. We will evaluate the tax impact when the new opinion is released by the Ninth Circuit.</w:t>
      </w:r>
    </w:p>
    <w:p>
      <w:pPr>
        <w:spacing w:after="0" w:line="18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tax-deferred savings plan under our 401(k) Plan, permits participating employees to defer a portion of their pre-tax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September 30, 2018 and September 30, 2017 were $1.4 million and $1.2 million, respectively. Our matching contributions to our 401(k) Plan and the RRSP for the nine months ended September 30, 2018 and September 30, 2017 were $4.4 million and $3.8 million, respectively.</w:t>
      </w:r>
    </w:p>
    <w:p>
      <w:pPr>
        <w:spacing w:after="0" w:line="1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distributors and direct customer. The following tables set forth revenue and property and equipment—net by geographic region (in millions):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880" w:type="dxa"/>
            <w:vAlign w:val="bottom"/>
            <w:gridSpan w:val="4"/>
          </w:tcPr>
          <w:p>
            <w:pPr>
              <w:jc w:val="right"/>
              <w:ind w:right="732"/>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72"/>
              <w:spacing w:after="0"/>
              <w:rPr>
                <w:sz w:val="20"/>
                <w:szCs w:val="20"/>
                <w:color w:val="auto"/>
              </w:rPr>
            </w:pPr>
            <w:r>
              <w:rPr>
                <w:rFonts w:ascii="Arial" w:cs="Arial" w:eastAsia="Arial" w:hAnsi="Arial"/>
                <w:sz w:val="16"/>
                <w:szCs w:val="16"/>
                <w:b w:val="1"/>
                <w:bCs w:val="1"/>
                <w:color w:val="auto"/>
                <w:w w:val="93"/>
              </w:rPr>
              <w:t>September 30,</w:t>
            </w:r>
          </w:p>
        </w:tc>
      </w:tr>
      <w:tr>
        <w:trPr>
          <w:trHeight w:val="176"/>
        </w:trPr>
        <w:tc>
          <w:tcPr>
            <w:tcW w:w="51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5"/>
                <w:szCs w:val="15"/>
                <w:color w:val="auto"/>
              </w:rPr>
            </w:pPr>
          </w:p>
        </w:tc>
        <w:tc>
          <w:tcPr>
            <w:tcW w:w="132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367.1</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Latin America (“LATAM”)</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Europe, Middle East and Africa (“EMEA”)</w:t>
            </w:r>
          </w:p>
        </w:tc>
        <w:tc>
          <w:tcPr>
            <w:tcW w:w="18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394.2</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 (“APAC”)</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215.8</w:t>
            </w:r>
          </w:p>
        </w:tc>
      </w:tr>
      <w:tr>
        <w:trPr>
          <w:trHeight w:val="257"/>
        </w:trPr>
        <w:tc>
          <w:tcPr>
            <w:tcW w:w="40" w:type="dxa"/>
            <w:vAlign w:val="bottom"/>
          </w:tcPr>
          <w:p>
            <w:pPr>
              <w:spacing w:after="0"/>
              <w:rPr>
                <w:sz w:val="22"/>
                <w:szCs w:val="22"/>
                <w:color w:val="auto"/>
              </w:rPr>
            </w:pPr>
          </w:p>
        </w:tc>
        <w:tc>
          <w:tcPr>
            <w:tcW w:w="5120" w:type="dxa"/>
            <w:vAlign w:val="bottom"/>
            <w:gridSpan w:val="2"/>
          </w:tcPr>
          <w:p>
            <w:pPr>
              <w:ind w:left="46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453.9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1,078.3</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08"/>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81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LATAM</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France</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Other EMEA</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EMEA</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3300" w:type="dxa"/>
            <w:vAlign w:val="bottom"/>
            <w:gridSpan w:val="4"/>
          </w:tcPr>
          <w:p>
            <w:pPr>
              <w:ind w:left="860"/>
              <w:spacing w:after="0"/>
              <w:rPr>
                <w:sz w:val="20"/>
                <w:szCs w:val="20"/>
                <w:color w:val="auto"/>
              </w:rPr>
            </w:pPr>
            <w:r>
              <w:rPr>
                <w:rFonts w:ascii="Arial" w:cs="Arial" w:eastAsia="Arial" w:hAnsi="Arial"/>
                <w:sz w:val="16"/>
                <w:szCs w:val="16"/>
                <w:b w:val="1"/>
                <w:bCs w:val="1"/>
                <w:color w:val="auto"/>
              </w:rPr>
              <w:t>Three Months Ended</w:t>
            </w:r>
          </w:p>
        </w:tc>
        <w:tc>
          <w:tcPr>
            <w:tcW w:w="3180" w:type="dxa"/>
            <w:vAlign w:val="bottom"/>
            <w:gridSpan w:val="3"/>
          </w:tcPr>
          <w:p>
            <w:pPr>
              <w:jc w:val="right"/>
              <w:ind w:right="794"/>
              <w:spacing w:after="0"/>
              <w:rPr>
                <w:sz w:val="20"/>
                <w:szCs w:val="20"/>
                <w:color w:val="auto"/>
              </w:rPr>
            </w:pPr>
            <w:r>
              <w:rPr>
                <w:rFonts w:ascii="Arial" w:cs="Arial" w:eastAsia="Arial" w:hAnsi="Arial"/>
                <w:sz w:val="16"/>
                <w:szCs w:val="16"/>
                <w:b w:val="1"/>
                <w:bCs w:val="1"/>
                <w:color w:val="auto"/>
              </w:rPr>
              <w:t>Nine Months Ended</w:t>
            </w:r>
          </w:p>
        </w:tc>
      </w:tr>
      <w:tr>
        <w:trPr>
          <w:trHeight w:val="33"/>
        </w:trPr>
        <w:tc>
          <w:tcPr>
            <w:tcW w:w="494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4940" w:type="dxa"/>
            <w:vAlign w:val="bottom"/>
          </w:tcPr>
          <w:p>
            <w:pPr>
              <w:spacing w:after="0"/>
              <w:rPr>
                <w:sz w:val="18"/>
                <w:szCs w:val="18"/>
                <w:color w:val="auto"/>
              </w:rPr>
            </w:pPr>
          </w:p>
        </w:tc>
        <w:tc>
          <w:tcPr>
            <w:tcW w:w="1640" w:type="dxa"/>
            <w:vAlign w:val="bottom"/>
            <w:gridSpan w:val="2"/>
          </w:tcPr>
          <w:p>
            <w:pPr>
              <w:ind w:left="280"/>
              <w:spacing w:after="0"/>
              <w:rPr>
                <w:sz w:val="20"/>
                <w:szCs w:val="20"/>
                <w:color w:val="auto"/>
              </w:rPr>
            </w:pPr>
            <w:r>
              <w:rPr>
                <w:rFonts w:ascii="Arial" w:cs="Arial" w:eastAsia="Arial" w:hAnsi="Arial"/>
                <w:sz w:val="16"/>
                <w:szCs w:val="16"/>
                <w:b w:val="1"/>
                <w:bCs w:val="1"/>
                <w:color w:val="auto"/>
              </w:rPr>
              <w:t>September 30,</w:t>
            </w:r>
          </w:p>
        </w:tc>
        <w:tc>
          <w:tcPr>
            <w:tcW w:w="166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640" w:type="dxa"/>
            <w:vAlign w:val="bottom"/>
            <w:gridSpan w:val="2"/>
          </w:tcPr>
          <w:p>
            <w:pPr>
              <w:ind w:left="260"/>
              <w:spacing w:after="0"/>
              <w:rPr>
                <w:sz w:val="20"/>
                <w:szCs w:val="20"/>
                <w:color w:val="auto"/>
              </w:rPr>
            </w:pPr>
            <w:r>
              <w:rPr>
                <w:rFonts w:ascii="Arial" w:cs="Arial" w:eastAsia="Arial" w:hAnsi="Arial"/>
                <w:sz w:val="16"/>
                <w:szCs w:val="16"/>
                <w:b w:val="1"/>
                <w:bCs w:val="1"/>
                <w:color w:val="auto"/>
              </w:rPr>
              <w:t>September 30,</w:t>
            </w:r>
          </w:p>
        </w:tc>
        <w:tc>
          <w:tcPr>
            <w:tcW w:w="1540" w:type="dxa"/>
            <w:vAlign w:val="bottom"/>
          </w:tcPr>
          <w:p>
            <w:pPr>
              <w:jc w:val="right"/>
              <w:ind w:right="214"/>
              <w:spacing w:after="0"/>
              <w:rPr>
                <w:sz w:val="20"/>
                <w:szCs w:val="20"/>
                <w:color w:val="auto"/>
              </w:rPr>
            </w:pPr>
            <w:r>
              <w:rPr>
                <w:rFonts w:ascii="Arial" w:cs="Arial" w:eastAsia="Arial" w:hAnsi="Arial"/>
                <w:sz w:val="16"/>
                <w:szCs w:val="16"/>
                <w:b w:val="1"/>
                <w:bCs w:val="1"/>
                <w:color w:val="auto"/>
              </w:rPr>
              <w:t>September 30,</w:t>
            </w:r>
          </w:p>
        </w:tc>
      </w:tr>
      <w:tr>
        <w:trPr>
          <w:trHeight w:val="243"/>
        </w:trPr>
        <w:tc>
          <w:tcPr>
            <w:tcW w:w="494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2017</w:t>
            </w: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Ingram Micro</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 w:lineRule="exact"/>
        <w:rPr>
          <w:sz w:val="20"/>
          <w:szCs w:val="20"/>
          <w:color w:val="auto"/>
        </w:rPr>
      </w:pPr>
    </w:p>
    <w:p>
      <w:pPr>
        <w:ind w:left="40" w:right="180" w:hanging="5"/>
        <w:spacing w:after="0" w:line="227" w:lineRule="auto"/>
        <w:tabs>
          <w:tab w:leader="none" w:pos="232"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Due to the acquisition by Exclusive Networks Group of the U.S. division of Fine Tec Computers (“Fine Tec U.S.”) in July 2017, Fine Tec U.S.’s revenue and accounts receivable have been combined with Exclusive Networks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 which is a distributor, accounted for 10% or more of net accounts receivable: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460" w:type="dxa"/>
            <w:vAlign w:val="bottom"/>
          </w:tcPr>
          <w:p>
            <w:pPr>
              <w:jc w:val="center"/>
              <w:ind w:left="279"/>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41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900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right"/>
              <w:ind w:right="694"/>
              <w:spacing w:after="0"/>
              <w:rPr>
                <w:sz w:val="20"/>
                <w:szCs w:val="20"/>
                <w:color w:val="auto"/>
              </w:rPr>
            </w:pPr>
            <w:r>
              <w:rPr>
                <w:rFonts w:ascii="Arial" w:cs="Arial" w:eastAsia="Arial" w:hAnsi="Arial"/>
                <w:sz w:val="16"/>
                <w:szCs w:val="16"/>
                <w:b w:val="1"/>
                <w:bCs w:val="1"/>
                <w:color w:val="auto"/>
              </w:rPr>
              <w:t>2017</w:t>
            </w:r>
          </w:p>
        </w:tc>
      </w:tr>
      <w:tr>
        <w:trPr>
          <w:trHeight w:val="33"/>
        </w:trPr>
        <w:tc>
          <w:tcPr>
            <w:tcW w:w="75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Ingram Micro</w:t>
            </w:r>
          </w:p>
        </w:tc>
        <w:tc>
          <w:tcPr>
            <w:tcW w:w="420" w:type="dxa"/>
            <w:vAlign w:val="bottom"/>
          </w:tcPr>
          <w:p>
            <w:pPr>
              <w:jc w:val="right"/>
              <w:spacing w:after="0"/>
              <w:rPr>
                <w:sz w:val="20"/>
                <w:szCs w:val="20"/>
                <w:color w:val="auto"/>
              </w:rPr>
            </w:pPr>
            <w:r>
              <w:rPr>
                <w:rFonts w:ascii="Arial" w:cs="Arial" w:eastAsia="Arial" w:hAnsi="Arial"/>
                <w:sz w:val="18"/>
                <w:szCs w:val="18"/>
                <w:color w:val="auto"/>
                <w:w w:val="99"/>
              </w:rPr>
              <w:t>10%</w:t>
            </w:r>
          </w:p>
        </w:tc>
        <w:tc>
          <w:tcPr>
            <w:tcW w:w="100" w:type="dxa"/>
            <w:vAlign w:val="bottom"/>
          </w:tcPr>
          <w:p>
            <w:pPr>
              <w:spacing w:after="0"/>
              <w:rPr>
                <w:sz w:val="21"/>
                <w:szCs w:val="21"/>
                <w:color w:val="auto"/>
              </w:rPr>
            </w:pPr>
          </w:p>
        </w:tc>
        <w:tc>
          <w:tcPr>
            <w:tcW w:w="190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7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9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Represents less than 10%</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r>
      <w:tr>
        <w:trPr>
          <w:trHeight w:val="27"/>
        </w:trPr>
        <w:tc>
          <w:tcPr>
            <w:tcW w:w="7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Tax provision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related to</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unrealized gains or</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1"/>
              </w:rPr>
              <w:t>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loss before reclassifications</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Amounts reclassified from accumulated other comprehensive loss for unrealized losses on investments and tax provision related to unrealized gains or losses on investments are recorded in other income (expense)—net and in benefit from income taxes, respectively.</w:t>
      </w:r>
    </w:p>
    <w:p>
      <w:pPr>
        <w:spacing w:after="0" w:line="166"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31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October 23, 2018, we acquired ZoneFox Limited (“ZoneFox”), a privately held cloud-based insider threat detection and response company headquartered in Edinburgh, Scotland. The integration of ZoneFox’s machine learning-based threat-hunting technology will provide endpoint detection and response capabilities and will extend FortiSIEM product with additional user entity behavior analytics features, both on-premises and in the cloud. We acquired ZoneFox for approximately $18 million in initial consideration, subject to certain adjustments.</w:t>
      </w:r>
    </w:p>
    <w:p>
      <w:pPr>
        <w:spacing w:after="0" w:line="13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We are currently in the process of evaluating the business combination accounting considerations, including the consideration transferred and the initial purchase price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125" w:right="3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79"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international sales;</w:t>
      </w:r>
    </w:p>
    <w:p>
      <w:pPr>
        <w:spacing w:after="0" w:line="26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expectations regarding uncertain tax benefits and 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2017 Tax Act;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right="4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revenue recognition and accounting for leases.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1"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Fortinet is a global leader in cybersecurity solutions to a wide variety of businesses, such as enterprises, communication service providers and small businesses. Our cybersecurity solutions are designed to provide broad visibility and segmentation of the digital attack surface, through our integrated Security Fabric Platform with automated protection, detection and response. We have four focus areas for our business.</w:t>
      </w:r>
    </w:p>
    <w:p>
      <w:pPr>
        <w:spacing w:after="0" w:line="162" w:lineRule="exact"/>
        <w:rPr>
          <w:sz w:val="20"/>
          <w:szCs w:val="20"/>
          <w:color w:val="auto"/>
        </w:rPr>
      </w:pPr>
    </w:p>
    <w:p>
      <w:pPr>
        <w:ind w:left="660" w:hanging="328"/>
        <w:spacing w:after="0" w:line="256"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Network Security </w:t>
      </w:r>
      <w:r>
        <w:rPr>
          <w:rFonts w:ascii="Arial" w:cs="Arial" w:eastAsia="Arial" w:hAnsi="Arial"/>
          <w:sz w:val="18"/>
          <w:szCs w:val="18"/>
          <w:color w:val="auto"/>
        </w:rPr>
        <w:t>- We derive a majority of product sales from our FortiGate network security appliances. Our FortiGate network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appliances include a broad set of built-in security and networking features and functionalities including firewall, SD-WAN, SSL data leak prevention, VPN, switch and wireless controller, and WAN acceleration, among others. Our network security appliances include our FortiOS operating system, which provides the foundation for FortiGate security functions and FortiSPU, which is designed to enhance the security processing capabilities. Our customers may also purchase FortiGuard subscription services to access threat intelligence updates. We provide standard technical support across all our products through our FortiCare support services.</w:t>
      </w:r>
    </w:p>
    <w:p>
      <w:pPr>
        <w:spacing w:after="0" w:line="187" w:lineRule="exact"/>
        <w:rPr>
          <w:rFonts w:ascii="Arial" w:cs="Arial" w:eastAsia="Arial" w:hAnsi="Arial"/>
          <w:sz w:val="18"/>
          <w:szCs w:val="18"/>
          <w:b w:val="1"/>
          <w:bCs w:val="1"/>
          <w:color w:val="auto"/>
        </w:rPr>
      </w:pPr>
    </w:p>
    <w:p>
      <w:pPr>
        <w:ind w:left="660" w:right="4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Fortinet Security Fabric </w:t>
      </w:r>
      <w:r>
        <w:rPr>
          <w:rFonts w:ascii="Arial" w:cs="Arial" w:eastAsia="Arial" w:hAnsi="Arial"/>
          <w:sz w:val="18"/>
          <w:szCs w:val="18"/>
          <w:color w:val="auto"/>
        </w:rPr>
        <w:t>- The Fortinet Security Fabric, which is one of the fastest growing areas of our business, provides enterprise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unified security across the entire digital attack surface, including network core, endpoints, applications, data centers, access and private and public cloud. Together with our network of 47 Fabric Partners, it enables disparate security devices to work together as an integrated and collaborative whole.</w:t>
      </w:r>
    </w:p>
    <w:p>
      <w:pPr>
        <w:spacing w:after="0" w:line="180" w:lineRule="exact"/>
        <w:rPr>
          <w:rFonts w:ascii="Arial" w:cs="Arial" w:eastAsia="Arial" w:hAnsi="Arial"/>
          <w:sz w:val="18"/>
          <w:szCs w:val="18"/>
          <w:color w:val="auto"/>
        </w:rPr>
      </w:pPr>
    </w:p>
    <w:p>
      <w:pPr>
        <w:ind w:left="660" w:hanging="328"/>
        <w:spacing w:after="0" w:line="274"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Cloud Security </w:t>
      </w:r>
      <w:r>
        <w:rPr>
          <w:rFonts w:ascii="Arial" w:cs="Arial" w:eastAsia="Arial" w:hAnsi="Arial"/>
          <w:sz w:val="17"/>
          <w:szCs w:val="17"/>
          <w:color w:val="auto"/>
        </w:rPr>
        <w:t>- We help customers secure their cloud environments in part by offering security through our virtual firewall and other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in public cloud environments. Our FortiCASB extends the core capabilities of our Security Fabric Platform to provide businesses the same level of cybersecurity and threat intelligence in cloud environments as they receive on their physical networks. We experienced significant billings growth in on-demand cloud consumption and bring-your-own-license (“BYOL”), although not yet significant when compared to the rest of our business. The Fortinet cloud security is available across all major cloud providers, including Microsoft Azure, Amazon Web Services, Google Cloud, Oracle Cloud and IBM Cloud. We believe this area provides opportunity for growth.</w:t>
      </w:r>
    </w:p>
    <w:p>
      <w:pPr>
        <w:spacing w:after="0" w:line="173" w:lineRule="exact"/>
        <w:rPr>
          <w:rFonts w:ascii="Arial" w:cs="Arial" w:eastAsia="Arial" w:hAnsi="Arial"/>
          <w:sz w:val="17"/>
          <w:szCs w:val="17"/>
          <w:color w:val="auto"/>
        </w:rPr>
      </w:pPr>
    </w:p>
    <w:p>
      <w:pPr>
        <w:ind w:left="660" w:right="2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Internet of Things and Operational Technology (“OT”) </w:t>
      </w:r>
      <w:r>
        <w:rPr>
          <w:rFonts w:ascii="Arial" w:cs="Arial" w:eastAsia="Arial" w:hAnsi="Arial"/>
          <w:sz w:val="18"/>
          <w:szCs w:val="18"/>
          <w:color w:val="auto"/>
        </w:rPr>
        <w:t>- IoT and OT are new opportunities for us to grow our business. IoT and OT have created</w:t>
      </w:r>
      <w:r>
        <w:rPr>
          <w:rFonts w:ascii="Arial" w:cs="Arial" w:eastAsia="Arial" w:hAnsi="Arial"/>
          <w:sz w:val="18"/>
          <w:szCs w:val="18"/>
          <w:b w:val="1"/>
          <w:bCs w:val="1"/>
          <w:color w:val="auto"/>
        </w:rPr>
        <w:t xml:space="preserve"> </w:t>
      </w:r>
      <w:r>
        <w:rPr>
          <w:rFonts w:ascii="Arial" w:cs="Arial" w:eastAsia="Arial" w:hAnsi="Arial"/>
          <w:sz w:val="18"/>
          <w:szCs w:val="18"/>
          <w:color w:val="auto"/>
        </w:rPr>
        <w:t>an environment where data move freely between devices across locations, network environments, remote offices, mobile workers and public cloud environments, making the data difficult to consistently track and secure. We are increasing our focus on OT to help protect the physical processes and things used in critical infrastructures, industrial and building automation.</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40" w:hanging="328"/>
        <w:spacing w:after="0" w:line="297"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recorded total revenue of $453.9 million and $1.29 billion in the three and nine months ended September 30, 2018, an increase of 21% and 20%, respectively, compared to $374.2 million and $1.08 billion in the same periods last year. Product revenue was $164.5 million and $473.6 million in the three and nine months ended September 30, 2018, an increase of 20% and 14%, respectively, compared to $137.1 million and $415.1 million in the same periods last year. Service revenue was $289.4 million and $820.6 million, respectively, in the three and nine months ended September 30, 2018, an increase of 22% and 24%, respectively, compared to $237.1 million and $663.2 million in the same period last year.</w:t>
      </w:r>
    </w:p>
    <w:p>
      <w:pPr>
        <w:spacing w:after="0" w:line="15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generated operating income of $62.8 million and $145.9 million in the three and nine months ended September 30, 2018, an increase of 86% and 116%, respectively, compared to $33.7 million and $67.6 million in the same periods last year.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3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cash equivalents and investments were $1.67 billion as of September 30, 2018, an increase of $323.5 million, or 24%, from December 31, 2017.</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Deferred revenue was $1.54 billion as of September 30, 2018, an increase of $208.1 million, or 16%, from December 31, 2017.</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$458.7 million in the nine months ended September 30, 2018, an increase of $21.8 million, or 5%, compared to the same periods last year.</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nine months ended September 30, 2018, we repurchased 2.5 million shares of common stock under the Repurchase Program for an aggregate purchase price of $117.1 million.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three and nine months ended September 30, 2018, our revenue growth was driven by both product and service revenue. On a geographic basis, revenue continues to be diversified globally, which remains a key strength of our business. Product revenue grew 20% and 14% in the three and nine months ended September 30, 2018, respectively. FortiGate unit shipments increased year-over-year. Sales of non-FortiGate products, such as the Fortinet Security Fabric and cloud products, also grew significantly. Service revenue growth of 22% and 24% in the three and nine months ended September 30, 2018, respectively, was driven by the strength of our FortiCare technical support growing 26% and 30%, respectively, and FortiGuard and other security subscription revenue growing 20% for both periods.</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percentage of our FortiGate-related billings from entry-level products increased from 30% in the three months ended September 30, 2017 to 31% in the three months ended September 30, 2018. The percentage of our FortiGate-related billings from mid-range products increased from 29% in the three months ended September 30, 2017 to 33% in the three months ended September 30, 2018. The percentage of our FortiGate-related billings from high-end products decreased to 36% in the three months ended September 30, 2018 from 41% in the same period last year. We continue to see our enterprise customers purchasing a fairly balanced mix of products across these product groups.</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During the three and nine months ended September 30, 2018, operating expenses as a percentage of revenue decreased by four percentage points in both periods, compared to the same periods last year. While both research and development and general and administrative expenses as a percentage of revenue, the decrease was primarily driven by a reduction in sales and marketing expenses as a percentage of revenue, as a result of the adoption of Topic 606 for deferred contract costs, which reduced our commissions expense in absolute dollars and as a percentage of total revenue. Our sales and marketing expenses included a benefit of $9.0 million and $32.5 million in the three and nine months ended September 30, 2018, respectively, from the adoption of Topic 606 related to deferred contract costs. Under Topic 606, we capitalized certain commissions on service contracts and amortize the amount over a certain period. Prior to the adoption of Topic 606, we expensed the commission related to these service contracts upfront. Excluding this benefit, sales and marketing expense as a percentage of revenue would have been comparable in the three and nine months ended September 30, 2018 compared to the same periods last year. Refer to Note 1 and Note 2 in our notes to the condensed consolidated financial statement for more information. Headcount increased by 3% to 5,639 employees and contractors as of September 30, 2018, up from 5,462 as of June 30, 2018.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sales strategy is based on a distribution model whereby we primarily sell our hardware, software licenses and services directly to distributors which sell to resellers and service providers, which, in turn, sell to our end-customers. In certain cases, we sell directly to large service providers and major systems integrators. We also offer our products across all major cloud providers, and have recognized on demand revenue and BYOL revenue from Amazon Web Services, Microsoft Azure, Oracle Cloud, and Google Cloud. In a BYOL arrangement, a customer purchases a perpetual license from us and deploys the software in a cloud provider’s environment. While the revenue from such sales are relatively insignificant, they have increased significantly in recent periods on a percentage basis.</w:t>
      </w:r>
    </w:p>
    <w:p>
      <w:pPr>
        <w:spacing w:after="0" w:line="193"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payable within 30 to 45 days. We also invoice certain services on a monthly basis.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Security Processing Unit (“SPU”) hardware architecture is an important part of our approach to network security. The SPU includes three lines of proprietary ASICs, content processor, network processor and the system on a chip. The ASICs are designed for highly efficient execution of computationally intensive tasks, including policy enforcement, threat detection and encryption. As such, our ASIC-based solutions can run many security applications simultaneously without a significant reduction in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 activities, and free cash flow (non-GAAP). We discuss revenue below under “Results of Operations,” and we discuss our cash, cash equivalents and investments, and net cash provided by operating activities below under “—Liquidity and Capital Resources.” Deferred revenue, billings (non-GAAP), and free cash flow (non-GAAP) are discussed immediately below the following table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gridSpan w:val="4"/>
          </w:tcPr>
          <w:p>
            <w:pPr>
              <w:jc w:val="right"/>
              <w:ind w:right="350"/>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1,219.0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480" w:type="dxa"/>
            <w:vAlign w:val="bottom"/>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r>
      <w:tr>
        <w:trPr>
          <w:trHeight w:val="27"/>
        </w:trPr>
        <w:tc>
          <w:tcPr>
            <w:tcW w:w="8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free cash flow and of revenue to be recognized in future periods. Deferred revenue was $1.54 billion as of September 30, 2018, an increase of $208.1 million, or 16%, from December 31, 2017.</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$527.5 million for the three months ended September 30, 2018, an increase of 22% compared to $431.7 million in the same period last year.</w:t>
      </w:r>
    </w:p>
    <w:p>
      <w:pPr>
        <w:spacing w:after="0" w:line="182"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 reconciliation of billings to revenue, the most directly comparable financial measure calculated and presented in accordance with GAAP, is provided below (in millions):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4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Revenue</w:t>
            </w:r>
          </w:p>
        </w:tc>
        <w:tc>
          <w:tcPr>
            <w:tcW w:w="4780" w:type="dxa"/>
            <w:vAlign w:val="bottom"/>
            <w:gridSpan w:val="2"/>
          </w:tcPr>
          <w:p>
            <w:pPr>
              <w:jc w:val="right"/>
              <w:ind w:right="254"/>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453.9</w:t>
            </w:r>
          </w:p>
        </w:tc>
        <w:tc>
          <w:tcPr>
            <w:tcW w:w="100" w:type="dxa"/>
            <w:vAlign w:val="bottom"/>
          </w:tcPr>
          <w:p>
            <w:pPr>
              <w:spacing w:after="0"/>
              <w:rPr>
                <w:sz w:val="21"/>
                <w:szCs w:val="21"/>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43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57"/>
        </w:trPr>
        <w:tc>
          <w:tcPr>
            <w:tcW w:w="4020" w:type="dxa"/>
            <w:vAlign w:val="bottom"/>
          </w:tcPr>
          <w:p>
            <w:pPr>
              <w:ind w:left="40"/>
              <w:spacing w:after="0"/>
              <w:rPr>
                <w:sz w:val="20"/>
                <w:szCs w:val="20"/>
                <w:color w:val="auto"/>
              </w:rPr>
            </w:pPr>
            <w:r>
              <w:rPr>
                <w:rFonts w:ascii="Arial" w:cs="Arial" w:eastAsia="Arial" w:hAnsi="Arial"/>
                <w:sz w:val="18"/>
                <w:szCs w:val="18"/>
                <w:color w:val="auto"/>
              </w:rPr>
              <w:t>Total billings (non-GAAP)</w:t>
            </w:r>
          </w:p>
        </w:tc>
        <w:tc>
          <w:tcPr>
            <w:tcW w:w="43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527.5</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431.7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320" w:type="dxa"/>
            <w:vAlign w:val="bottom"/>
            <w:vMerge w:val="restart"/>
          </w:tcPr>
          <w:p>
            <w:pPr>
              <w:jc w:val="right"/>
              <w:ind w:right="2450"/>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i w:val="1"/>
          <w:iCs w:val="1"/>
          <w:color w:val="auto"/>
        </w:rPr>
        <w:t xml:space="preserve">Free cash flow (non-GAAP). </w:t>
      </w:r>
      <w:r>
        <w:rPr>
          <w:rFonts w:ascii="Arial" w:cs="Arial" w:eastAsia="Arial" w:hAnsi="Arial"/>
          <w:sz w:val="16"/>
          <w:szCs w:val="16"/>
          <w:color w:val="auto"/>
        </w:rPr>
        <w:t>We define free cash flow as net cash provided by operating activities minus capital expenditures such as purchases of</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rather than the GAAP measure of net cash provided by operating activities is that free cash flow does not represent the total increase or decrease in the cash, cash equivalents and investments balance for the period because it excludes cash provided by or used for other investing and financing activities. Management accounts for this limitation by providing information about our capital expenditures and other investing and financing activities on the face of the cash flow statement and under “—Liquidity and Capital Resources” and by presenting 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flows as a comparative measure. A reconciliation of free cash flow to net cash provided by operating activities, the most directly comparable financial measure calculated and presented in accordance with GAAP, is provided below (in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3"/>
          </w:tcPr>
          <w:p>
            <w:pPr>
              <w:jc w:val="right"/>
              <w:ind w:right="32"/>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 2018</w:t>
            </w: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September 30, 2017</w:t>
            </w:r>
          </w:p>
        </w:tc>
      </w:tr>
      <w:tr>
        <w:trPr>
          <w:trHeight w:val="33"/>
        </w:trPr>
        <w:tc>
          <w:tcPr>
            <w:tcW w:w="83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820" w:type="dxa"/>
            <w:vAlign w:val="bottom"/>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158.5</w:t>
            </w:r>
          </w:p>
        </w:tc>
        <w:tc>
          <w:tcPr>
            <w:tcW w:w="10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140.6</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4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8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0"/>
        </w:trPr>
        <w:tc>
          <w:tcPr>
            <w:tcW w:w="8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We adopted Topic 606 on January 1, 2018 using the modified retrospective method. Refer to Note 2 in the notes to our condensed consolidated financial statements included in this Quarterly Report on Form 10-Q for a discussion of the impact. Other than the adoption of Topic 606, there were no material changes to our critical accounting policies and estimates as of and for the three and nine months ended September 30, 2018, as compared to the critical accounting policies and estimates described in the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right="460" w:firstLine="648"/>
        <w:spacing w:after="0" w:line="277" w:lineRule="auto"/>
        <w:rPr>
          <w:sz w:val="20"/>
          <w:szCs w:val="20"/>
          <w:color w:val="auto"/>
        </w:rPr>
      </w:pPr>
      <w:r>
        <w:rPr>
          <w:rFonts w:ascii="Arial" w:cs="Arial" w:eastAsia="Arial" w:hAnsi="Arial"/>
          <w:sz w:val="18"/>
          <w:szCs w:val="18"/>
          <w:color w:val="auto"/>
        </w:rPr>
        <w:t>See Note 1 to the notes to the condensed consolidated financial statements included in Part I, Item 1 of this Quarterly Report on Form 10-Q for information regarding recent accounting pronouncements.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and September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103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22</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79.7</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21%</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20%</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74.7</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420" w:type="dxa"/>
            <w:vAlign w:val="bottom"/>
          </w:tcPr>
          <w:p>
            <w:pPr>
              <w:ind w:left="1060"/>
              <w:spacing w:after="0"/>
              <w:rPr>
                <w:sz w:val="20"/>
                <w:szCs w:val="20"/>
                <w:color w:val="auto"/>
              </w:rPr>
            </w:pPr>
            <w:r>
              <w:rPr>
                <w:rFonts w:ascii="Arial" w:cs="Arial" w:eastAsia="Arial" w:hAnsi="Arial"/>
                <w:sz w:val="18"/>
                <w:szCs w:val="18"/>
                <w:color w:val="auto"/>
              </w:rPr>
              <w:t>27</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21%</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40" w:firstLine="8"/>
        <w:spacing w:after="0" w:line="252" w:lineRule="auto"/>
        <w:tabs>
          <w:tab w:leader="none" w:pos="192"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Revenue during the three months ended September 30, 2018 under Topic 606 (As Reported) and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20"/>
              <w:spacing w:after="0"/>
              <w:rPr>
                <w:sz w:val="20"/>
                <w:szCs w:val="20"/>
                <w:color w:val="auto"/>
              </w:rPr>
            </w:pPr>
            <w:r>
              <w:rPr>
                <w:rFonts w:ascii="Arial" w:cs="Arial" w:eastAsia="Arial" w:hAnsi="Arial"/>
                <w:sz w:val="18"/>
                <w:szCs w:val="18"/>
                <w:color w:val="auto"/>
              </w:rPr>
              <w:t>Product</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2.2</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14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top w:val="single" w:sz="8" w:color="auto"/>
              <w:bottom w:val="single" w:sz="8" w:color="auto"/>
            </w:tcBorders>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453.9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14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1440" w:type="dxa"/>
            <w:vAlign w:val="bottom"/>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APAC</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40" w:type="dxa"/>
            <w:vAlign w:val="bottom"/>
            <w:tcBorders>
              <w:bottom w:val="single" w:sz="8" w:color="auto"/>
            </w:tcBorders>
            <w:shd w:val="clear" w:color="auto" w:fill="CCEEFF"/>
          </w:tcPr>
          <w:p>
            <w:pPr>
              <w:jc w:val="right"/>
              <w:ind w:right="12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453.9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451.9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Total revenue increased by $79.7 million, or 21%, during the three months ended September 30, 2018 compared to the same period last year. We continued to experience diversification of revenue globally. Revenue from all regions grew both on an absolute dollars and on a percentage basis.</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Product revenue increased by $27.4 million, or 20%, during the three months ended September 30, 2018 compared to the same period last year. Product revenue during the three months ended September 30, 2018 included a $2.2 million benefit from the adoption of Topic 606, which primarily relates to the change in accounting treatment under Topic 606 for some of our software products where revenue from these arrangements can now be recognized upfront instead of ratably over the contracted service term. FortiGate unit shipments increased year-over-year. Sales of non-FortiGate products also increased significantly. Fortinet Security Fabric was the fastest growing products compared to the remainder of our business. Service revenue increased by $52.3 million, or 22%, during the three months ended September 30, 2018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gridSpan w:val="5"/>
          </w:tcPr>
          <w:p>
            <w:pPr>
              <w:ind w:left="920"/>
              <w:spacing w:after="0"/>
              <w:rPr>
                <w:sz w:val="20"/>
                <w:szCs w:val="20"/>
                <w:color w:val="auto"/>
              </w:rPr>
            </w:pPr>
            <w:r>
              <w:rPr>
                <w:rFonts w:ascii="Arial" w:cs="Arial" w:eastAsia="Arial" w:hAnsi="Arial"/>
                <w:sz w:val="16"/>
                <w:szCs w:val="16"/>
                <w:b w:val="1"/>
                <w:bCs w:val="1"/>
                <w:color w:val="auto"/>
              </w:rPr>
              <w:t>Three Months Ended</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3"/>
        </w:trPr>
        <w:tc>
          <w:tcPr>
            <w:tcW w:w="3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3"/>
          </w:tcPr>
          <w:p>
            <w:pPr>
              <w:ind w:left="580"/>
              <w:spacing w:after="0"/>
              <w:rPr>
                <w:sz w:val="20"/>
                <w:szCs w:val="20"/>
                <w:color w:val="auto"/>
              </w:rPr>
            </w:pPr>
            <w:r>
              <w:rPr>
                <w:rFonts w:ascii="Arial" w:cs="Arial" w:eastAsia="Arial" w:hAnsi="Arial"/>
                <w:sz w:val="16"/>
                <w:szCs w:val="16"/>
                <w:b w:val="1"/>
                <w:bCs w:val="1"/>
                <w:color w:val="auto"/>
                <w:w w:val="96"/>
              </w:rPr>
              <w:t>(in millions, except percentages)</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ind w:left="11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1"/>
                <w:szCs w:val="21"/>
                <w:color w:val="auto"/>
              </w:rPr>
            </w:pP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13.9</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24%</w:t>
            </w: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12</w:t>
            </w:r>
          </w:p>
        </w:tc>
      </w:tr>
      <w:tr>
        <w:trPr>
          <w:trHeight w:val="297"/>
        </w:trPr>
        <w:tc>
          <w:tcPr>
            <w:tcW w:w="3600" w:type="dxa"/>
            <w:vAlign w:val="bottom"/>
            <w:tcBorders>
              <w:bottom w:val="single" w:sz="8" w:color="CCEEFF"/>
            </w:tcBorders>
          </w:tcPr>
          <w:p>
            <w:pPr>
              <w:jc w:val="center"/>
              <w:ind w:right="1930"/>
              <w:spacing w:after="0"/>
              <w:rPr>
                <w:sz w:val="20"/>
                <w:szCs w:val="20"/>
                <w:color w:val="auto"/>
              </w:rPr>
            </w:pPr>
            <w:r>
              <w:rPr>
                <w:rFonts w:ascii="Arial" w:cs="Arial" w:eastAsia="Arial" w:hAnsi="Arial"/>
                <w:sz w:val="18"/>
                <w:szCs w:val="18"/>
                <w:color w:val="auto"/>
                <w:w w:val="89"/>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18.0</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19%</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ind w:left="1100"/>
              <w:spacing w:after="0"/>
              <w:rPr>
                <w:sz w:val="20"/>
                <w:szCs w:val="20"/>
                <w:color w:val="auto"/>
              </w:rPr>
            </w:pPr>
            <w:r>
              <w:rPr>
                <w:rFonts w:ascii="Arial" w:cs="Arial" w:eastAsia="Arial" w:hAnsi="Arial"/>
                <w:sz w:val="18"/>
                <w:szCs w:val="18"/>
                <w:color w:val="auto"/>
                <w:w w:val="93"/>
              </w:rPr>
              <w:t>57.6%</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ind w:left="1100"/>
              <w:spacing w:after="0"/>
              <w:rPr>
                <w:sz w:val="20"/>
                <w:szCs w:val="20"/>
                <w:color w:val="auto"/>
              </w:rPr>
            </w:pPr>
            <w:r>
              <w:rPr>
                <w:rFonts w:ascii="Arial" w:cs="Arial" w:eastAsia="Arial" w:hAnsi="Arial"/>
                <w:sz w:val="18"/>
                <w:szCs w:val="18"/>
                <w:color w:val="auto"/>
                <w:w w:val="93"/>
              </w:rPr>
              <w:t>75.0%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0.4 %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60" w:firstLine="8"/>
        <w:spacing w:after="0" w:line="252" w:lineRule="auto"/>
        <w:tabs>
          <w:tab w:leader="none" w:pos="192"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Cost of revenue and gross margin during the three months ended September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Balances Without Adoption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79"/>
              </w:rPr>
              <w:t>of</w:t>
            </w:r>
          </w:p>
        </w:tc>
        <w:tc>
          <w:tcPr>
            <w:tcW w:w="22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As Reported</w:t>
            </w:r>
          </w:p>
        </w:tc>
        <w:tc>
          <w:tcPr>
            <w:tcW w:w="40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2"/>
              <w:spacing w:after="0"/>
              <w:rPr>
                <w:sz w:val="20"/>
                <w:szCs w:val="20"/>
                <w:color w:val="auto"/>
              </w:rPr>
            </w:pPr>
            <w:r>
              <w:rPr>
                <w:rFonts w:ascii="Arial" w:cs="Arial" w:eastAsia="Arial" w:hAnsi="Arial"/>
                <w:sz w:val="18"/>
                <w:szCs w:val="18"/>
                <w:color w:val="auto"/>
              </w:rPr>
              <w:t>(0.3)</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r>
      <w:tr>
        <w:trPr>
          <w:trHeight w:val="23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Total gross margin increased by 0.4 percentage points during the three months ended September 30, 2018 compared to the same period last year, driven by revenue mix shift to higher margin service revenue. Service gross margin increased by 1.3 percentage points during the three months ended September 30, 2018 compared to the same period last year, as our FortiCare technical support and FortiGuard and other security subscription revenue grew 26% and 20%, respectively, during the three months ended September 30, 2018 compared to the same period last year, which outpaced the increase in the related personnel costs and headcount growth, resulting in a higher margin. Cost of service revenue was comprised primarily of personnel costs. Product gross margin decreased by 1.4 percentage points during the three months ended September 30, 2018 compared to the same period last year as we continued to transition to our new product introductions. The decrease was partially offset by increased revenue in higher margin software licenses. Total cost of product revenue was comprised primarily of direct and indirect cost of products sold, inventory reserves and other charges.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58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3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09"/>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0"/>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Revenue</w:t>
            </w:r>
          </w:p>
        </w:tc>
        <w:tc>
          <w:tcPr>
            <w:tcW w:w="200" w:type="dxa"/>
            <w:vAlign w:val="bottom"/>
          </w:tcPr>
          <w:p>
            <w:pPr>
              <w:spacing w:after="0"/>
              <w:rPr>
                <w:sz w:val="18"/>
                <w:szCs w:val="18"/>
                <w:color w:val="auto"/>
              </w:rPr>
            </w:pPr>
          </w:p>
        </w:tc>
        <w:tc>
          <w:tcPr>
            <w:tcW w:w="960" w:type="dxa"/>
            <w:vAlign w:val="bottom"/>
          </w:tcPr>
          <w:p>
            <w:pPr>
              <w:jc w:val="right"/>
              <w:ind w:right="174"/>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6"/>
                <w:szCs w:val="16"/>
                <w:b w:val="1"/>
                <w:bCs w:val="1"/>
                <w:color w:val="auto"/>
              </w:rPr>
              <w:t>Change</w:t>
            </w:r>
          </w:p>
        </w:tc>
        <w:tc>
          <w:tcPr>
            <w:tcW w:w="1440" w:type="dxa"/>
            <w:vAlign w:val="bottom"/>
          </w:tcPr>
          <w:p>
            <w:pPr>
              <w:jc w:val="right"/>
              <w:ind w:right="21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7"/>
        </w:trPr>
        <w:tc>
          <w:tcPr>
            <w:tcW w:w="3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4"/>
              </w:rPr>
              <w:t>13%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53.5</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74"/>
              <w:spacing w:after="0"/>
              <w:rPr>
                <w:sz w:val="20"/>
                <w:szCs w:val="20"/>
                <w:color w:val="auto"/>
              </w:rPr>
            </w:pPr>
            <w:r>
              <w:rPr>
                <w:rFonts w:ascii="Arial" w:cs="Arial" w:eastAsia="Arial" w:hAnsi="Arial"/>
                <w:sz w:val="18"/>
                <w:szCs w:val="18"/>
                <w:color w:val="auto"/>
                <w:w w:val="89"/>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50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w:t>
            </w:r>
          </w:p>
        </w:tc>
      </w:tr>
      <w:tr>
        <w:trPr>
          <w:trHeight w:val="243"/>
        </w:trPr>
        <w:tc>
          <w:tcPr>
            <w:tcW w:w="326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4"/>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500" w:type="dxa"/>
            <w:vAlign w:val="bottom"/>
            <w:gridSpan w:val="3"/>
          </w:tcPr>
          <w:p>
            <w:pPr>
              <w:jc w:val="right"/>
              <w:ind w:right="99"/>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7</w:t>
            </w: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279.5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center"/>
              <w:ind w:right="174"/>
              <w:spacing w:after="0"/>
              <w:rPr>
                <w:sz w:val="20"/>
                <w:szCs w:val="20"/>
                <w:color w:val="auto"/>
              </w:rPr>
            </w:pPr>
            <w:r>
              <w:rPr>
                <w:rFonts w:ascii="Arial" w:cs="Arial" w:eastAsia="Arial" w:hAnsi="Arial"/>
                <w:sz w:val="18"/>
                <w:szCs w:val="18"/>
                <w:color w:val="auto"/>
                <w:w w:val="94"/>
              </w:rPr>
              <w:t>62%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32.6</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52" w:lineRule="auto"/>
        <w:tabs>
          <w:tab w:leader="none" w:pos="192" w:val="left"/>
        </w:tabs>
        <w:numPr>
          <w:ilvl w:val="0"/>
          <w:numId w:val="30"/>
        </w:numPr>
        <w:rPr>
          <w:rFonts w:ascii="Arial" w:cs="Arial" w:eastAsia="Arial" w:hAnsi="Arial"/>
          <w:sz w:val="22"/>
          <w:szCs w:val="22"/>
          <w:color w:val="auto"/>
          <w:vertAlign w:val="superscript"/>
        </w:rPr>
      </w:pPr>
      <w:r>
        <w:rPr>
          <w:rFonts w:ascii="Arial" w:cs="Arial" w:eastAsia="Arial" w:hAnsi="Arial"/>
          <w:sz w:val="16"/>
          <w:szCs w:val="16"/>
          <w:color w:val="auto"/>
        </w:rPr>
        <w:t>Operating expenses during the three months ended September 30, 2018 under Topic 606 (As Reported) and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3"/>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279.5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Research and development expense increased by $5.2 million, or 10%, during the three months ended September 30, 2018 compared to the same period last year, primarily due to an increase of $6.9 million in personnel-related costs as a result of increased headcount to support the development of new products and continued enhancements of our existing products. The increase in expense was offset by a decrease of $2.1 million in product development expenses, such as third-party testing, prototypes and supplies. We intend to continue to invest in our research and development organization, and expect research and development expense to increase in absolute dollars during the remainder of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Sales and marketing expense increased by $25.9 million, or 15%, during the three months ended September 30, 2018 compared to the same period last year, primarily due to an increase of $20.3 million in personnel-related costs, including higher stock-based compensation expense of $6.4 million, as sales and marketing headcount increased in order to drive market share gains globally. The increase in personnel costs was net of a benefit of $9.0 million from the adoption of the new accounting standard related to deferred contract costs. Under this new standard, we capitalized certain commissions on service contracts and amortize the amount over a certain period. Prior to the adoption of this new standard, we expensed the commission related to these service contracts. Our sales and marketing expense would have increased by $34.9 million, or 20%, under the prior accounting standard. Refer to Note 2 in our notes to the condensed consolidated financial statement for more information. Marketing-related expense increased by $1.8 million. In addition, depreciation expense and other occupancy-related expense increased by $1.5 million and travel and entertainment expenses increased by $1.3 million. As a percentage of total revenue, sales and marketing expense decreased primarily due to the benefit from the new accounting standard on deferred contract costs. Excluding this benefit, sales and marketing expense as a percentage of revenue would have been 46% of total revenue, which is comparable to the same period last year. We intend to continue to make investments in our sales resources and infrastructure and marketing strategy, which are critical to support growth, and expect sales and marketing expense to increase in absolute dollars during the remainder of 2018.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General and administrative expense increased by $1.5 million, or 7%, during the three months ended September 30, 2018 compared to the same period last year. Personnel costs increased by $1.8 million as we continued to increase headcount in order to support our expanding business. The increase in expense was partially offset by a combined decrease in depreciation and other operating costs of $0.4 million. We expect general and administrative expense to increase in absolute dollars during the remainder of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generated operating income of $62.8 million during the three months ended September 30, 2018, an increase of $29.1 million, or 86%, compared to $33.7 million in the same period last year. The improvement in operating income included benefit from the adoption of the new accounting standard. Operating income as a percentage of total revenue increased to 14% in the three months ended September 30, 2018 from 9% in the same period last year. The increase in operating margin is primarily due to a decrease in sales and marketing expenses to 44% as a percentage of total revenue in the three months ended September 30, 2018 from 46% in the same period last year. Excluding the benefit from the adoption of Topic 606, sales and marketing expense as a percentage of revenue would have been 46% of total revenue. The adoption of this new standard resulted in an improvement of 2.4 percentage points in our operating margin. In addition, the decrease in research and development and general and administrative expenses as a percentage of total revenue, as well as improvement in gross margin, contributed to the improvement in operating margin.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440" w:type="dxa"/>
            <w:vAlign w:val="bottom"/>
          </w:tcPr>
          <w:p>
            <w:pPr>
              <w:jc w:val="center"/>
              <w:ind w:left="257"/>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440" w:type="dxa"/>
            <w:vAlign w:val="bottom"/>
          </w:tcPr>
          <w:p>
            <w:pPr>
              <w:jc w:val="right"/>
              <w:ind w:right="297"/>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740" w:type="dxa"/>
            <w:vAlign w:val="bottom"/>
          </w:tcPr>
          <w:p>
            <w:pPr>
              <w:jc w:val="right"/>
              <w:ind w:right="85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1440" w:type="dxa"/>
            <w:vAlign w:val="bottom"/>
            <w:tcBorders>
              <w:bottom w:val="single" w:sz="8" w:color="CCEEFF"/>
            </w:tcBorders>
            <w:shd w:val="clear" w:color="auto" w:fill="CCEEFF"/>
          </w:tcPr>
          <w:p>
            <w:pPr>
              <w:jc w:val="right"/>
              <w:ind w:right="1237"/>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3.0</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income—net</w:t>
            </w:r>
          </w:p>
        </w:tc>
        <w:tc>
          <w:tcPr>
            <w:tcW w:w="14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500" w:type="dxa"/>
            <w:vAlign w:val="bottom"/>
          </w:tcPr>
          <w:p>
            <w:pPr>
              <w:spacing w:after="0"/>
              <w:rPr>
                <w:sz w:val="21"/>
                <w:szCs w:val="21"/>
                <w:color w:val="auto"/>
              </w:rPr>
            </w:pPr>
          </w:p>
        </w:tc>
        <w:tc>
          <w:tcPr>
            <w:tcW w:w="1740" w:type="dxa"/>
            <w:vAlign w:val="bottom"/>
          </w:tcPr>
          <w:p>
            <w:pPr>
              <w:jc w:val="right"/>
              <w:ind w:right="313"/>
              <w:spacing w:after="0"/>
              <w:rPr>
                <w:sz w:val="20"/>
                <w:szCs w:val="20"/>
                <w:color w:val="auto"/>
              </w:rPr>
            </w:pPr>
            <w:r>
              <w:rPr>
                <w:rFonts w:ascii="Arial" w:cs="Arial" w:eastAsia="Arial" w:hAnsi="Arial"/>
                <w:sz w:val="18"/>
                <w:szCs w:val="18"/>
                <w:color w:val="auto"/>
              </w:rPr>
              <w:t>0.5</w:t>
            </w:r>
          </w:p>
        </w:tc>
        <w:tc>
          <w:tcPr>
            <w:tcW w:w="1700" w:type="dxa"/>
            <w:vAlign w:val="bottom"/>
          </w:tcPr>
          <w:p>
            <w:pPr>
              <w:jc w:val="right"/>
              <w:ind w:right="93"/>
              <w:spacing w:after="0"/>
              <w:rPr>
                <w:sz w:val="20"/>
                <w:szCs w:val="20"/>
                <w:color w:val="auto"/>
              </w:rPr>
            </w:pPr>
            <w:r>
              <w:rPr>
                <w:rFonts w:ascii="Arial" w:cs="Arial" w:eastAsia="Arial" w:hAnsi="Arial"/>
                <w:sz w:val="18"/>
                <w:szCs w:val="18"/>
                <w:color w:val="auto"/>
              </w:rPr>
              <w:t>125</w:t>
            </w:r>
          </w:p>
        </w:tc>
      </w:tr>
    </w:tbl>
    <w:p>
      <w:pPr>
        <w:spacing w:after="0" w:line="22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Interest income increased during the three months ended September 30, 2018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income —net during the three months ended September 30, 2018 compared to the same period last year was primarily due to a $2.2 million gain on sale of an investment in a privately held company, offset by foreign currency exchange losses.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3"/>
          </w:tcPr>
          <w:p>
            <w:pPr>
              <w:jc w:val="right"/>
              <w:ind w:right="1075"/>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ind w:right="415"/>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43"/>
        </w:trPr>
        <w:tc>
          <w:tcPr>
            <w:tcW w:w="3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13"/>
              <w:spacing w:after="0"/>
              <w:rPr>
                <w:sz w:val="20"/>
                <w:szCs w:val="20"/>
                <w:color w:val="auto"/>
              </w:rPr>
            </w:pPr>
            <w:r>
              <w:rPr>
                <w:rFonts w:ascii="Arial" w:cs="Arial" w:eastAsia="Arial" w:hAnsi="Arial"/>
                <w:sz w:val="16"/>
                <w:szCs w:val="16"/>
                <w:b w:val="1"/>
                <w:bCs w:val="1"/>
                <w:color w:val="auto"/>
              </w:rPr>
              <w:t>Change</w:t>
            </w:r>
          </w:p>
        </w:tc>
        <w:tc>
          <w:tcPr>
            <w:tcW w:w="16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3"/>
          </w:tcPr>
          <w:p>
            <w:pPr>
              <w:jc w:val="right"/>
              <w:ind w:right="1073"/>
              <w:spacing w:after="0"/>
              <w:rPr>
                <w:sz w:val="20"/>
                <w:szCs w:val="20"/>
                <w:color w:val="auto"/>
              </w:rPr>
            </w:pPr>
            <w:r>
              <w:rPr>
                <w:rFonts w:ascii="Arial" w:cs="Arial" w:eastAsia="Arial" w:hAnsi="Arial"/>
                <w:sz w:val="16"/>
                <w:szCs w:val="16"/>
                <w:b w:val="1"/>
                <w:bCs w:val="1"/>
                <w:color w:val="auto"/>
              </w:rPr>
              <w:t>(in millions, except percentages)</w:t>
            </w:r>
          </w:p>
        </w:tc>
        <w:tc>
          <w:tcPr>
            <w:tcW w:w="164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11.3</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73"/>
              <w:spacing w:after="0"/>
              <w:rPr>
                <w:sz w:val="20"/>
                <w:szCs w:val="20"/>
                <w:color w:val="auto"/>
              </w:rPr>
            </w:pPr>
            <w:r>
              <w:rPr>
                <w:rFonts w:ascii="Arial" w:cs="Arial" w:eastAsia="Arial" w:hAnsi="Arial"/>
                <w:sz w:val="18"/>
                <w:szCs w:val="18"/>
                <w:color w:val="auto"/>
              </w:rPr>
              <w:t>0.6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280" w:type="dxa"/>
            <w:vAlign w:val="bottom"/>
          </w:tcPr>
          <w:p>
            <w:pPr>
              <w:spacing w:after="0"/>
              <w:rPr>
                <w:sz w:val="21"/>
                <w:szCs w:val="21"/>
                <w:color w:val="auto"/>
              </w:rPr>
            </w:pPr>
          </w:p>
        </w:tc>
        <w:tc>
          <w:tcPr>
            <w:tcW w:w="164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(13)%</w:t>
            </w:r>
          </w:p>
        </w:tc>
        <w:tc>
          <w:tcPr>
            <w:tcW w:w="1640" w:type="dxa"/>
            <w:vAlign w:val="bottom"/>
          </w:tcPr>
          <w:p>
            <w:pPr>
              <w:jc w:val="right"/>
              <w:ind w:right="9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40" w:firstLine="8"/>
        <w:spacing w:after="0" w:line="252" w:lineRule="auto"/>
        <w:tabs>
          <w:tab w:leader="none" w:pos="192" w:val="left"/>
        </w:tabs>
        <w:numPr>
          <w:ilvl w:val="0"/>
          <w:numId w:val="31"/>
        </w:numPr>
        <w:rPr>
          <w:rFonts w:ascii="Arial" w:cs="Arial" w:eastAsia="Arial" w:hAnsi="Arial"/>
          <w:sz w:val="22"/>
          <w:szCs w:val="22"/>
          <w:color w:val="auto"/>
          <w:vertAlign w:val="superscript"/>
        </w:rPr>
      </w:pPr>
      <w:r>
        <w:rPr>
          <w:rFonts w:ascii="Arial" w:cs="Arial" w:eastAsia="Arial" w:hAnsi="Arial"/>
          <w:sz w:val="16"/>
          <w:szCs w:val="16"/>
          <w:color w:val="auto"/>
        </w:rPr>
        <w:t>Provision for income taxes during the three months ended September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Balances Without Adoption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79"/>
              </w:rPr>
              <w:t>of</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0"/>
        </w:trPr>
        <w:tc>
          <w:tcPr>
            <w:tcW w:w="5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780" w:type="dxa"/>
            <w:vAlign w:val="bottom"/>
          </w:tcPr>
          <w:p>
            <w:pPr>
              <w:jc w:val="right"/>
              <w:ind w:right="233"/>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60" w:type="dxa"/>
            <w:vAlign w:val="bottom"/>
            <w:tcBorders>
              <w:bottom w:val="single" w:sz="8" w:color="CCEEFF"/>
            </w:tcBorders>
            <w:shd w:val="clear" w:color="auto" w:fill="CCEEFF"/>
          </w:tcPr>
          <w:p>
            <w:pPr>
              <w:jc w:val="right"/>
              <w:ind w:right="12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1"/>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2.1</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02"/>
        </w:trPr>
        <w:tc>
          <w:tcPr>
            <w:tcW w:w="5240" w:type="dxa"/>
            <w:vAlign w:val="bottom"/>
          </w:tcPr>
          <w:p>
            <w:pPr>
              <w:spacing w:after="0"/>
              <w:rPr>
                <w:sz w:val="24"/>
                <w:szCs w:val="24"/>
                <w:color w:val="auto"/>
              </w:rPr>
            </w:pPr>
          </w:p>
        </w:tc>
        <w:tc>
          <w:tcPr>
            <w:tcW w:w="1460" w:type="dxa"/>
            <w:vAlign w:val="bottom"/>
          </w:tcPr>
          <w:p>
            <w:pPr>
              <w:jc w:val="right"/>
              <w:ind w:right="813"/>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effective tax rate was 17% for the three months ended September 30, 2018 compared to an effective tax rate of 30% for the same period last year, with the primary difference being the change in the federal tax rate to 21% in 2018 from 35% in the prior year. The effective tax rate for the periods presented are comprised of U.S. federal and state taxes, withholding taxes, and foreign taxes of $17.7 million, which were offset by a tax provision benefit of $5.8 million for stock-based compensation. The tax rate for the three months ended September 30, 2017 was comprised of U.S. federal and state taxes, withholding taxes and foreign taxes of $12.7 million which were offset by a tax provision benefit of $1.8 million for stock-based compensation.</w:t>
      </w:r>
    </w:p>
    <w:p>
      <w:pPr>
        <w:spacing w:after="0" w:line="15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December 2017, the U.S. federal government enacted the 2017 Tax Act. Effective January 1, 2018, the 2017 Tax Act reduced the federal corporate income tax rate from 35% to 21% and created a territorial tax system with a one-time mandatory tax on foreign earnings of U.S. subsidiaries not previously subject to U.S. income tax. Under GAAP, changes in tax rates and tax law are accounted for in the period of enactment and deferred tax assets and liabilities are measured at the enacted tax rate.</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SEC staff has issued Staff Accounting Bulletin No. 118 (“SAB 118”), which provides guidance on accounting for the tax effects of the 2017 Tax Act. SAB 118 provides a measurement period that should not extend beyond one year from the 2017 Tax Act enactment date for companies to complete the accounting under ASC 740. In accordance with SAB 118, a company must reflect the income tax effects of those aspects of the 2017 Tax Act for which the accounting under ASC 740 is complete. To the extent that a company’s accounting for certain income tax effects of the 2017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Act. At this time, our income tax reporting for these effects is provisional using reasonable estimates.</w:t>
      </w:r>
    </w:p>
    <w:p>
      <w:pPr>
        <w:spacing w:after="0" w:line="16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2017 Tax Act creates a new requirement that global intangible low-taxed income (“GILTI”) earned by controlled foreign corporations (“CFCs”) be included currently in the gross income of the CFCs’ U.S. shareholder. Because of the complexity of the new GILTI tax rules, we are continuing to evaluate this provision of the 2017 Tax Act and the application of ASC 740. Under GAAP, we are allowed to make an accounting policy choice of either (1) treating taxes due on U.S. inclusions in taxable income related to GILTI as a current-period expense when incurred (the “period cost method”) or (2) factoring such amounts into a company’s measurement of its deferred taxes. Our selection of an accounting policy for 2018 with respect to the GILTI tax rules was to treat GILTI tax as a current-period expense under the period cost method.</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IRS issued Notice 2018-26 on April 2, 2018, which included allowing a deduction for foreign taxes during 2017 to be allocated to earning and profits calculated as of November 2, 2017. This deduction resulted in a decrease of our transition tax by $3.2 million. We also released unrecognized tax benefits in the first quarter of 2018, which had previously reduced our transition tax. This increased our transition tax by $2.7 million. The net tax provision benefit due to changes in the transition tax calculation was $0.5 million in the first quarter of 2018. We did not make any changes to the transition tax in the third quarter of 2018.</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It is our policy is to include accrued interest and penalties related to uncertain tax benefits in income tax expense. As of September 30, 2018 and December 31, 2017, accrued interest and penalties were $12.2 million and $13.5 million, respectively. It is reasonably possible that our gross unrecognized tax benefits will decrease by up to $8.0 million in the next 12 months, primarily due to the lapse of the statute of limitations. These adjustments, if recognized, would positively impact our effective tax rate, and would be recognized as additional tax benefits.</w:t>
      </w:r>
    </w:p>
    <w:p>
      <w:pPr>
        <w:spacing w:after="0" w:line="18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On July 24, 2018, the U.S. Court of Appeals for the Ninth Circuit overturned the U.S. Tax Court’s unanimous 2015 decision in </w:t>
      </w:r>
      <w:r>
        <w:rPr>
          <w:rFonts w:ascii="Arial" w:cs="Arial" w:eastAsia="Arial" w:hAnsi="Arial"/>
          <w:sz w:val="18"/>
          <w:szCs w:val="18"/>
          <w:i w:val="1"/>
          <w:iCs w:val="1"/>
          <w:color w:val="auto"/>
        </w:rPr>
        <w:t>Altera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holding that the IRS did not violate the rulemaking procedures required by the Administrative Procedures Act. On August 7, 2018, the Ninth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withdrew the opinions filed July 24, 2018 to allow time for the reconstituted panel to confer on the appeal. In </w:t>
      </w:r>
      <w:r>
        <w:rPr>
          <w:rFonts w:ascii="Arial" w:cs="Arial" w:eastAsia="Arial" w:hAnsi="Arial"/>
          <w:sz w:val="18"/>
          <w:szCs w:val="18"/>
          <w:i w:val="1"/>
          <w:iCs w:val="1"/>
          <w:color w:val="auto"/>
        </w:rPr>
        <w:t>Altera</w:t>
      </w:r>
      <w:r>
        <w:rPr>
          <w:rFonts w:ascii="Arial" w:cs="Arial" w:eastAsia="Arial" w:hAnsi="Arial"/>
          <w:sz w:val="18"/>
          <w:szCs w:val="18"/>
          <w:color w:val="auto"/>
        </w:rPr>
        <w:t>, the taxpayer challenged IRS regulations that required participants in qualified cost sharing arrangements to share stock-based compensation costs. The U.S. Tax Court had invalidated those regulations, in part because the Treasury Department failed to adequately consider significant taxpayer comments when adopting them. We will evaluate the tax impact when the new opinion is released from the Ninth Circuit.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and September 30, 2017</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413"/>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26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43"/>
        </w:trPr>
        <w:tc>
          <w:tcPr>
            <w:tcW w:w="3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0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1036"/>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980" w:type="dxa"/>
            <w:vAlign w:val="bottom"/>
          </w:tcPr>
          <w:p>
            <w:pPr>
              <w:jc w:val="right"/>
              <w:ind w:right="15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473.6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415.1</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663.2</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157.4</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24</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1,294.2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1,078.3</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215.9</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20%</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468.3</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90.8</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19%</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520" w:type="dxa"/>
            <w:vAlign w:val="bottom"/>
            <w:tcBorders>
              <w:bottom w:val="single" w:sz="8" w:color="CCEEFF"/>
            </w:tcBorders>
            <w:gridSpan w:val="3"/>
            <w:shd w:val="clear" w:color="auto" w:fill="CCEEFF"/>
          </w:tcPr>
          <w:p>
            <w:pPr>
              <w:jc w:val="right"/>
              <w:ind w:right="116"/>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20</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260.8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215.8</w:t>
            </w:r>
          </w:p>
        </w:tc>
        <w:tc>
          <w:tcPr>
            <w:tcW w:w="1520" w:type="dxa"/>
            <w:vAlign w:val="bottom"/>
            <w:gridSpan w:val="3"/>
          </w:tcPr>
          <w:p>
            <w:pPr>
              <w:jc w:val="right"/>
              <w:ind w:right="116"/>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w:t>
            </w:r>
          </w:p>
        </w:tc>
        <w:tc>
          <w:tcPr>
            <w:tcW w:w="1420" w:type="dxa"/>
            <w:vAlign w:val="bottom"/>
          </w:tcPr>
          <w:p>
            <w:pPr>
              <w:ind w:left="1060"/>
              <w:spacing w:after="0"/>
              <w:rPr>
                <w:sz w:val="20"/>
                <w:szCs w:val="20"/>
                <w:color w:val="auto"/>
              </w:rPr>
            </w:pPr>
            <w:r>
              <w:rPr>
                <w:rFonts w:ascii="Arial" w:cs="Arial" w:eastAsia="Arial" w:hAnsi="Arial"/>
                <w:sz w:val="18"/>
                <w:szCs w:val="18"/>
                <w:color w:val="auto"/>
              </w:rPr>
              <w:t>21</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c>
          <w:tcPr>
            <w:tcW w:w="14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4"/>
              </w:rPr>
              <w:t>20%</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firstLine="8"/>
        <w:spacing w:after="0" w:line="252" w:lineRule="auto"/>
        <w:tabs>
          <w:tab w:leader="none" w:pos="192"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Revenue during the nine months ended September 30, 2018 under Topic 606 (As Reported) and Topic 605 (Balances Without Adoption of Topic 606) were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 Reported</w:t>
            </w: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2"/>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461.5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12.1</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1,294.2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34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Americas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559.1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12.1</w:t>
            </w: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APAC</w:t>
            </w:r>
          </w:p>
        </w:tc>
        <w:tc>
          <w:tcPr>
            <w:tcW w:w="3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260.8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3"/>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1,280.6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Total revenue increased by $215.9 million, or 20%, during the nine months ended September 30, 2018 compared to the same period last year. We continued to experience diversification of revenue globally. Revenue from all regions grew both on an absolute dollars and on a percentage basis. Product revenue increased by $58.5 million, or 14%, during the nine months ended September 30, 2018 compared to the same period last year. Product revenue in the nine months ended September 30, 2018 included a $12.1 million benefit from the adoption of Topic 606, which primarily related to the change in accounting treatment under Topic 606 for some of our software products where revenue from these arrangements can now be recognized upfront instead of ratably over the contracted service term. FortiGate unit shipments increased year-over-year. Sales of non-FortiGate products also increased significantly. Fortinet Security Fabric and cloud products were the fastest growing products compared to the remainder of our business. Service revenue increased by $157.4 million, or 24%, during the nine months ended September 30, 2018 compared to the same period last year. The increase in service revenue was primarily due to the recognition of revenue from our growing deferred revenue balance consisting of FortiGuard security subscription and FortiCare technical support contracts sold to a larger customer base, as well as the renewals of similar contracts sold in earlier periods.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80" w:type="dxa"/>
            <w:vAlign w:val="bottom"/>
            <w:gridSpan w:val="5"/>
          </w:tcPr>
          <w:p>
            <w:pPr>
              <w:ind w:left="960"/>
              <w:spacing w:after="0"/>
              <w:rPr>
                <w:sz w:val="20"/>
                <w:szCs w:val="20"/>
                <w:color w:val="auto"/>
              </w:rPr>
            </w:pPr>
            <w:r>
              <w:rPr>
                <w:rFonts w:ascii="Arial" w:cs="Arial" w:eastAsia="Arial" w:hAnsi="Arial"/>
                <w:sz w:val="16"/>
                <w:szCs w:val="16"/>
                <w:b w:val="1"/>
                <w:bCs w:val="1"/>
                <w:color w:val="auto"/>
              </w:rPr>
              <w:t>Nine Months Ended</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09"/>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w:t>
            </w: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43"/>
        </w:trPr>
        <w:tc>
          <w:tcPr>
            <w:tcW w:w="36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3"/>
          </w:tcPr>
          <w:p>
            <w:pPr>
              <w:jc w:val="right"/>
              <w:ind w:right="133"/>
              <w:spacing w:after="0"/>
              <w:rPr>
                <w:sz w:val="20"/>
                <w:szCs w:val="20"/>
                <w:color w:val="auto"/>
              </w:rPr>
            </w:pPr>
            <w:r>
              <w:rPr>
                <w:rFonts w:ascii="Arial" w:cs="Arial" w:eastAsia="Arial" w:hAnsi="Arial"/>
                <w:sz w:val="16"/>
                <w:szCs w:val="16"/>
                <w:b w:val="1"/>
                <w:bCs w:val="1"/>
                <w:color w:val="auto"/>
              </w:rPr>
              <w:t>(in millions, except percentages)</w:t>
            </w: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1"/>
                <w:szCs w:val="21"/>
                <w:color w:val="auto"/>
              </w:rPr>
            </w:pPr>
          </w:p>
        </w:tc>
        <w:tc>
          <w:tcPr>
            <w:tcW w:w="1280" w:type="dxa"/>
            <w:vAlign w:val="bottom"/>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50"/>
              <w:spacing w:after="0"/>
              <w:rPr>
                <w:sz w:val="20"/>
                <w:szCs w:val="20"/>
                <w:color w:val="auto"/>
              </w:rPr>
            </w:pPr>
            <w:r>
              <w:rPr>
                <w:rFonts w:ascii="Arial" w:cs="Arial" w:eastAsia="Arial" w:hAnsi="Arial"/>
                <w:sz w:val="18"/>
                <w:szCs w:val="18"/>
                <w:color w:val="auto"/>
              </w:rPr>
              <w:t>29.9</w:t>
            </w:r>
          </w:p>
        </w:tc>
        <w:tc>
          <w:tcPr>
            <w:tcW w:w="1960" w:type="dxa"/>
            <w:vAlign w:val="bottom"/>
          </w:tcPr>
          <w:p>
            <w:pPr>
              <w:ind w:left="1600"/>
              <w:spacing w:after="0"/>
              <w:rPr>
                <w:sz w:val="20"/>
                <w:szCs w:val="20"/>
                <w:color w:val="auto"/>
              </w:rPr>
            </w:pPr>
            <w:r>
              <w:rPr>
                <w:rFonts w:ascii="Arial" w:cs="Arial" w:eastAsia="Arial" w:hAnsi="Arial"/>
                <w:sz w:val="18"/>
                <w:szCs w:val="18"/>
                <w:color w:val="auto"/>
                <w:w w:val="94"/>
              </w:rPr>
              <w:t>17%</w:t>
            </w: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12.1</w:t>
            </w:r>
          </w:p>
        </w:tc>
        <w:tc>
          <w:tcPr>
            <w:tcW w:w="1960" w:type="dxa"/>
            <w:vAlign w:val="bottom"/>
            <w:tcBorders>
              <w:bottom w:val="single" w:sz="8" w:color="CCEEFF"/>
            </w:tcBorders>
            <w:shd w:val="clear" w:color="auto" w:fill="CCEEFF"/>
          </w:tcPr>
          <w:p>
            <w:pPr>
              <w:ind w:left="1600"/>
              <w:spacing w:after="0"/>
              <w:rPr>
                <w:sz w:val="20"/>
                <w:szCs w:val="20"/>
                <w:color w:val="auto"/>
              </w:rPr>
            </w:pPr>
            <w:r>
              <w:rPr>
                <w:rFonts w:ascii="Arial" w:cs="Arial" w:eastAsia="Arial" w:hAnsi="Arial"/>
                <w:sz w:val="18"/>
                <w:szCs w:val="18"/>
                <w:color w:val="auto"/>
              </w:rPr>
              <w:t>11</w:t>
            </w:r>
          </w:p>
        </w:tc>
      </w:tr>
      <w:tr>
        <w:trPr>
          <w:trHeight w:val="297"/>
        </w:trPr>
        <w:tc>
          <w:tcPr>
            <w:tcW w:w="3600" w:type="dxa"/>
            <w:vAlign w:val="bottom"/>
            <w:tcBorders>
              <w:bottom w:val="single" w:sz="8" w:color="CCEEFF"/>
            </w:tcBorders>
          </w:tcPr>
          <w:p>
            <w:pPr>
              <w:jc w:val="center"/>
              <w:ind w:right="1930"/>
              <w:spacing w:after="0"/>
              <w:rPr>
                <w:sz w:val="20"/>
                <w:szCs w:val="20"/>
                <w:color w:val="auto"/>
              </w:rPr>
            </w:pPr>
            <w:r>
              <w:rPr>
                <w:rFonts w:ascii="Arial" w:cs="Arial" w:eastAsia="Arial" w:hAnsi="Arial"/>
                <w:sz w:val="18"/>
                <w:szCs w:val="18"/>
                <w:color w:val="auto"/>
                <w:w w:val="89"/>
              </w:rPr>
              <w:t>Total cost of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321.9</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279.9</w:t>
            </w:r>
          </w:p>
        </w:tc>
        <w:tc>
          <w:tcPr>
            <w:tcW w:w="120" w:type="dxa"/>
            <w:vAlign w:val="bottom"/>
            <w:tcBorders>
              <w:bottom w:val="single" w:sz="8" w:color="CCEEFF"/>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42.0</w:t>
            </w:r>
          </w:p>
        </w:tc>
        <w:tc>
          <w:tcPr>
            <w:tcW w:w="1960" w:type="dxa"/>
            <w:vAlign w:val="bottom"/>
            <w:tcBorders>
              <w:bottom w:val="single" w:sz="8" w:color="CCEEFF"/>
            </w:tcBorders>
          </w:tcPr>
          <w:p>
            <w:pPr>
              <w:ind w:left="1600"/>
              <w:spacing w:after="0"/>
              <w:rPr>
                <w:sz w:val="20"/>
                <w:szCs w:val="20"/>
                <w:color w:val="auto"/>
              </w:rPr>
            </w:pPr>
            <w:r>
              <w:rPr>
                <w:rFonts w:ascii="Arial" w:cs="Arial" w:eastAsia="Arial" w:hAnsi="Arial"/>
                <w:sz w:val="18"/>
                <w:szCs w:val="18"/>
                <w:color w:val="auto"/>
                <w:w w:val="94"/>
              </w:rPr>
              <w:t>15%</w:t>
            </w:r>
          </w:p>
        </w:tc>
      </w:tr>
      <w:tr>
        <w:trPr>
          <w:trHeight w:val="237"/>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r>
      <w:tr>
        <w:trPr>
          <w:trHeight w:val="243"/>
        </w:trPr>
        <w:tc>
          <w:tcPr>
            <w:tcW w:w="3600" w:type="dxa"/>
            <w:vAlign w:val="bottom"/>
          </w:tcPr>
          <w:p>
            <w:pPr>
              <w:jc w:val="center"/>
              <w:ind w:right="1950"/>
              <w:spacing w:after="0"/>
              <w:rPr>
                <w:sz w:val="20"/>
                <w:szCs w:val="20"/>
                <w:color w:val="auto"/>
              </w:rPr>
            </w:pPr>
            <w:r>
              <w:rPr>
                <w:rFonts w:ascii="Arial" w:cs="Arial" w:eastAsia="Arial" w:hAnsi="Arial"/>
                <w:sz w:val="18"/>
                <w:szCs w:val="18"/>
                <w:color w:val="auto"/>
                <w:w w:val="90"/>
              </w:rPr>
              <w:t>Product</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96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center"/>
              <w:ind w:right="1970"/>
              <w:spacing w:after="0"/>
              <w:rPr>
                <w:sz w:val="20"/>
                <w:szCs w:val="20"/>
                <w:color w:val="auto"/>
              </w:rPr>
            </w:pPr>
            <w:r>
              <w:rPr>
                <w:rFonts w:ascii="Arial" w:cs="Arial" w:eastAsia="Arial" w:hAnsi="Arial"/>
                <w:sz w:val="18"/>
                <w:szCs w:val="18"/>
                <w:color w:val="auto"/>
                <w:w w:val="89"/>
              </w:rPr>
              <w:t>Service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1.1 %</w:t>
            </w:r>
          </w:p>
        </w:tc>
        <w:tc>
          <w:tcPr>
            <w:tcW w:w="1960" w:type="dxa"/>
            <w:vAlign w:val="bottom"/>
          </w:tcPr>
          <w:p>
            <w:pPr>
              <w:spacing w:after="0"/>
              <w:rPr>
                <w:sz w:val="21"/>
                <w:szCs w:val="21"/>
                <w:color w:val="auto"/>
              </w:rPr>
            </w:pPr>
          </w:p>
        </w:tc>
      </w:tr>
    </w:tbl>
    <w:p>
      <w:pPr>
        <w:spacing w:after="0" w:line="229" w:lineRule="exact"/>
        <w:rPr>
          <w:sz w:val="20"/>
          <w:szCs w:val="20"/>
          <w:color w:val="auto"/>
        </w:rPr>
      </w:pPr>
    </w:p>
    <w:p>
      <w:pPr>
        <w:ind w:right="100" w:firstLine="8"/>
        <w:spacing w:after="0" w:line="252" w:lineRule="auto"/>
        <w:tabs>
          <w:tab w:leader="none" w:pos="192"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Cost of revenue and gross margin during the nine months ended September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Balances Without Adoption</w:t>
            </w:r>
          </w:p>
        </w:tc>
        <w:tc>
          <w:tcPr>
            <w:tcW w:w="2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79"/>
              </w:rPr>
              <w:t>of</w:t>
            </w:r>
          </w:p>
        </w:tc>
        <w:tc>
          <w:tcPr>
            <w:tcW w:w="220" w:type="dxa"/>
            <w:vAlign w:val="bottom"/>
          </w:tcPr>
          <w:p>
            <w:pPr>
              <w:spacing w:after="0"/>
              <w:rPr>
                <w:sz w:val="17"/>
                <w:szCs w:val="17"/>
                <w:color w:val="auto"/>
              </w:rPr>
            </w:pPr>
          </w:p>
        </w:tc>
        <w:tc>
          <w:tcPr>
            <w:tcW w:w="1780" w:type="dxa"/>
            <w:vAlign w:val="bottom"/>
          </w:tcPr>
          <w:p>
            <w:pPr>
              <w:jc w:val="right"/>
              <w:ind w:right="332"/>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Arial" w:cs="Arial" w:eastAsia="Arial" w:hAnsi="Arial"/>
                <w:sz w:val="16"/>
                <w:szCs w:val="16"/>
                <w:b w:val="1"/>
                <w:bCs w:val="1"/>
                <w:color w:val="auto"/>
              </w:rPr>
              <w:t>As Reported</w:t>
            </w:r>
          </w:p>
        </w:tc>
        <w:tc>
          <w:tcPr>
            <w:tcW w:w="40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Topic 606</w:t>
            </w:r>
          </w:p>
        </w:tc>
        <w:tc>
          <w:tcPr>
            <w:tcW w:w="220" w:type="dxa"/>
            <w:vAlign w:val="bottom"/>
          </w:tcPr>
          <w:p>
            <w:pPr>
              <w:spacing w:after="0"/>
              <w:rPr>
                <w:sz w:val="18"/>
                <w:szCs w:val="18"/>
                <w:color w:val="auto"/>
              </w:rPr>
            </w:pPr>
          </w:p>
        </w:tc>
        <w:tc>
          <w:tcPr>
            <w:tcW w:w="17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Increase (Decrease)</w:t>
            </w:r>
          </w:p>
        </w:tc>
      </w:tr>
      <w:tr>
        <w:trPr>
          <w:trHeight w:val="33"/>
        </w:trPr>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52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97"/>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320.9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r>
      <w:tr>
        <w:trPr>
          <w:trHeight w:val="23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3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50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3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Total gross margin increased by 1.1 percentage points during the nine months ended September 30, 2018 compared to the same period last year, driven by higher margin on higher service revenue. Service gross margin increased by 1.5 percentage points during the nine months ended September 30, 2018 compared to the same period last year, due to the strength of our FortiCare technical support and FortiGuard and other security subscription revenue growing 30% and 20%, respectively, during the nine months ended September 30, 2018 compared to the same period last year, which outpaced the increase in the related personnel costs and headcount growth, resulting in a higher margin. Cost of service revenue was comprised primarily of personnel costs. Product gross margin decreased by 1.1 percentage points during the nine months ended September 30, 2018 compared to the same period last year, as we continued to transition to our new product introductions. Total cost of product revenue was comprised primarily of direct and indirect cost of products sold, inventory reserves and other charges.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560" w:type="dxa"/>
            <w:vAlign w:val="bottom"/>
            <w:gridSpan w:val="5"/>
          </w:tcPr>
          <w:p>
            <w:pPr>
              <w:ind w:left="62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9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1074"/>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31"/>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155.9</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right="173"/>
              <w:spacing w:after="0"/>
              <w:rPr>
                <w:sz w:val="20"/>
                <w:szCs w:val="20"/>
                <w:color w:val="auto"/>
              </w:rPr>
            </w:pPr>
            <w:r>
              <w:rPr>
                <w:rFonts w:ascii="Arial" w:cs="Arial" w:eastAsia="Arial" w:hAnsi="Arial"/>
                <w:sz w:val="18"/>
                <w:szCs w:val="18"/>
                <w:color w:val="auto"/>
                <w:w w:val="89"/>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1500" w:type="dxa"/>
            <w:vAlign w:val="bottom"/>
            <w:tcBorders>
              <w:bottom w:val="single" w:sz="8" w:color="CCEEFF"/>
            </w:tcBorders>
            <w:gridSpan w:val="3"/>
            <w:shd w:val="clear" w:color="auto" w:fill="CCEEFF"/>
          </w:tcPr>
          <w:p>
            <w:pPr>
              <w:jc w:val="right"/>
              <w:ind w:right="11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4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ind w:right="173"/>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w:t>
            </w:r>
          </w:p>
        </w:tc>
        <w:tc>
          <w:tcPr>
            <w:tcW w:w="1500" w:type="dxa"/>
            <w:vAlign w:val="bottom"/>
            <w:gridSpan w:val="3"/>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1480" w:type="dxa"/>
            <w:vAlign w:val="bottom"/>
          </w:tcPr>
          <w:p>
            <w:pPr>
              <w:jc w:val="right"/>
              <w:ind w:right="131"/>
              <w:spacing w:after="0"/>
              <w:rPr>
                <w:sz w:val="20"/>
                <w:szCs w:val="20"/>
                <w:color w:val="auto"/>
              </w:rPr>
            </w:pPr>
            <w:r>
              <w:rPr>
                <w:rFonts w:ascii="Arial" w:cs="Arial" w:eastAsia="Arial" w:hAnsi="Arial"/>
                <w:sz w:val="18"/>
                <w:szCs w:val="18"/>
                <w:color w:val="auto"/>
              </w:rPr>
              <w:t>8</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826.4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center"/>
              <w:ind w:right="173"/>
              <w:spacing w:after="0"/>
              <w:rPr>
                <w:sz w:val="20"/>
                <w:szCs w:val="20"/>
                <w:color w:val="auto"/>
              </w:rPr>
            </w:pPr>
            <w:r>
              <w:rPr>
                <w:rFonts w:ascii="Arial" w:cs="Arial" w:eastAsia="Arial" w:hAnsi="Arial"/>
                <w:sz w:val="18"/>
                <w:szCs w:val="18"/>
                <w:color w:val="auto"/>
                <w:w w:val="94"/>
              </w:rPr>
              <w:t>64%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730.8</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95.6</w:t>
            </w: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79"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22"/>
          <w:szCs w:val="22"/>
          <w:color w:val="auto"/>
          <w:vertAlign w:val="superscript"/>
        </w:rPr>
      </w:pPr>
      <w:r>
        <w:rPr>
          <w:rFonts w:ascii="Arial" w:cs="Arial" w:eastAsia="Arial" w:hAnsi="Arial"/>
          <w:sz w:val="16"/>
          <w:szCs w:val="16"/>
          <w:color w:val="auto"/>
        </w:rPr>
        <w:t>Operating expenses during the nine months ended September 30, 2018 under Topic 606 (As Reported) and Topic 605 (Balances Without Adoption of Topic</w:t>
      </w:r>
    </w:p>
    <w:p>
      <w:pPr>
        <w:spacing w:after="0" w:line="1"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18"/>
          <w:szCs w:val="18"/>
          <w:color w:val="auto"/>
        </w:rPr>
        <w:t>606)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Balances Without</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Adoption of</w:t>
            </w:r>
          </w:p>
        </w:tc>
        <w:tc>
          <w:tcPr>
            <w:tcW w:w="220" w:type="dxa"/>
            <w:vAlign w:val="bottom"/>
          </w:tcPr>
          <w:p>
            <w:pPr>
              <w:spacing w:after="0"/>
              <w:rPr>
                <w:sz w:val="17"/>
                <w:szCs w:val="17"/>
                <w:color w:val="auto"/>
              </w:rPr>
            </w:pPr>
          </w:p>
        </w:tc>
        <w:tc>
          <w:tcPr>
            <w:tcW w:w="1720" w:type="dxa"/>
            <w:vAlign w:val="bottom"/>
          </w:tcPr>
          <w:p>
            <w:pPr>
              <w:jc w:val="right"/>
              <w:ind w:right="293"/>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5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20" w:type="dxa"/>
            <w:vAlign w:val="bottom"/>
          </w:tcPr>
          <w:p>
            <w:pPr>
              <w:jc w:val="right"/>
              <w:ind w:right="213"/>
              <w:spacing w:after="0"/>
              <w:rPr>
                <w:sz w:val="20"/>
                <w:szCs w:val="20"/>
                <w:color w:val="auto"/>
              </w:rPr>
            </w:pPr>
            <w:r>
              <w:rPr>
                <w:rFonts w:ascii="Arial" w:cs="Arial" w:eastAsia="Arial" w:hAnsi="Arial"/>
                <w:sz w:val="16"/>
                <w:szCs w:val="16"/>
                <w:b w:val="1"/>
                <w:bCs w:val="1"/>
                <w:color w:val="auto"/>
                <w:w w:val="92"/>
              </w:rPr>
              <w:t>Increase (Decrease)</w:t>
            </w:r>
          </w:p>
        </w:tc>
      </w:tr>
      <w:tr>
        <w:trPr>
          <w:trHeight w:val="33"/>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440" w:type="dxa"/>
            <w:vAlign w:val="bottom"/>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179.0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 expenses</w:t>
            </w:r>
          </w:p>
        </w:tc>
        <w:tc>
          <w:tcPr>
            <w:tcW w:w="14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43"/>
        </w:trPr>
        <w:tc>
          <w:tcPr>
            <w:tcW w:w="538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4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auto"/>
            </w:tcBorders>
            <w:shd w:val="clear" w:color="auto" w:fill="CCEEFF"/>
          </w:tcPr>
          <w:p>
            <w:pPr>
              <w:jc w:val="right"/>
              <w:ind w:right="123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826.4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0"/>
        </w:trPr>
        <w:tc>
          <w:tcPr>
            <w:tcW w:w="53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Research and development expense increased by $23.1 million, or 15%, during the nine months ended September 30, 2018 compared to the same period last year, primarily due to an increase of $20.9 million in personnel-related costs as a result of increased headcount to support the development of new products and continued enhancements of our existing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Sales and marketing expense increased by $67.3 million, or 13%, during the nine months ended September 30, 2018 compared to the same period last year, primarily due to an increase of $50.6 million in personnel-related costs, including higher stock-based compensation expense of $12.1 million, as sales and marketing headcount increased in order to drive market share gains globally. These increases in personnel costs included a benefit of $32.5 million from the adoption of the new accounting standard related to deferred contract costs. Under this new standard, we capitalized certain commissions on service contracts and amortize the amount over a certain period. Prior to the adoption of this new standard, we expensed the commission related to these service contracts. Our sales and marketing expense would have increased by $99.8 million, or 20%, under the prior accounting standard. Refer to Note 2 in our notes to the condensed consolidated financial statement for more information. Travel and entertainment expense increased by $5.6 million. In addition, marketing-related expense increased by $4.9 million and depreciation and other occupancy-related costs increased by $4.8 million. As a percentage of total revenue, sales and marketing expense decreased primarily due to the benefit from the new accounting standard on deferred contract costs. Excluding this benefit, sales and marketing expense as a percentage of revenue would have been 48% of total revenue.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color w:val="auto"/>
        </w:rPr>
        <w:t>General and administrative expense increased by $5.5 million, or 8%, during the nine months ended September 30, 2018 compared to the same period last year. Personnel costs increased by $8.0 million as we continued to increase headcount in order to support our expanding business. In addition, expense related to software licenses and ERP costs increased by $2.4 million, supplies expense increase of $0.8 million and professional fees increased by $0.4 million. The increase in expense was partially offset by a decrease in depreciation and other occupancy-related costs of $5.0 million and a decrease in litigation settlement costs of $1.4 million.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generated operating income of $145.9 million during the nine months ended September 30, 2018, an increase of $78.3 million, or 116%, compared to $67.6 million in the same period last year. The improvement in operating income generated was primarily due to the benefit from the adoption of the new accounting standard, along with revenue growth outpacing total operating expense growth. Operating income as a percentage of total revenue increased to 11% in the nine months ended September 30, 2018 from 6% in the same period of last year. The increase in operating margin is primarily due to a decrease in sales and marketing expenses to 45% as a percentage of total revenue in the nine months ended September 30, 2018 from 47% in the same period last year. Excluding the benefit from the adoption of Topic 606, sales and marketing expense as a percentage of revenue would have been 48% of total revenue. The adoption of this new standard resulted in an improvement of 3.4 percentage points in our operating margin.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3740" w:type="dxa"/>
            <w:vAlign w:val="bottom"/>
            <w:gridSpan w:val="4"/>
          </w:tcPr>
          <w:p>
            <w:pPr>
              <w:jc w:val="right"/>
              <w:ind w:right="1075"/>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3700" w:type="dxa"/>
            <w:vAlign w:val="bottom"/>
          </w:tcPr>
          <w:p>
            <w:pPr>
              <w:spacing w:after="0"/>
              <w:rPr>
                <w:sz w:val="18"/>
                <w:szCs w:val="18"/>
                <w:color w:val="auto"/>
              </w:rPr>
            </w:pPr>
          </w:p>
        </w:tc>
        <w:tc>
          <w:tcPr>
            <w:tcW w:w="1380" w:type="dxa"/>
            <w:vAlign w:val="bottom"/>
          </w:tcPr>
          <w:p>
            <w:pPr>
              <w:jc w:val="center"/>
              <w:ind w:left="317"/>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33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380" w:type="dxa"/>
            <w:vAlign w:val="bottom"/>
          </w:tcPr>
          <w:p>
            <w:pPr>
              <w:jc w:val="right"/>
              <w:ind w:right="237"/>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jc w:val="right"/>
              <w:ind w:right="655"/>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18"/>
                <w:szCs w:val="18"/>
                <w:color w:val="auto"/>
              </w:rPr>
            </w:pPr>
          </w:p>
        </w:tc>
        <w:tc>
          <w:tcPr>
            <w:tcW w:w="1780" w:type="dxa"/>
            <w:vAlign w:val="bottom"/>
          </w:tcPr>
          <w:p>
            <w:pPr>
              <w:jc w:val="right"/>
              <w:ind w:right="893"/>
              <w:spacing w:after="0"/>
              <w:rPr>
                <w:sz w:val="20"/>
                <w:szCs w:val="20"/>
                <w:color w:val="auto"/>
              </w:rPr>
            </w:pPr>
            <w:r>
              <w:rPr>
                <w:rFonts w:ascii="Arial" w:cs="Arial" w:eastAsia="Arial" w:hAnsi="Arial"/>
                <w:sz w:val="16"/>
                <w:szCs w:val="16"/>
                <w:b w:val="1"/>
                <w:bCs w:val="1"/>
                <w:color w:val="auto"/>
              </w:rPr>
              <w:t>Change</w:t>
            </w:r>
          </w:p>
        </w:tc>
        <w:tc>
          <w:tcPr>
            <w:tcW w:w="1700" w:type="dxa"/>
            <w:vAlign w:val="bottom"/>
          </w:tcPr>
          <w:p>
            <w:pPr>
              <w:jc w:val="right"/>
              <w:ind w:right="51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7"/>
        </w:trPr>
        <w:tc>
          <w:tcPr>
            <w:tcW w:w="3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4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millions, except percentages)</w:t>
            </w:r>
          </w:p>
        </w:tc>
        <w:tc>
          <w:tcPr>
            <w:tcW w:w="1700" w:type="dxa"/>
            <w:vAlign w:val="bottom"/>
          </w:tcPr>
          <w:p>
            <w:pPr>
              <w:spacing w:after="0"/>
              <w:rPr>
                <w:sz w:val="18"/>
                <w:szCs w:val="18"/>
                <w:color w:val="auto"/>
              </w:rPr>
            </w:pPr>
          </w:p>
        </w:tc>
      </w:tr>
      <w:tr>
        <w:trPr>
          <w:trHeight w:val="33"/>
        </w:trPr>
        <w:tc>
          <w:tcPr>
            <w:tcW w:w="3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income—net</w:t>
            </w:r>
          </w:p>
        </w:tc>
        <w:tc>
          <w:tcPr>
            <w:tcW w:w="1380" w:type="dxa"/>
            <w:vAlign w:val="bottom"/>
            <w:tcBorders>
              <w:bottom w:val="single" w:sz="8" w:color="CCEEFF"/>
            </w:tcBorders>
            <w:shd w:val="clear" w:color="auto" w:fill="CCEEFF"/>
          </w:tcPr>
          <w:p>
            <w:pPr>
              <w:jc w:val="right"/>
              <w:ind w:right="117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17.2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353"/>
              <w:spacing w:after="0"/>
              <w:rPr>
                <w:sz w:val="20"/>
                <w:szCs w:val="20"/>
                <w:color w:val="auto"/>
              </w:rPr>
            </w:pPr>
            <w:r>
              <w:rPr>
                <w:rFonts w:ascii="Arial" w:cs="Arial" w:eastAsia="Arial" w:hAnsi="Arial"/>
                <w:sz w:val="18"/>
                <w:szCs w:val="18"/>
                <w:color w:val="auto"/>
              </w:rPr>
              <w:t>7.7</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Other income (expense)—net</w:t>
            </w:r>
          </w:p>
        </w:tc>
        <w:tc>
          <w:tcPr>
            <w:tcW w:w="13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21"/>
                <w:szCs w:val="21"/>
                <w:color w:val="auto"/>
              </w:rPr>
            </w:pP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1"/>
                <w:szCs w:val="21"/>
                <w:color w:val="auto"/>
              </w:rPr>
            </w:pPr>
          </w:p>
        </w:tc>
        <w:tc>
          <w:tcPr>
            <w:tcW w:w="1780" w:type="dxa"/>
            <w:vAlign w:val="bottom"/>
          </w:tcPr>
          <w:p>
            <w:pPr>
              <w:jc w:val="right"/>
              <w:ind w:right="293"/>
              <w:spacing w:after="0"/>
              <w:rPr>
                <w:sz w:val="20"/>
                <w:szCs w:val="20"/>
                <w:color w:val="auto"/>
              </w:rPr>
            </w:pPr>
            <w:r>
              <w:rPr>
                <w:rFonts w:ascii="Arial" w:cs="Arial" w:eastAsia="Arial" w:hAnsi="Arial"/>
                <w:sz w:val="18"/>
                <w:szCs w:val="18"/>
                <w:color w:val="auto"/>
              </w:rPr>
              <w:t>(6.2)</w:t>
            </w:r>
          </w:p>
        </w:tc>
        <w:tc>
          <w:tcPr>
            <w:tcW w:w="1700" w:type="dxa"/>
            <w:vAlign w:val="bottom"/>
          </w:tcPr>
          <w:p>
            <w:pPr>
              <w:jc w:val="right"/>
              <w:ind w:right="73"/>
              <w:spacing w:after="0"/>
              <w:rPr>
                <w:sz w:val="20"/>
                <w:szCs w:val="20"/>
                <w:color w:val="auto"/>
              </w:rPr>
            </w:pPr>
            <w:r>
              <w:rPr>
                <w:rFonts w:ascii="Arial" w:cs="Arial" w:eastAsia="Arial" w:hAnsi="Arial"/>
                <w:sz w:val="18"/>
                <w:szCs w:val="18"/>
                <w:color w:val="auto"/>
              </w:rPr>
              <w:t>(326)</w:t>
            </w:r>
          </w:p>
        </w:tc>
      </w:tr>
    </w:tbl>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Interest income increased during the nine months ended September 30, 2018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income (expense)—net during the nine months ended September 30, 2018 compared to the same period last year was primarily due to higher foreign currency exchange losses, offset by $2.2 million gain on sale of an investment in a privately held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3820" w:type="dxa"/>
            <w:vAlign w:val="bottom"/>
            <w:gridSpan w:val="4"/>
          </w:tcPr>
          <w:p>
            <w:pPr>
              <w:jc w:val="right"/>
              <w:ind w:right="1115"/>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420" w:type="dxa"/>
            <w:vAlign w:val="bottom"/>
          </w:tcPr>
          <w:p>
            <w:pPr>
              <w:jc w:val="center"/>
              <w:ind w:left="337"/>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43"/>
        </w:trPr>
        <w:tc>
          <w:tcPr>
            <w:tcW w:w="3580" w:type="dxa"/>
            <w:vAlign w:val="bottom"/>
          </w:tcPr>
          <w:p>
            <w:pPr>
              <w:spacing w:after="0"/>
              <w:rPr>
                <w:sz w:val="21"/>
                <w:szCs w:val="21"/>
                <w:color w:val="auto"/>
              </w:rPr>
            </w:pPr>
          </w:p>
        </w:tc>
        <w:tc>
          <w:tcPr>
            <w:tcW w:w="1420" w:type="dxa"/>
            <w:vAlign w:val="bottom"/>
            <w:tcBorders>
              <w:bottom w:val="single" w:sz="8" w:color="auto"/>
            </w:tcBorders>
          </w:tcPr>
          <w:p>
            <w:pPr>
              <w:jc w:val="center"/>
              <w:ind w:right="157"/>
              <w:spacing w:after="0"/>
              <w:rPr>
                <w:sz w:val="20"/>
                <w:szCs w:val="20"/>
                <w:color w:val="auto"/>
              </w:rPr>
            </w:pPr>
            <w:r>
              <w:rPr>
                <w:rFonts w:ascii="Arial" w:cs="Arial" w:eastAsia="Arial" w:hAnsi="Arial"/>
                <w:sz w:val="16"/>
                <w:szCs w:val="16"/>
                <w:b w:val="1"/>
                <w:bCs w:val="1"/>
                <w:color w:val="auto"/>
              </w:rPr>
              <w:t xml:space="preserve">2018 </w:t>
            </w:r>
            <w:r>
              <w:rPr>
                <w:rFonts w:ascii="Arial" w:cs="Arial" w:eastAsia="Arial" w:hAnsi="Arial"/>
                <w:sz w:val="21"/>
                <w:szCs w:val="21"/>
                <w:b w:val="1"/>
                <w:bCs w:val="1"/>
                <w:color w:val="auto"/>
                <w:vertAlign w:val="superscript"/>
              </w:rPr>
              <w:t>(1)</w:t>
            </w:r>
          </w:p>
        </w:tc>
        <w:tc>
          <w:tcPr>
            <w:tcW w:w="4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75"/>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933"/>
              <w:spacing w:after="0"/>
              <w:rPr>
                <w:sz w:val="20"/>
                <w:szCs w:val="20"/>
                <w:color w:val="auto"/>
              </w:rPr>
            </w:pPr>
            <w:r>
              <w:rPr>
                <w:rFonts w:ascii="Arial" w:cs="Arial" w:eastAsia="Arial" w:hAnsi="Arial"/>
                <w:sz w:val="16"/>
                <w:szCs w:val="16"/>
                <w:b w:val="1"/>
                <w:bCs w:val="1"/>
                <w:color w:val="auto"/>
              </w:rPr>
              <w:t>Change</w:t>
            </w:r>
          </w:p>
        </w:tc>
        <w:tc>
          <w:tcPr>
            <w:tcW w:w="168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 Change</w:t>
            </w:r>
          </w:p>
        </w:tc>
      </w:tr>
      <w:tr>
        <w:trPr>
          <w:trHeight w:val="217"/>
        </w:trPr>
        <w:tc>
          <w:tcPr>
            <w:tcW w:w="3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940" w:type="dxa"/>
            <w:vAlign w:val="bottom"/>
            <w:gridSpan w:val="3"/>
          </w:tcPr>
          <w:p>
            <w:pPr>
              <w:jc w:val="right"/>
              <w:ind w:right="1033"/>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20" w:type="dxa"/>
            <w:vAlign w:val="bottom"/>
            <w:tcBorders>
              <w:bottom w:val="single" w:sz="8" w:color="CCEEFF"/>
            </w:tcBorders>
            <w:shd w:val="clear" w:color="auto" w:fill="CCEEFF"/>
          </w:tcPr>
          <w:p>
            <w:pPr>
              <w:jc w:val="right"/>
              <w:ind w:right="121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7"/>
              </w:rPr>
              <w:t>9.2</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18.6</w:t>
            </w:r>
          </w:p>
        </w:tc>
        <w:tc>
          <w:tcPr>
            <w:tcW w:w="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433"/>
              <w:spacing w:after="0"/>
              <w:rPr>
                <w:sz w:val="20"/>
                <w:szCs w:val="20"/>
                <w:color w:val="auto"/>
              </w:rPr>
            </w:pPr>
            <w:r>
              <w:rPr>
                <w:rFonts w:ascii="Arial" w:cs="Arial" w:eastAsia="Arial" w:hAnsi="Arial"/>
                <w:sz w:val="18"/>
                <w:szCs w:val="18"/>
                <w:color w:val="auto"/>
              </w:rPr>
              <w:t>(9.4)</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42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21"/>
                <w:szCs w:val="21"/>
                <w:color w:val="auto"/>
              </w:rPr>
            </w:pPr>
          </w:p>
        </w:tc>
        <w:tc>
          <w:tcPr>
            <w:tcW w:w="1820" w:type="dxa"/>
            <w:vAlign w:val="bottom"/>
          </w:tcPr>
          <w:p>
            <w:pPr>
              <w:jc w:val="right"/>
              <w:ind w:right="273"/>
              <w:spacing w:after="0"/>
              <w:rPr>
                <w:sz w:val="20"/>
                <w:szCs w:val="20"/>
                <w:color w:val="auto"/>
              </w:rPr>
            </w:pPr>
            <w:r>
              <w:rPr>
                <w:rFonts w:ascii="Arial" w:cs="Arial" w:eastAsia="Arial" w:hAnsi="Arial"/>
                <w:sz w:val="18"/>
                <w:szCs w:val="18"/>
                <w:color w:val="auto"/>
              </w:rPr>
              <w:t>(18)%</w:t>
            </w:r>
          </w:p>
        </w:tc>
        <w:tc>
          <w:tcPr>
            <w:tcW w:w="1680" w:type="dxa"/>
            <w:vAlign w:val="bottom"/>
          </w:tcPr>
          <w:p>
            <w:pPr>
              <w:jc w:val="right"/>
              <w:ind w:right="15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400" w:firstLine="8"/>
        <w:spacing w:after="0" w:line="252" w:lineRule="auto"/>
        <w:tabs>
          <w:tab w:leader="none" w:pos="192" w:val="left"/>
        </w:tabs>
        <w:numPr>
          <w:ilvl w:val="0"/>
          <w:numId w:val="35"/>
        </w:numPr>
        <w:rPr>
          <w:rFonts w:ascii="Arial" w:cs="Arial" w:eastAsia="Arial" w:hAnsi="Arial"/>
          <w:sz w:val="22"/>
          <w:szCs w:val="22"/>
          <w:color w:val="auto"/>
          <w:vertAlign w:val="superscript"/>
        </w:rPr>
      </w:pPr>
      <w:r>
        <w:rPr>
          <w:rFonts w:ascii="Arial" w:cs="Arial" w:eastAsia="Arial" w:hAnsi="Arial"/>
          <w:sz w:val="16"/>
          <w:szCs w:val="16"/>
          <w:color w:val="auto"/>
        </w:rPr>
        <w:t>Provision for income taxes during the nine months ended September 30, 2018 under Topic 606 (As Reported) and 605 (Balances Without Adoption of Topic 606) were as follows (in millions,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Balances Without Adoption</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03"/>
        </w:trPr>
        <w:tc>
          <w:tcPr>
            <w:tcW w:w="5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2"/>
              </w:rPr>
              <w:t>of</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10"/>
        </w:trPr>
        <w:tc>
          <w:tcPr>
            <w:tcW w:w="5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As Reported</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Topic 606</w:t>
            </w:r>
          </w:p>
        </w:tc>
        <w:tc>
          <w:tcPr>
            <w:tcW w:w="220" w:type="dxa"/>
            <w:vAlign w:val="bottom"/>
          </w:tcPr>
          <w:p>
            <w:pPr>
              <w:spacing w:after="0"/>
              <w:rPr>
                <w:sz w:val="18"/>
                <w:szCs w:val="18"/>
                <w:color w:val="auto"/>
              </w:rPr>
            </w:pPr>
          </w:p>
        </w:tc>
        <w:tc>
          <w:tcPr>
            <w:tcW w:w="1760" w:type="dxa"/>
            <w:vAlign w:val="bottom"/>
          </w:tcPr>
          <w:p>
            <w:pPr>
              <w:jc w:val="right"/>
              <w:ind w:right="233"/>
              <w:spacing w:after="0"/>
              <w:rPr>
                <w:sz w:val="20"/>
                <w:szCs w:val="20"/>
                <w:color w:val="auto"/>
              </w:rPr>
            </w:pPr>
            <w:r>
              <w:rPr>
                <w:rFonts w:ascii="Arial" w:cs="Arial" w:eastAsia="Arial" w:hAnsi="Arial"/>
                <w:sz w:val="16"/>
                <w:szCs w:val="16"/>
                <w:b w:val="1"/>
                <w:bCs w:val="1"/>
                <w:color w:val="auto"/>
                <w:w w:val="93"/>
              </w:rPr>
              <w:t>Increase (Decrease)</w:t>
            </w:r>
          </w:p>
        </w:tc>
      </w:tr>
      <w:tr>
        <w:trPr>
          <w:trHeight w:val="33"/>
        </w:trPr>
        <w:tc>
          <w:tcPr>
            <w:tcW w:w="52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500" w:type="dxa"/>
            <w:vAlign w:val="bottom"/>
            <w:tcBorders>
              <w:bottom w:val="single" w:sz="8" w:color="CCEEFF"/>
            </w:tcBorders>
            <w:shd w:val="clear" w:color="auto" w:fill="CCEEFF"/>
          </w:tcPr>
          <w:p>
            <w:pPr>
              <w:jc w:val="right"/>
              <w:ind w:right="12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9.9</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5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effective tax rate was 6% for the nine months ended September 30, 2018 compared to an effective tax rate of 24% for the same period last year, with the primary difference being the change in the federal corporate income tax rate to 21% in 2018 from 35% in the prior year and release of reserve for uncertain tax positions, including interest due to a statute of limitation expiring and the IRS audit finalization. The effective tax rate for the periods presented are comprised of U.S. federal and state taxes, withholding taxes and foreign taxes of $43.4 million, which were offset by a tax benefit of $16.2 million for stock-based compensation. The tax rate for the nine month ended September 30, 2018 was also impacted by release of reserve for uncertain tax positions including interest of $18.0 million. The tax rate for the nine months ended September 30, 2017 was comprised of U.S. federal and state taxes, withholding taxes and foreign taxes of $30.0 million which were offset by a tax provision benefit of $11.4 million for stock-based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left="103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538.3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1,349.3</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966.2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689.6</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2"/>
              </w:rPr>
              <w:t>Nine Months Ended</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89"/>
              </w:rPr>
              <w:t>September 30,</w:t>
            </w:r>
          </w:p>
        </w:tc>
      </w:tr>
      <w:tr>
        <w:trPr>
          <w:trHeight w:val="210"/>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4"/>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4"/>
          </w:tcPr>
          <w:p>
            <w:pPr>
              <w:jc w:val="center"/>
              <w:ind w:right="5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196.8</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Liquidity and capital resources may be impacted by our operating activities, as well as by our stock repurchases, real estate and other capital expenditures, proceeds associated with stock option exercises and issuances of common stock under the ESPP, and payment of taxes in connection with the net settlement of equity awards. In recent years, we have received significant capital resources as a result of increases in our deferred revenue and the proceeds from exercise of stock options and purchases under the ESPP. Additional increases in deferred revenue may depend on a number of factors including our billing growth rate, service contract renewal rates and length of initial and renewals service contracts. We expect proceeds from the issuance of stock options in future years to be impacted by the increased mix of restricted stock units granted versus stock options and also to vary based on our share price. As of September 30, 2018, $825.8 million remained available for future share repurchase under the Repurchase Program.</w:t>
      </w:r>
    </w:p>
    <w:p>
      <w:pPr>
        <w:spacing w:after="0" w:line="178"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Construction on the new headquarters building is expected to start in the fourth quarter of 2018 and related spend will continue in 2019 and until project completion. We estimate 2018 spending for this project to be approximately $10.0 million to $20.0 million. We estimate 2019 spending on the project to be between $60.0 million to $80.0 million dollars.</w:t>
      </w:r>
    </w:p>
    <w:p>
      <w:pPr>
        <w:spacing w:after="0" w:line="18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September 30, 2018, our cash, cash equivalents and investments of $1.67 billion were invested primarily in corporate debt securities, certificates of deposit and term deposits, money market funds, commercial paper and U.S. government and agency securities. It is our investment policy to invest excess cash in a manner that preserves capital, provides liquidity and maximizes return without significantly increasing risk. We do not enter into investments for trading or speculative purposes.</w:t>
      </w:r>
    </w:p>
    <w:p>
      <w:pPr>
        <w:spacing w:after="0" w:line="18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of September 30, 2018, $870.4 million of our cash and investments were held by our international subsidiaries. Under the 2017 Tax Act signed into law in December 2017, starting on January 1, 2018, we are no longer subject to federal income tax on earnings remitted from our foreign subsidiaries. We have analyzed our global working capital and cash requirements and the potential tax liabilities attributable to repatriation, and have determined that we will be repatriating certain unremitted foreign earnings which were previously deemed indefinitely reinvested. For those investments from which we were able to make a reasonable estimate of the tax effects of such repatriation, we have recorded a provisional estimate for withholding and state taxes. Most of our off-shore cash is located in Singapore. Corporate law in Singapore only allows dividends to be paid to the extent we have retained earnings in Singapore. In Singapore, our retained earnings are lower than our current cash balance. 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costs to ensure access to adequate manufacturing capacity, the continuing market acceptance of our products and our investments in real estate through purchases or long-term leases.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in connection with the adoption of Topic 606, depreciation of property and equipment, amortization of intangible assets and amortization of investment premiums.</w:t>
      </w:r>
    </w:p>
    <w:p>
      <w:pPr>
        <w:spacing w:after="0" w:line="187"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Our operating activities during the nine months ended September 30, 2018 provided $458.7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27% as of September 30, 2018 compared to the same period last year to $1.54 billion.</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operating activities during the nine months ended September 30, 2017 provided $436.9 million in cash as a result of the continued growth of our business and our ability to successfully manage our working capital. The increase in sales of our FortiGuard security subscription and FortiCare technical supports to new and existing customers was reflected in the increase in our deferred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changes in cash flows from investing activities primarily relate to timing of purchases, maturities and sales of investments, purchases of property and equipment and payments made in connection with a business combination. Historically, in making a lease versus purchase decision related to our larger facilities, we have considered various factors including financial metrics and the impact on our employees. In certain cases, we have elected to purchase the facility if we believe that purchasing rather than leasing is more in line with our long-term strategy. We expect to make similar decisions in the future.</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During the nine months ended September 30, 2018, cash used for investing activities was primarily due to the $41.4 million we spent on capital expenditures and $6.0 million used for the acquisition of Bradford, net of cash acquired. This was partially offset by an increase in cash of $40.0 million due to maturities and sales of our investments, net of purchases.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nine months ended September 30, 2017, cash used in investing activities was primarily due to the $121.6 million we spent on capital expenditures, including the purchase of $84.8 million in real estate in Burnaby, Canada in April 2017. Cash outflows due to purchases of investments, net of sales and maturities, amounted to $20.5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changes in cash flows from financing activities primarily relate to repurchase and retirement of common stock, proceeds from the issuance of common stock under our equity incentive plan and the ESPP, taxes paid related to net share settlement of equity awards and payments of debt assumed in a business combination.</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During the nine months ended September 30, 2018, cash used for financing activities was $93.0 million, primarily due to $117.1 million used to repurchase our common stock and $9.5 million of payments of the debt assumed in business combination. This was partially offset by $33.6 million of proceeds from the issuance of common stock, net of tax withholding.</w:t>
      </w:r>
    </w:p>
    <w:p>
      <w:pPr>
        <w:spacing w:after="0" w:line="181"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During the nine months ended September 30, 2017, cash used in financing activities was $98.0 million, primarily due to $124.0 million used to repurchase our common stock. This was partially offset by $26.0 million proceeds from the issuance of common stock, net of tax withholding.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nine months ended September 30, 2018 to the contractual obligations and commitments disclosed in Management’s Discussion and Analysis of Financial Condition and Results of Operations, set forth in Part II, Item 7, of the Form 10-K. See Note 10 to the notes to the condensed consolidated financial statements included in Part I, Item 1 of this Quarterly Report on Form 10-Q for additional information regarding contractual obligations and commitments.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September 30,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nine months ended September 30, 2018 compared to the disclosures in Part II, Item 7A of the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2" w:right="27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or 15d-15(e) under the Exchange Act as of September 30, 2018.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September 30, 2018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January 2018, we implemented certain internal controls over financial reporting in connection with our adoption of ASC Topic 606, Revenue from Contracts with Customers. There were no other changes in our internal control over financial reporting (as defined in Rules 13a-15(f) or 15d-15(f) under the Exchange Act) during the nine months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jc w:val="both"/>
        <w:ind w:right="400" w:firstLine="648"/>
        <w:spacing w:after="0" w:line="259"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relating to our compliance with the Trade Agreements Act. We have been fully cooperating with this ongoing inquiry and have periodically met and spoken with the United States Attorney’s Office in connection with this matter. We are currently in settlement discussions with the United States Attorney’s Office.</w:t>
      </w:r>
    </w:p>
    <w:p>
      <w:pPr>
        <w:spacing w:after="0" w:line="1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1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in addition to small- and medium-sized business and service providers, and to selling our broad security product and services portfolio;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2" w:right="29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25"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122" w:right="31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political, economic and social instability;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such as changes in accounting for leases and stock compensation, as well as the significant costs that may be incurred to adopt and comply with these new pronouncements;</w:t>
      </w:r>
    </w:p>
    <w:p>
      <w:pPr>
        <w:spacing w:after="0" w:line="170" w:lineRule="exact"/>
        <w:rPr>
          <w:rFonts w:ascii="Arial" w:cs="Arial" w:eastAsia="Arial" w:hAnsi="Arial"/>
          <w:sz w:val="18"/>
          <w:szCs w:val="18"/>
          <w:color w:val="auto"/>
        </w:rPr>
      </w:pPr>
    </w:p>
    <w:p>
      <w:pPr>
        <w:ind w:left="1300" w:right="9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and spending environments,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and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 unanticipated liabilities. Any failure by us to maintain profitability, maintain our margins and continue our billings, revenue and free cash flow growth could cause the price of our common stock to materially decline.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122" w:right="27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Fabric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three years, to a lesser extent,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operations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complying with, and the risks and costs of non-compliance with, U.S. or other foreign laws and regulations for foreign operations, including the U.S. Foreign Corrupt Practices Act, the United Kingdom</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122" w:right="31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260"/>
        <w:spacing w:after="0" w:line="324" w:lineRule="auto"/>
        <w:rPr>
          <w:sz w:val="20"/>
          <w:szCs w:val="20"/>
          <w:color w:val="auto"/>
        </w:rPr>
      </w:pPr>
      <w:r>
        <w:rPr>
          <w:rFonts w:ascii="Arial" w:cs="Arial" w:eastAsia="Arial" w:hAnsi="Arial"/>
          <w:sz w:val="18"/>
          <w:szCs w:val="18"/>
          <w:color w:val="auto"/>
        </w:rPr>
        <w:t>Bribery Act 2010, the General Data Protection Regulation (which became effective in May 2018), import and export control laws, tariffs and retaliatory measures, trade barriers and economic sanctions;</w:t>
      </w:r>
    </w:p>
    <w:p>
      <w:pPr>
        <w:spacing w:after="0" w:line="143" w:lineRule="exact"/>
        <w:rPr>
          <w:sz w:val="20"/>
          <w:szCs w:val="20"/>
          <w:color w:val="auto"/>
        </w:rPr>
      </w:pPr>
    </w:p>
    <w:p>
      <w:pPr>
        <w:ind w:left="1300" w:right="48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for political unrest, changes and uncertainty, and for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taxing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39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Such sales are often for a longer contract term and may be at higher discount levels. We also have experienced uneven traction selling to certain government organizations and service providers,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173" w:lineRule="exact"/>
        <w:rPr>
          <w:sz w:val="20"/>
          <w:szCs w:val="20"/>
          <w:color w:val="auto"/>
        </w:rPr>
      </w:pPr>
    </w:p>
    <w:p>
      <w:pPr>
        <w:ind w:left="1300" w:right="4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Large and medium-sized businesses, service providers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represent our largest industry vertical and consolidation or continued changes in buying behavior by larger customers within this industry could negatively impact our business. Large and medium-sized businesses, service providers and government organizations typically have longer implementation cycles, require greater product functionality and scalability, expect a broader range of services, including design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Inventory management remains an area of focus as we balance the need to maintain inventory levels that are sufficient to ensure competitive lead times against the risk of inventory obsolescence because of rapidly changing technology, product transitions, and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inventory. If we are unable to effectively manage our inventory and that of our channel partners, our results of operations could be adversely affected.</w:t>
      </w: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In February 2018, we underwent a transition in senior management as Drew Del Matto resigned as our Chief Financial Officer and Keith Jensen was appointed as our Interim Chief Financial Officer. Mr. Jensen was appointed as our Chief Financial Officer effective May 2018. The loss of the services or the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Although we have a channel sales model, members of our sales organization often engage in direct interaction with our prospective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Our ability to grow our revenue depends, in large part, on our success in recruiting, training and retaining sufficient numbers of sales personnel to support our growth and on the effectiveness of those personnel. New hires require substantial training and may take significant time before they achieve full productivity. Our recent hires and planned hires may not become productive as quickly as we expect, and we may be unable to hire or retain sufficient numbers of 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sales prices for our products and services may decline for a variety of reasons,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 significant portion of our sales is generated through a limited number of distributors, and substantially all of our revenue is generated through sales by our channel partners, including distributors and resellers. We depend on our channel partners to generate a significant portion of our sales opportunities and to manage our sales process. To the extent our channel partners are unsuccessful in selling our products, or we are unable to enter into arrangements with and retain a sufficient number of high-quality channel partners in each of the regions in which we sell products, or if we are unable to keep them motivated to sell our products, or they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83"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Networks Group (“Exclusive”), which distributes our solutions to a large group of resellers and end-customers, acquired Fine Tec U.S. Since the acquisition of Fine Tec U.S., Exclusive’s business with us has increased and may continue to increase in the future. The two channel partners together accounted for 33% of our total net accounts receivable as of September 30, 2018. During the three months ended September 30, 2018, Exclusive and Ingram Micro, Inc. (“Ingram Micro”), which distributed our solutions to a large group of resellers and end-customers, accounted for 29% and 11% of our total revenue, respectively. During the nine months ended September 30, 2018, Exclusive and Ingram Micro, accounted for 29% and 10% of our total revenue. During the three months ended September 30, 2017, Exclusive and Ingram Micro accounted for 29% and 11% of our total revenue, respectively. During the nine months ended September 30, 2017, Exclusive and Ingram Micro accounted for 23% and 10% of our total revenue, respectively.</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 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such technical failure, downtime or failures in general may temporarily or permanently expose our end-customers’ networks, leaving their networks unprotected against the latest security threats.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6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7"/>
          <w:szCs w:val="17"/>
          <w:color w:val="auto"/>
        </w:rPr>
        <w:t>We rely heavily on information technology and accounting systems to help manage critical functions such as order processing,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 coordination throughout our organization. Failure to ensure appropriate systems, processes and controls and to manage any future growth effectively could result in increased costs and harm our reputation and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expanded our office real estate holdings to meet our projected growing need for office space. We purchased office buildings in Ottawa and Burnaby, Canada in 2017, and we have purchased various small buildings adjacent to our Sunnyvale headquarters as we expand our headquarters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ERP and CRM systems.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maintenance of our ERP and CRM systems has required, and will continue to require, the investment of significant financial and human resources. In addition, we may choose to upgrade or expand the functionality of our ERP and CRM systems, leading to additional costs. We may also discover deficiencies in our design or maintenance of the ERP or CRM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the system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operating requirements.</w:t>
      </w:r>
    </w:p>
    <w:p>
      <w:pPr>
        <w:spacing w:after="0" w:line="18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Additionally, in connection with adopting and implementing the new revenue accounting standard, management will continue to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and sales return reserves, stock-based compensation expense, valuation of inventory, investments, accounting for business combination, goodwill and other long-lived assets, restructuring, accounting for income taxes, and litigation and settlement costs.</w:t>
      </w:r>
    </w:p>
    <w:p>
      <w:pPr>
        <w:spacing w:after="0" w:line="16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and other countries outside the United States such as Micro-Star International Co., Ltd., Wistron Corporation, Senao Networks, Inc. and IBASE Technology, Inc. Our reliance on our third-party manufacturers in Asia and elsewhere reduces our control over the manufacturing process, exposing us to risks, including reduced control over quality assurance and product costs,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MegaChips Corporation and 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97"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Although the SEC has provided guidance with respect to a portion of the conflict minerals filing requirements that somewhat reduced the reporting required,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OCZ,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69"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2" w:right="29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For example, with respect to data privacy and protection, the General Data Protection Regulation (the “GDPR”), which became effective in May 2018 and superseded current EU data protection regulations. The GDPR imposes stringent data handling requirements on companies that receive or process personal data of residents of the EU, and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Additionally, other legal regimes throughout the world governed data handling, protection, and privacy. For example, in June 2018, California passed the California Consumer Privacy Act (the “CCPA”), which provides new data privacy rights for consumers and new operational requirements for companies and will become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5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DOJ continues to actively pursue such claims. Violations of certain regulatory and contractual requirements could also result in us being suspended or debarred from future government contracting. Any of these outcomes could have an adverse effect on our revenue, operating results, financial condition and prospects. See Part II, Item 1 of this Quarterly Report on Form 10-Q for more information on our legal proceedings. 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business benefits directly or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March 2018, the current administration imposed a 25% tariff on steel imports and a 10% tariff on aluminum imports and announced additional tariffs on goods imported from China specifically, as well as certain other countries. Subsequently, in September 2018, additional tariffs were imposed by the United States on some goods imported from China, including certain electronics and IT products. Other countries have in turn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6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 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122" w:right="27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including:</w:t>
      </w:r>
    </w:p>
    <w:p>
      <w:pPr>
        <w:spacing w:after="0" w:line="363"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court decisions, tax rulings and interpretations of tax laws, and regulations by international, federal or local governmental authorities;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tax laws and regulations.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Significant judgment is required to determine the recognition and measurement attribute prescribed in the Financial Accounting Standards Board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Our failure to meet these commitments could adversely impact our provision for income taxes.</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open tax years that could be subject to the examination by the Internal Revenue Service (the “IRS”) and other tax authorities. In April 2018, the tax authorities in Israel initiated a tax audit for tax years from 2008 to 2014. In July 2018, the tax authorities in Italy initiated a tax audit for tax year 2015. We regularly assess the likelihood of adverse outcomes resulting from such examinations to determine the adequacy of our provision for income taxes.</w:t>
      </w:r>
    </w:p>
    <w:p>
      <w:pPr>
        <w:spacing w:after="0" w:line="14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2" w:right="25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2017, the U.S. federal government enacted the Tax Cuts and Jobs Act (the “2017 Tax Act”). The 2017 Tax Act significantly changed the existing U.S. corporate income tax laws by, among other things, lowering the corporate tax rate, implementing a territorial tax system and imposing a one-time deemed repatriation tax on cumulative undistributed foreign earnings, for which we have not previously recognized U.S. income taxes. Given the timing, scope and magnitude of the changes enacted by the 2017 Tax Act, along with ongoing implementation efforts, guidance and other developments from U.S. regulatory and standard-setting bodies, the completion of the accounting for certain tax items included in Note 11 to the consolidated financial statements that have been reported as provisional, or where no estimate of the impact was provided as a result of us not having the necessary information, may be subject to material change. Any significant changes to our future effective tax rate, including final resolution of provisional amounts relating to effects of the 2017 Tax Act, may result in a material adverse effect on our business, financial condition, results of operations or cash flows. We will continue to monitor and assess the impact of the 2017 Tax Act and the ongoing guidance and accounting interpretations issued in response to the 2017 Tax Act.</w:t>
      </w:r>
    </w:p>
    <w:p>
      <w:pPr>
        <w:spacing w:after="0" w:line="16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taxing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assets by evaluating both positive and negative evidence that may exist.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Organisation for Economic Co-operation and Development (the “OECD”) has been working on a Base Erosion and Profit Sharing Project, commonly known as BEPS. As part of this project, the OECD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order to remain competitive, we may seek to acquire additional businesses, products, technologies or intellectual property, such as patents. For any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Although we generally have limitation of liability provisions in our standard terms and conditions of sale, they may not fully or effectively protect us from claims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negatively impact our ability to provide products and services, such as FortiCare support and FortiGuard subscription services and could otherwise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We spend substantial amounts of time and money to research and develop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market for network security products is intensely competitive and we expect competition to intensify in the future. Our competitors include companies such as Check Point, Cisco, F5 Networks, FireEye, Forcepoint, Imperva, Juniper, McAfee, Palo Alto Networks, Proofpoint, SonicWALL, Sophos, Symantec and Trend Micro.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Further,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2" w:right="25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They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One such patent lawsuit by British Telecommunications plc was filed in federal court in Delaware in July 2018, and a second such lawsuit by Finjan, Inc. was filed in federal court in California in October 2018.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2" w:right="2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acceptable to us or at all or may be costly. In any such case, or if we were required to redesign our internal operations to function with new technologies, our business, results of operations and financial condition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2017, our internal controls over financial reporting were effective, we cannot predict the outcome of our testing in 2018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that will come into effect in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 change in accounting standards or practices, and varying interpretations of existing or new accounting pronouncements, such as changes to standards related to revenue recognition, equity investment valuation (which became effective for us beginning on January 1, 2018) and accounting for leases (which will become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have adopted the new revenue recognition standard as of January 1, 2018. Refer to Note 1 and Note 2 in the notes to our condensed consolidated financial statements included in this Quarterly Report on Form 10-Q for additional information on the new standard and its potential impact on us.</w:t>
      </w:r>
    </w:p>
    <w:p>
      <w:pPr>
        <w:spacing w:after="0" w:line="12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new revenue standard is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the new equity investment valuation standard, which requires most equity investments to be measured at fair value (with subsequent changes in fair value recognized in net income),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decline. If one or more of these analysts ceases coverage of our company or fails to publish reports on us regularly, demand for our stock could decrease, which could cause our stock price and trading volume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nine months ended September 30, 2018, the closing price of our common stock ranged from $43.83 to $92.27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Share repurchases under our Repurchase Program (the “Repurchase Program”) could increase the volatility of the trading price of our common stock, could diminish our cash reserves, could occur at non-optimal prices and may not result in the most effective use of our capital.</w:t>
      </w:r>
    </w:p>
    <w:p>
      <w:pPr>
        <w:spacing w:after="0" w:line="12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our share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During the three months ended September 30, 2018, there were no shares repurchased under the Repurchase Program. As of September 30, 2018, $825.8 million remained available for future share repurchases under the Repurchase Program.</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340" w:type="dxa"/>
            <w:vAlign w:val="bottom"/>
          </w:tcPr>
          <w:p>
            <w:pPr>
              <w:ind w:left="422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760" w:type="dxa"/>
            <w:vAlign w:val="bottom"/>
            <w:gridSpan w:val="2"/>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372"/>
        </w:trPr>
        <w:tc>
          <w:tcPr>
            <w:tcW w:w="760" w:type="dxa"/>
            <w:vAlign w:val="bottom"/>
            <w:gridSpan w:val="2"/>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340" w:type="dxa"/>
            <w:vAlign w:val="bottom"/>
          </w:tcPr>
          <w:p>
            <w:pPr>
              <w:ind w:left="16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r>
      <w:tr>
        <w:trPr>
          <w:trHeight w:val="400"/>
        </w:trPr>
        <w:tc>
          <w:tcPr>
            <w:tcW w:w="7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7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340" w:type="dxa"/>
            <w:vAlign w:val="bottom"/>
          </w:tcPr>
          <w:p>
            <w:pPr>
              <w:ind w:left="160"/>
              <w:spacing w:after="0"/>
              <w:rPr>
                <w:sz w:val="20"/>
                <w:szCs w:val="20"/>
                <w:color w:val="auto"/>
              </w:rPr>
            </w:pPr>
            <w:r>
              <w:rPr>
                <w:rFonts w:ascii="Arial" w:cs="Arial" w:eastAsia="Arial" w:hAnsi="Arial"/>
                <w:sz w:val="14"/>
                <w:szCs w:val="14"/>
                <w:color w:val="auto"/>
              </w:rPr>
              <w:t>XBRL Instance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8"/>
          <w:szCs w:val="18"/>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240" w:top="121" w:right="51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356"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6440"/>
        <w:spacing w:after="0"/>
        <w:tabs>
          <w:tab w:leader="none" w:pos="8700" w:val="left"/>
          <w:tab w:leader="none" w:pos="9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jc w:val="center"/>
        <w:ind w:left="698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6980"/>
        <w:spacing w:after="0"/>
        <w:rPr>
          <w:sz w:val="20"/>
          <w:szCs w:val="20"/>
          <w:color w:val="auto"/>
        </w:rPr>
      </w:pPr>
      <w:r>
        <w:rPr>
          <w:rFonts w:ascii="Arial" w:cs="Arial" w:eastAsia="Arial" w:hAnsi="Arial"/>
          <w:sz w:val="15"/>
          <w:szCs w:val="15"/>
          <w:b w:val="1"/>
          <w:bCs w:val="1"/>
          <w:color w:val="auto"/>
        </w:rPr>
        <w:t>(Duly Authorized Officer and Principal Executive Officer)</w:t>
      </w:r>
    </w:p>
    <w:p>
      <w:pPr>
        <w:spacing w:after="0" w:line="200" w:lineRule="exact"/>
        <w:rPr>
          <w:sz w:val="20"/>
          <w:szCs w:val="20"/>
          <w:color w:val="auto"/>
        </w:rPr>
      </w:pPr>
    </w:p>
    <w:p>
      <w:pPr>
        <w:spacing w:after="0" w:line="312"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6440"/>
        <w:spacing w:after="0"/>
        <w:tabs>
          <w:tab w:leader="none" w:pos="836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90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(Duly Authorized Officer and Principal Financial Officer and</w:t>
      </w:r>
    </w:p>
    <w:p>
      <w:pPr>
        <w:spacing w:after="0" w:line="26"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20"/>
          </w:cols>
          <w:pgMar w:left="24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September 30, 2018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November 7, 2018</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September 30, 2018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40"/>
              <w:spacing w:after="0"/>
              <w:rPr>
                <w:sz w:val="20"/>
                <w:szCs w:val="20"/>
                <w:color w:val="auto"/>
              </w:rPr>
            </w:pPr>
            <w:r>
              <w:rPr>
                <w:rFonts w:ascii="Arial" w:cs="Arial" w:eastAsia="Arial" w:hAnsi="Arial"/>
                <w:sz w:val="18"/>
                <w:szCs w:val="18"/>
                <w:color w:val="auto"/>
              </w:rPr>
              <w:t>November 7, 2018</w:t>
            </w: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x"/>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1."/>
      <w:numFmt w:val="decimal"/>
      <w:start w:val="1"/>
    </w:lvl>
  </w:abstractNum>
  <w:abstractNum w:abstractNumId="3">
    <w:nsid w:val="2901D82"/>
    <w:multiLevelType w:val="hybridMultilevel"/>
    <w:lvl w:ilvl="0">
      <w:lvlJc w:val="left"/>
      <w:lvlText w:val="%1."/>
      <w:numFmt w:val="decimal"/>
      <w:start w:val="2"/>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1"/>
    </w:lvl>
  </w:abstractNum>
  <w:abstractNum w:abstractNumId="7">
    <w:nsid w:val="7C3DBD3D"/>
    <w:multiLevelType w:val="hybridMultilevel"/>
    <w:lvl w:ilvl="0">
      <w:lvlJc w:val="left"/>
      <w:lvlText w:val="(%1)"/>
      <w:numFmt w:val="decimal"/>
      <w:start w:val="1"/>
    </w:lvl>
  </w:abstractNum>
  <w:abstractNum w:abstractNumId="8">
    <w:nsid w:val="737B8DDC"/>
    <w:multiLevelType w:val="hybridMultilevel"/>
    <w:lvl w:ilvl="0">
      <w:lvlJc w:val="left"/>
      <w:lvlText w:val="%1."/>
      <w:numFmt w:val="decimal"/>
      <w:start w:val="3"/>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4"/>
    </w:lvl>
  </w:abstractNum>
  <w:abstractNum w:abstractNumId="11">
    <w:nsid w:val="4516DDE9"/>
    <w:multiLevelType w:val="hybridMultilevel"/>
    <w:lvl w:ilvl="0">
      <w:lvlJc w:val="left"/>
      <w:lvlText w:val="%1."/>
      <w:numFmt w:val="decimal"/>
      <w:start w:val="5"/>
    </w:lvl>
  </w:abstractNum>
  <w:abstractNum w:abstractNumId="12">
    <w:nsid w:val="3006C83E"/>
    <w:multiLevelType w:val="hybridMultilevel"/>
    <w:lvl w:ilvl="0">
      <w:lvlJc w:val="left"/>
      <w:lvlText w:val="%1."/>
      <w:numFmt w:val="decimal"/>
      <w:start w:val="6"/>
    </w:lvl>
  </w:abstractNum>
  <w:abstractNum w:abstractNumId="13">
    <w:nsid w:val="614FD4A1"/>
    <w:multiLevelType w:val="hybridMultilevel"/>
    <w:lvl w:ilvl="0">
      <w:lvlJc w:val="left"/>
      <w:lvlText w:val="%1."/>
      <w:numFmt w:val="decimal"/>
      <w:start w:val="7"/>
    </w:lvl>
  </w:abstractNum>
  <w:abstractNum w:abstractNumId="14">
    <w:nsid w:val="419AC241"/>
    <w:multiLevelType w:val="hybridMultilevel"/>
    <w:lvl w:ilvl="0">
      <w:lvlJc w:val="left"/>
      <w:lvlText w:val="%1."/>
      <w:numFmt w:val="decimal"/>
      <w:start w:val="9"/>
    </w:lvl>
  </w:abstractNum>
  <w:abstractNum w:abstractNumId="15">
    <w:nsid w:val="5577F8E1"/>
    <w:multiLevelType w:val="hybridMultilevel"/>
    <w:lvl w:ilvl="0">
      <w:lvlJc w:val="left"/>
      <w:lvlText w:val="%1."/>
      <w:numFmt w:val="decimal"/>
      <w:start w:val="10"/>
    </w:lvl>
  </w:abstractNum>
  <w:abstractNum w:abstractNumId="16">
    <w:nsid w:val="440BADFC"/>
    <w:multiLevelType w:val="hybridMultilevel"/>
    <w:lvl w:ilvl="0">
      <w:lvlJc w:val="left"/>
      <w:lvlText w:val="%1."/>
      <w:numFmt w:val="decimal"/>
      <w:start w:val="11"/>
    </w:lvl>
  </w:abstractNum>
  <w:abstractNum w:abstractNumId="17">
    <w:nsid w:val="5072367"/>
    <w:multiLevelType w:val="hybridMultilevel"/>
    <w:lvl w:ilvl="0">
      <w:lvlJc w:val="left"/>
      <w:lvlText w:val="%1."/>
      <w:numFmt w:val="decimal"/>
      <w:start w:val="12"/>
    </w:lvl>
  </w:abstractNum>
  <w:abstractNum w:abstractNumId="18">
    <w:nsid w:val="3804823E"/>
    <w:multiLevelType w:val="hybridMultilevel"/>
    <w:lvl w:ilvl="0">
      <w:lvlJc w:val="left"/>
      <w:lvlText w:val="%1."/>
      <w:numFmt w:val="decimal"/>
      <w:start w:val="13"/>
    </w:lvl>
  </w:abstractNum>
  <w:abstractNum w:abstractNumId="19">
    <w:nsid w:val="77465F01"/>
    <w:multiLevelType w:val="hybridMultilevel"/>
    <w:lvl w:ilvl="0">
      <w:lvlJc w:val="left"/>
      <w:lvlText w:val="%1."/>
      <w:numFmt w:val="decimal"/>
      <w:start w:val="14"/>
    </w:lvl>
  </w:abstractNum>
  <w:abstractNum w:abstractNumId="20">
    <w:nsid w:val="7724C67E"/>
    <w:multiLevelType w:val="hybridMultilevel"/>
    <w:lvl w:ilvl="0">
      <w:lvlJc w:val="left"/>
      <w:lvlText w:val="(%1)"/>
      <w:numFmt w:val="decimal"/>
      <w:start w:val="1"/>
    </w:lvl>
  </w:abstractNum>
  <w:abstractNum w:abstractNumId="21">
    <w:nsid w:val="5C482A97"/>
    <w:multiLevelType w:val="hybridMultilevel"/>
    <w:lvl w:ilvl="0">
      <w:lvlJc w:val="left"/>
      <w:lvlText w:val="%1."/>
      <w:numFmt w:val="decimal"/>
      <w:start w:val="15"/>
    </w:lvl>
  </w:abstractNum>
  <w:abstractNum w:abstractNumId="22">
    <w:nsid w:val="2463B9EA"/>
    <w:multiLevelType w:val="hybridMultilevel"/>
    <w:lvl w:ilvl="0">
      <w:lvlJc w:val="left"/>
      <w:lvlText w:val="%1."/>
      <w:numFmt w:val="decimal"/>
      <w:start w:val="16"/>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1)"/>
      <w:numFmt w:val="decimal"/>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2019-12-28T18:15:26Z</dcterms:created>
  <dcterms:modified xsi:type="dcterms:W3CDTF">2019-12-28T18:15:26Z</dcterms:modified>
</cp:coreProperties>
</file>