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546735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512445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94" w:lineRule="exact"/>
        <w:rPr>
          <w:sz w:val="24"/>
          <w:szCs w:val="24"/>
          <w:color w:val="auto"/>
        </w:rPr>
      </w:pPr>
    </w:p>
    <w:p>
      <w:pPr>
        <w:ind w:left="4140" w:right="2040" w:hanging="4114"/>
        <w:spacing w:after="0" w:line="438" w:lineRule="auto"/>
        <w:tabs>
          <w:tab w:leader="none" w:pos="39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year ended December 31, 2020</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306" w:lineRule="exact"/>
        <w:rPr>
          <w:rFonts w:ascii="MS PGothic" w:cs="MS PGothic" w:eastAsia="MS PGothic" w:hAnsi="MS PGothic"/>
          <w:sz w:val="18"/>
          <w:szCs w:val="18"/>
          <w:color w:val="auto"/>
        </w:rPr>
      </w:pPr>
    </w:p>
    <w:p>
      <w:pPr>
        <w:ind w:left="420" w:hanging="38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8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3917950</wp:posOffset>
            </wp:positionH>
            <wp:positionV relativeFrom="paragraph">
              <wp:posOffset>-5080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001-34511</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FORTINET, INC.</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07" w:lineRule="exact"/>
        <w:rPr>
          <w:sz w:val="24"/>
          <w:szCs w:val="24"/>
          <w:color w:val="auto"/>
        </w:rPr>
      </w:pPr>
    </w:p>
    <w:tbl>
      <w:tblPr>
        <w:tblLayout w:type="fixed"/>
        <w:tblInd w:w="1740" w:type="dxa"/>
        <w:tblCellMar>
          <w:top w:w="0" w:type="dxa"/>
          <w:left w:w="0" w:type="dxa"/>
          <w:bottom w:w="0" w:type="dxa"/>
          <w:right w:w="0" w:type="dxa"/>
        </w:tblCellMar>
      </w:tblPr>
      <w:tr>
        <w:trPr>
          <w:trHeight w:val="236"/>
        </w:trPr>
        <w:tc>
          <w:tcPr>
            <w:tcW w:w="4080" w:type="dxa"/>
            <w:vAlign w:val="bottom"/>
          </w:tcPr>
          <w:p>
            <w:pPr>
              <w:jc w:val="center"/>
              <w:ind w:right="18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1856"/>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164"/>
        </w:trPr>
        <w:tc>
          <w:tcPr>
            <w:tcW w:w="4080" w:type="dxa"/>
            <w:vAlign w:val="bottom"/>
          </w:tcPr>
          <w:p>
            <w:pPr>
              <w:jc w:val="center"/>
              <w:ind w:right="1856"/>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220" w:type="dxa"/>
            <w:vAlign w:val="bottom"/>
          </w:tcPr>
          <w:p>
            <w:pPr>
              <w:jc w:val="center"/>
              <w:ind w:left="1856"/>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080" w:type="dxa"/>
            <w:vAlign w:val="bottom"/>
          </w:tcPr>
          <w:p>
            <w:pPr>
              <w:jc w:val="center"/>
              <w:ind w:right="1876"/>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220" w:type="dxa"/>
            <w:vAlign w:val="bottom"/>
          </w:tcPr>
          <w:p>
            <w:pPr>
              <w:jc w:val="center"/>
              <w:ind w:left="185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899 Kifer Road</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Sunnyvale, California 94086</w:t>
      </w: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235-7700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900" w:type="dxa"/>
            <w:vAlign w:val="bottom"/>
            <w:gridSpan w:val="5"/>
          </w:tcPr>
          <w:p>
            <w:pPr>
              <w:jc w:val="center"/>
              <w:ind w:left="225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340" w:type="dxa"/>
            <w:vAlign w:val="bottom"/>
          </w:tcPr>
          <w:p>
            <w:pPr>
              <w:spacing w:after="0"/>
              <w:rPr>
                <w:sz w:val="20"/>
                <w:szCs w:val="20"/>
                <w:color w:val="auto"/>
              </w:rPr>
            </w:pPr>
          </w:p>
        </w:tc>
      </w:tr>
      <w:tr>
        <w:trPr>
          <w:trHeight w:val="351"/>
        </w:trPr>
        <w:tc>
          <w:tcPr>
            <w:tcW w:w="4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FTNT</w:t>
            </w:r>
          </w:p>
        </w:tc>
        <w:tc>
          <w:tcPr>
            <w:tcW w:w="4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06"/>
        </w:trPr>
        <w:tc>
          <w:tcPr>
            <w:tcW w:w="4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0" w:type="dxa"/>
            <w:vAlign w:val="bottom"/>
          </w:tcPr>
          <w:p>
            <w:pPr>
              <w:spacing w:after="0"/>
              <w:rPr>
                <w:sz w:val="17"/>
                <w:szCs w:val="17"/>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w:t>
            </w:r>
          </w:p>
        </w:tc>
        <w:tc>
          <w:tcPr>
            <w:tcW w:w="80" w:type="dxa"/>
            <w:vAlign w:val="bottom"/>
          </w:tcPr>
          <w:p>
            <w:pPr>
              <w:spacing w:after="0"/>
              <w:rPr>
                <w:sz w:val="17"/>
                <w:szCs w:val="17"/>
                <w:color w:val="auto"/>
              </w:rPr>
            </w:pPr>
          </w:p>
        </w:tc>
        <w:tc>
          <w:tcPr>
            <w:tcW w:w="47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382"/>
        </w:trPr>
        <w:tc>
          <w:tcPr>
            <w:tcW w:w="8900" w:type="dxa"/>
            <w:vAlign w:val="bottom"/>
            <w:gridSpan w:val="5"/>
          </w:tcPr>
          <w:p>
            <w:pPr>
              <w:jc w:val="center"/>
              <w:ind w:left="225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2340" w:type="dxa"/>
            <w:vAlign w:val="bottom"/>
          </w:tcPr>
          <w:p>
            <w:pPr>
              <w:spacing w:after="0"/>
              <w:rPr>
                <w:sz w:val="24"/>
                <w:szCs w:val="24"/>
                <w:color w:val="auto"/>
              </w:rPr>
            </w:pPr>
          </w:p>
        </w:tc>
      </w:tr>
      <w:tr>
        <w:trPr>
          <w:trHeight w:val="398"/>
        </w:trPr>
        <w:tc>
          <w:tcPr>
            <w:tcW w:w="89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23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378"/>
        </w:trPr>
        <w:tc>
          <w:tcPr>
            <w:tcW w:w="89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23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1107"/>
        </w:trPr>
        <w:tc>
          <w:tcPr>
            <w:tcW w:w="4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283"/>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0"/>
          <w:szCs w:val="20"/>
          <w:color w:val="auto"/>
        </w:rPr>
      </w:pPr>
    </w:p>
    <w:p>
      <w:pPr>
        <w:ind w:right="80" w:firstLine="283"/>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0"/>
          <w:szCs w:val="20"/>
          <w:color w:val="auto"/>
        </w:rPr>
      </w:pPr>
    </w:p>
    <w:p>
      <w:pPr>
        <w:ind w:right="40"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49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4" w:lineRule="exact"/>
        <w:rPr>
          <w:sz w:val="20"/>
          <w:szCs w:val="20"/>
          <w:color w:val="auto"/>
        </w:rPr>
      </w:pPr>
    </w:p>
    <w:p>
      <w:pPr>
        <w:ind w:right="220" w:firstLine="283"/>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0"/>
          <w:szCs w:val="20"/>
          <w:color w:val="auto"/>
        </w:rPr>
      </w:pPr>
    </w:p>
    <w:p>
      <w:pPr>
        <w:ind w:right="40" w:firstLine="283"/>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6" w:lineRule="exact"/>
        <w:rPr>
          <w:sz w:val="20"/>
          <w:szCs w:val="20"/>
          <w:color w:val="auto"/>
        </w:rPr>
      </w:pPr>
    </w:p>
    <w:p>
      <w:pPr>
        <w:ind w:left="300"/>
        <w:spacing w:after="0" w:line="207" w:lineRule="exact"/>
        <w:tabs>
          <w:tab w:leader="none" w:pos="7860" w:val="left"/>
          <w:tab w:leader="none" w:pos="86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0"/>
          <w:szCs w:val="20"/>
          <w:color w:val="auto"/>
        </w:rPr>
      </w:pPr>
    </w:p>
    <w:p>
      <w:pPr>
        <w:ind w:firstLine="283"/>
        <w:spacing w:after="0" w:line="258"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as of June 30, 2020, the last business day of the registrant’s most recently completed second quarter, was $14,216,424,929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February 12, 2021, there were 163,190,919 shares of the registrant’s common stock outstanding.</w:t>
      </w:r>
    </w:p>
    <w:p>
      <w:pPr>
        <w:spacing w:after="0" w:line="1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71" w:lineRule="exact"/>
        <w:rPr>
          <w:sz w:val="20"/>
          <w:szCs w:val="20"/>
          <w:color w:val="auto"/>
        </w:rPr>
      </w:pPr>
    </w:p>
    <w:p>
      <w:pPr>
        <w:ind w:right="300" w:firstLine="283"/>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2021 Annual Meeting of Stockholders (“Proxy Statement”)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697865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9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800" w:type="dxa"/>
            <w:vAlign w:val="bottom"/>
          </w:tcPr>
          <w:p>
            <w:pPr>
              <w:spacing w:after="0"/>
              <w:rPr>
                <w:sz w:val="24"/>
                <w:szCs w:val="24"/>
                <w:color w:val="auto"/>
              </w:rPr>
            </w:pPr>
          </w:p>
        </w:tc>
        <w:tc>
          <w:tcPr>
            <w:tcW w:w="9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800" w:type="dxa"/>
            <w:vAlign w:val="bottom"/>
          </w:tcPr>
          <w:p>
            <w:pPr>
              <w:spacing w:after="0"/>
              <w:rPr>
                <w:sz w:val="24"/>
                <w:szCs w:val="24"/>
                <w:color w:val="auto"/>
              </w:rPr>
            </w:pPr>
          </w:p>
        </w:tc>
        <w:tc>
          <w:tcPr>
            <w:tcW w:w="9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800" w:type="dxa"/>
            <w:vAlign w:val="bottom"/>
          </w:tcPr>
          <w:p>
            <w:pPr>
              <w:spacing w:after="0"/>
              <w:rPr>
                <w:sz w:val="24"/>
                <w:szCs w:val="24"/>
                <w:color w:val="auto"/>
              </w:rPr>
            </w:pPr>
          </w:p>
        </w:tc>
        <w:tc>
          <w:tcPr>
            <w:tcW w:w="9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0"/>
        </w:trPr>
        <w:tc>
          <w:tcPr>
            <w:tcW w:w="80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86"/>
        </w:trPr>
        <w:tc>
          <w:tcPr>
            <w:tcW w:w="800" w:type="dxa"/>
            <w:vAlign w:val="bottom"/>
          </w:tcPr>
          <w:p>
            <w:pPr>
              <w:spacing w:after="0"/>
              <w:rPr>
                <w:sz w:val="24"/>
                <w:szCs w:val="24"/>
                <w:color w:val="auto"/>
              </w:rPr>
            </w:pPr>
          </w:p>
        </w:tc>
        <w:tc>
          <w:tcPr>
            <w:tcW w:w="97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4"/>
                <w:szCs w:val="24"/>
                <w:color w:val="auto"/>
              </w:rPr>
            </w:pPr>
          </w:p>
        </w:tc>
      </w:tr>
      <w:tr>
        <w:trPr>
          <w:trHeight w:val="22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Risk Factors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10</w:t>
              </w:r>
            </w:hyperlink>
          </w:p>
        </w:tc>
        <w:tc>
          <w:tcPr>
            <w:tcW w:w="20" w:type="dxa"/>
            <w:vAlign w:val="bottom"/>
          </w:tcPr>
          <w:p>
            <w:pPr>
              <w:spacing w:after="0"/>
              <w:rPr>
                <w:sz w:val="19"/>
                <w:szCs w:val="19"/>
                <w:color w:val="auto"/>
              </w:rPr>
            </w:pP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Unresolved Staff Comments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20" w:type="dxa"/>
            <w:vAlign w:val="bottom"/>
          </w:tcPr>
          <w:p>
            <w:pPr>
              <w:spacing w:after="0"/>
              <w:rPr>
                <w:sz w:val="19"/>
                <w:szCs w:val="19"/>
                <w:color w:val="auto"/>
              </w:rPr>
            </w:pPr>
          </w:p>
        </w:tc>
      </w:tr>
      <w:tr>
        <w:trPr>
          <w:trHeight w:val="22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Properties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20" w:type="dxa"/>
            <w:vAlign w:val="bottom"/>
          </w:tcPr>
          <w:p>
            <w:pPr>
              <w:spacing w:after="0"/>
              <w:rPr>
                <w:sz w:val="19"/>
                <w:szCs w:val="19"/>
                <w:color w:val="auto"/>
              </w:rPr>
            </w:pP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Legal Proceedings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20" w:type="dxa"/>
            <w:vAlign w:val="bottom"/>
          </w:tcPr>
          <w:p>
            <w:pPr>
              <w:spacing w:after="0"/>
              <w:rPr>
                <w:sz w:val="19"/>
                <w:szCs w:val="19"/>
                <w:color w:val="auto"/>
              </w:rPr>
            </w:pPr>
          </w:p>
        </w:tc>
      </w:t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Mine Safety Disclosures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44</w:t>
              </w:r>
            </w:hyperlink>
          </w:p>
        </w:tc>
        <w:tc>
          <w:tcPr>
            <w:tcW w:w="20" w:type="dxa"/>
            <w:vAlign w:val="bottom"/>
          </w:tcPr>
          <w:p>
            <w:pPr>
              <w:spacing w:after="0"/>
              <w:rPr>
                <w:sz w:val="20"/>
                <w:szCs w:val="20"/>
                <w:color w:val="auto"/>
              </w:rPr>
            </w:pPr>
          </w:p>
        </w:tc>
      </w:tr>
      <w:tr>
        <w:trPr>
          <w:trHeight w:val="499"/>
        </w:trPr>
        <w:tc>
          <w:tcPr>
            <w:tcW w:w="800" w:type="dxa"/>
            <w:vAlign w:val="bottom"/>
          </w:tcPr>
          <w:p>
            <w:pPr>
              <w:spacing w:after="0"/>
              <w:rPr>
                <w:sz w:val="24"/>
                <w:szCs w:val="24"/>
                <w:color w:val="auto"/>
              </w:rPr>
            </w:pPr>
          </w:p>
        </w:tc>
        <w:tc>
          <w:tcPr>
            <w:tcW w:w="97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45</w:t>
              </w:r>
            </w:hyperlink>
          </w:p>
        </w:tc>
        <w:tc>
          <w:tcPr>
            <w:tcW w:w="20" w:type="dxa"/>
            <w:vAlign w:val="bottom"/>
          </w:tcPr>
          <w:p>
            <w:pPr>
              <w:spacing w:after="0"/>
              <w:rPr>
                <w:sz w:val="24"/>
                <w:szCs w:val="24"/>
                <w:color w:val="auto"/>
              </w:rPr>
            </w:pPr>
          </w:p>
        </w:tc>
      </w:tr>
      <w:tr>
        <w:trPr>
          <w:trHeight w:val="22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Selected Financial Data</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47</w:t>
              </w:r>
            </w:hyperlink>
          </w:p>
        </w:tc>
        <w:tc>
          <w:tcPr>
            <w:tcW w:w="20" w:type="dxa"/>
            <w:vAlign w:val="bottom"/>
          </w:tcPr>
          <w:p>
            <w:pPr>
              <w:spacing w:after="0"/>
              <w:rPr>
                <w:sz w:val="19"/>
                <w:szCs w:val="19"/>
                <w:color w:val="auto"/>
              </w:rPr>
            </w:pPr>
          </w:p>
        </w:tc>
      </w:tr>
      <w:tr>
        <w:trPr>
          <w:trHeight w:val="22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49</w:t>
              </w:r>
            </w:hyperlink>
          </w:p>
        </w:tc>
        <w:tc>
          <w:tcPr>
            <w:tcW w:w="20" w:type="dxa"/>
            <w:vAlign w:val="bottom"/>
          </w:tcPr>
          <w:p>
            <w:pPr>
              <w:spacing w:after="0"/>
              <w:rPr>
                <w:sz w:val="19"/>
                <w:szCs w:val="19"/>
                <w:color w:val="auto"/>
              </w:rPr>
            </w:pP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Quantitative and Qualitative Disclosures about Market Risk</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68</w:t>
              </w:r>
            </w:hyperlink>
          </w:p>
        </w:tc>
        <w:tc>
          <w:tcPr>
            <w:tcW w:w="20" w:type="dxa"/>
            <w:vAlign w:val="bottom"/>
          </w:tcPr>
          <w:p>
            <w:pPr>
              <w:spacing w:after="0"/>
              <w:rPr>
                <w:sz w:val="19"/>
                <w:szCs w:val="19"/>
                <w:color w:val="auto"/>
              </w:rPr>
            </w:pPr>
          </w:p>
        </w:tc>
      </w:tr>
      <w:tr>
        <w:trPr>
          <w:trHeight w:val="22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Financial Statements and Supplementary Data</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70</w:t>
              </w:r>
            </w:hyperlink>
          </w:p>
        </w:tc>
        <w:tc>
          <w:tcPr>
            <w:tcW w:w="20" w:type="dxa"/>
            <w:vAlign w:val="bottom"/>
          </w:tcPr>
          <w:p>
            <w:pPr>
              <w:spacing w:after="0"/>
              <w:rPr>
                <w:sz w:val="19"/>
                <w:szCs w:val="19"/>
                <w:color w:val="auto"/>
              </w:rPr>
            </w:pP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108</w:t>
              </w:r>
            </w:hyperlink>
          </w:p>
        </w:tc>
        <w:tc>
          <w:tcPr>
            <w:tcW w:w="20" w:type="dxa"/>
            <w:vAlign w:val="bottom"/>
          </w:tcPr>
          <w:p>
            <w:pPr>
              <w:spacing w:after="0"/>
              <w:rPr>
                <w:sz w:val="19"/>
                <w:szCs w:val="19"/>
                <w:color w:val="auto"/>
              </w:rPr>
            </w:pP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1">
              <w:r>
                <w:rPr>
                  <w:rFonts w:ascii="Times New Roman" w:cs="Times New Roman" w:eastAsia="Times New Roman" w:hAnsi="Times New Roman"/>
                  <w:sz w:val="18"/>
                  <w:szCs w:val="18"/>
                  <w:u w:val="single" w:color="auto"/>
                  <w:color w:val="0000FF"/>
                </w:rPr>
                <w:t>Controls and Procedures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1">
              <w:r>
                <w:rPr>
                  <w:rFonts w:ascii="Times New Roman" w:cs="Times New Roman" w:eastAsia="Times New Roman" w:hAnsi="Times New Roman"/>
                  <w:sz w:val="18"/>
                  <w:szCs w:val="18"/>
                  <w:u w:val="single" w:color="auto"/>
                  <w:color w:val="0000FF"/>
                </w:rPr>
                <w:t>108</w:t>
              </w:r>
            </w:hyperlink>
          </w:p>
        </w:tc>
        <w:tc>
          <w:tcPr>
            <w:tcW w:w="20" w:type="dxa"/>
            <w:vAlign w:val="bottom"/>
          </w:tcPr>
          <w:p>
            <w:pPr>
              <w:spacing w:after="0"/>
              <w:rPr>
                <w:sz w:val="19"/>
                <w:szCs w:val="19"/>
                <w:color w:val="auto"/>
              </w:rPr>
            </w:pPr>
          </w:p>
        </w:tc>
      </w:t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2">
              <w:r>
                <w:rPr>
                  <w:rFonts w:ascii="Times New Roman" w:cs="Times New Roman" w:eastAsia="Times New Roman" w:hAnsi="Times New Roman"/>
                  <w:sz w:val="18"/>
                  <w:szCs w:val="18"/>
                  <w:u w:val="single" w:color="auto"/>
                  <w:color w:val="0000FF"/>
                </w:rPr>
                <w:t>Other Information</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2">
              <w:r>
                <w:rPr>
                  <w:rFonts w:ascii="Times New Roman" w:cs="Times New Roman" w:eastAsia="Times New Roman" w:hAnsi="Times New Roman"/>
                  <w:sz w:val="18"/>
                  <w:szCs w:val="18"/>
                  <w:u w:val="single" w:color="auto"/>
                  <w:color w:val="0000FF"/>
                </w:rPr>
                <w:t>110</w:t>
              </w:r>
            </w:hyperlink>
          </w:p>
        </w:tc>
        <w:tc>
          <w:tcPr>
            <w:tcW w:w="20" w:type="dxa"/>
            <w:vAlign w:val="bottom"/>
          </w:tcPr>
          <w:p>
            <w:pPr>
              <w:spacing w:after="0"/>
              <w:rPr>
                <w:sz w:val="20"/>
                <w:szCs w:val="20"/>
                <w:color w:val="auto"/>
              </w:rPr>
            </w:pPr>
          </w:p>
        </w:tc>
      </w:tr>
      <w:tr>
        <w:trPr>
          <w:trHeight w:val="499"/>
        </w:trPr>
        <w:tc>
          <w:tcPr>
            <w:tcW w:w="800" w:type="dxa"/>
            <w:vAlign w:val="bottom"/>
          </w:tcPr>
          <w:p>
            <w:pPr>
              <w:spacing w:after="0"/>
              <w:rPr>
                <w:sz w:val="24"/>
                <w:szCs w:val="24"/>
                <w:color w:val="auto"/>
              </w:rPr>
            </w:pPr>
          </w:p>
        </w:tc>
        <w:tc>
          <w:tcPr>
            <w:tcW w:w="97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Directors, Executive Officers and Corporate Governance</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111</w:t>
              </w:r>
            </w:hyperlink>
          </w:p>
        </w:tc>
        <w:tc>
          <w:tcPr>
            <w:tcW w:w="20" w:type="dxa"/>
            <w:vAlign w:val="bottom"/>
          </w:tcPr>
          <w:p>
            <w:pPr>
              <w:spacing w:after="0"/>
              <w:rPr>
                <w:sz w:val="24"/>
                <w:szCs w:val="24"/>
                <w:color w:val="auto"/>
              </w:rPr>
            </w:pP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Executive Compensation</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111</w:t>
              </w:r>
            </w:hyperlink>
          </w:p>
        </w:tc>
        <w:tc>
          <w:tcPr>
            <w:tcW w:w="20" w:type="dxa"/>
            <w:vAlign w:val="bottom"/>
          </w:tcPr>
          <w:p>
            <w:pPr>
              <w:spacing w:after="0"/>
              <w:rPr>
                <w:sz w:val="19"/>
                <w:szCs w:val="19"/>
                <w:color w:val="auto"/>
              </w:rPr>
            </w:pPr>
          </w:p>
        </w:tc>
      </w:tr>
      <w:tr>
        <w:trPr>
          <w:trHeight w:val="22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111</w:t>
              </w:r>
            </w:hyperlink>
          </w:p>
        </w:tc>
        <w:tc>
          <w:tcPr>
            <w:tcW w:w="20" w:type="dxa"/>
            <w:vAlign w:val="bottom"/>
          </w:tcPr>
          <w:p>
            <w:pPr>
              <w:spacing w:after="0"/>
              <w:rPr>
                <w:sz w:val="19"/>
                <w:szCs w:val="19"/>
                <w:color w:val="auto"/>
              </w:rPr>
            </w:pP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111</w:t>
              </w:r>
            </w:hyperlink>
          </w:p>
        </w:tc>
        <w:tc>
          <w:tcPr>
            <w:tcW w:w="20" w:type="dxa"/>
            <w:vAlign w:val="bottom"/>
          </w:tcPr>
          <w:p>
            <w:pPr>
              <w:spacing w:after="0"/>
              <w:rPr>
                <w:sz w:val="19"/>
                <w:szCs w:val="19"/>
                <w:color w:val="auto"/>
              </w:rPr>
            </w:pPr>
          </w:p>
        </w:tc>
      </w:t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Principal Accounting Fees and Services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111</w:t>
              </w:r>
            </w:hyperlink>
          </w:p>
        </w:tc>
        <w:tc>
          <w:tcPr>
            <w:tcW w:w="20" w:type="dxa"/>
            <w:vAlign w:val="bottom"/>
          </w:tcPr>
          <w:p>
            <w:pPr>
              <w:spacing w:after="0"/>
              <w:rPr>
                <w:sz w:val="20"/>
                <w:szCs w:val="20"/>
                <w:color w:val="auto"/>
              </w:rPr>
            </w:pPr>
          </w:p>
        </w:tc>
      </w:tr>
      <w:tr>
        <w:trPr>
          <w:trHeight w:val="500"/>
        </w:trPr>
        <w:tc>
          <w:tcPr>
            <w:tcW w:w="800" w:type="dxa"/>
            <w:vAlign w:val="bottom"/>
          </w:tcPr>
          <w:p>
            <w:pPr>
              <w:spacing w:after="0"/>
              <w:rPr>
                <w:sz w:val="24"/>
                <w:szCs w:val="24"/>
                <w:color w:val="auto"/>
              </w:rPr>
            </w:pPr>
          </w:p>
        </w:tc>
        <w:tc>
          <w:tcPr>
            <w:tcW w:w="97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Exhibits, Financial Statement Schedules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112</w:t>
              </w:r>
            </w:hyperlink>
          </w:p>
        </w:tc>
        <w:tc>
          <w:tcPr>
            <w:tcW w:w="20" w:type="dxa"/>
            <w:vAlign w:val="bottom"/>
          </w:tcPr>
          <w:p>
            <w:pPr>
              <w:spacing w:after="0"/>
              <w:rPr>
                <w:sz w:val="24"/>
                <w:szCs w:val="24"/>
                <w:color w:val="auto"/>
              </w:rPr>
            </w:pPr>
          </w:p>
        </w:tc>
      </w:tr>
      <w:tr>
        <w:trPr>
          <w:trHeight w:val="230"/>
        </w:trPr>
        <w:tc>
          <w:tcPr>
            <w:tcW w:w="800" w:type="dxa"/>
            <w:vAlign w:val="bottom"/>
          </w:tcPr>
          <w:p>
            <w:pPr>
              <w:spacing w:after="0"/>
              <w:rPr>
                <w:sz w:val="19"/>
                <w:szCs w:val="19"/>
                <w:color w:val="auto"/>
              </w:rPr>
            </w:pP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Exhibit Index</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113</w:t>
              </w:r>
            </w:hyperlink>
          </w:p>
        </w:tc>
        <w:tc>
          <w:tcPr>
            <w:tcW w:w="20" w:type="dxa"/>
            <w:vAlign w:val="bottom"/>
          </w:tcPr>
          <w:p>
            <w:pPr>
              <w:spacing w:after="0"/>
              <w:rPr>
                <w:sz w:val="19"/>
                <w:szCs w:val="19"/>
                <w:color w:val="auto"/>
              </w:rPr>
            </w:pPr>
          </w:p>
        </w:tc>
      </w:tr>
      <w:tr>
        <w:trPr>
          <w:trHeight w:val="234"/>
        </w:trPr>
        <w:tc>
          <w:tcPr>
            <w:tcW w:w="800" w:type="dxa"/>
            <w:vAlign w:val="bottom"/>
          </w:tcPr>
          <w:p>
            <w:pPr>
              <w:spacing w:after="0"/>
              <w:rPr>
                <w:sz w:val="20"/>
                <w:szCs w:val="20"/>
                <w:color w:val="auto"/>
              </w:rPr>
            </w:pP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17">
              <w:r>
                <w:rPr>
                  <w:rFonts w:ascii="Times New Roman" w:cs="Times New Roman" w:eastAsia="Times New Roman" w:hAnsi="Times New Roman"/>
                  <w:sz w:val="18"/>
                  <w:szCs w:val="18"/>
                  <w:u w:val="single" w:color="auto"/>
                  <w:color w:val="0000FF"/>
                </w:rPr>
                <w:t>Signatures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7">
              <w:r>
                <w:rPr>
                  <w:rFonts w:ascii="Times New Roman" w:cs="Times New Roman" w:eastAsia="Times New Roman" w:hAnsi="Times New Roman"/>
                  <w:sz w:val="18"/>
                  <w:szCs w:val="18"/>
                  <w:u w:val="single" w:color="auto"/>
                  <w:color w:val="0000FF"/>
                </w:rPr>
                <w:t>115</w:t>
              </w:r>
            </w:hyperlink>
          </w:p>
        </w:tc>
        <w:tc>
          <w:tcPr>
            <w:tcW w:w="20" w:type="dxa"/>
            <w:vAlign w:val="bottom"/>
          </w:tcPr>
          <w:p>
            <w:pPr>
              <w:spacing w:after="0"/>
              <w:rPr>
                <w:sz w:val="20"/>
                <w:szCs w:val="20"/>
                <w:color w:val="auto"/>
              </w:rPr>
            </w:pPr>
          </w:p>
        </w:tc>
      </w:tr>
      <w:tr>
        <w:trPr>
          <w:trHeight w:val="1748"/>
        </w:trPr>
        <w:tc>
          <w:tcPr>
            <w:tcW w:w="80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18"/>
          <w:szCs w:val="18"/>
          <w:color w:val="auto"/>
        </w:rPr>
        <w:t>Fortinet is a global leader in cybersecurity solutions provided to a wide variety of organizations, including enterprises, communication service providers, government organizations and small businesses. Our cybersecurity solutions are designed to provide broad visibility and segmentation of the digital attack surface through our integrated Fortinet Security Fabric platform, which features automated protection, detection and response.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focus areas of our business consist of:</w:t>
      </w:r>
    </w:p>
    <w:p>
      <w:pPr>
        <w:spacing w:after="0" w:line="248" w:lineRule="exact"/>
        <w:rPr>
          <w:sz w:val="20"/>
          <w:szCs w:val="20"/>
          <w:color w:val="auto"/>
        </w:rPr>
      </w:pPr>
    </w:p>
    <w:p>
      <w:pPr>
        <w:ind w:left="660" w:hanging="328"/>
        <w:spacing w:after="0" w:line="23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Security-Driven Networking</w:t>
      </w:r>
      <w:r>
        <w:rPr>
          <w:rFonts w:ascii="Times New Roman" w:cs="Times New Roman" w:eastAsia="Times New Roman" w:hAnsi="Times New Roman"/>
          <w:sz w:val="18"/>
          <w:szCs w:val="18"/>
          <w:color w:val="auto"/>
        </w:rPr>
        <w:t>—We derive a majority of product sales from our FortiGate network security appliances. Our FortiGate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appliances include a broad set of built-in security and networking features and functionalities, including firewall, next-generation firewall, secure web gateway, secure sockets layer (“SSL”) inspection, software-defined wide area network (“SD-WAN”), intrusion prevention system (“IPS”), sandboxing, data leak prevention, virtual private network (“VPN”), switch and wireless controller and wide area network (“WAN”)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Units (“SPUs”) technology within our appliances, enabling us to add security and network functionality with minimal impact to network throughput performance.</w:t>
      </w:r>
    </w:p>
    <w:p>
      <w:pPr>
        <w:spacing w:after="0" w:line="214" w:lineRule="exact"/>
        <w:rPr>
          <w:rFonts w:ascii="Times New Roman" w:cs="Times New Roman" w:eastAsia="Times New Roman" w:hAnsi="Times New Roman"/>
          <w:sz w:val="18"/>
          <w:szCs w:val="18"/>
          <w:color w:val="auto"/>
        </w:rPr>
      </w:pPr>
    </w:p>
    <w:p>
      <w:pPr>
        <w:ind w:left="660" w:right="300" w:hanging="328"/>
        <w:spacing w:after="0" w:line="268"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Infrastructure Security</w:t>
      </w:r>
      <w:r>
        <w:rPr>
          <w:rFonts w:ascii="Times New Roman" w:cs="Times New Roman" w:eastAsia="Times New Roman" w:hAnsi="Times New Roman"/>
          <w:sz w:val="18"/>
          <w:szCs w:val="18"/>
          <w:color w:val="auto"/>
        </w:rPr>
        <w:t>—The Fortinet Security Fabric platform extends beyond the network to cover other attack vectors. Other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covered include teleworker and remote security solutions such as FortiAuthenticator, FortiClient and FortiToken, as well as Secure Access (Wi-Fi and switch).</w:t>
      </w:r>
    </w:p>
    <w:p>
      <w:pPr>
        <w:spacing w:after="0" w:line="223" w:lineRule="exact"/>
        <w:rPr>
          <w:rFonts w:ascii="Arial" w:cs="Arial" w:eastAsia="Arial" w:hAnsi="Arial"/>
          <w:sz w:val="18"/>
          <w:szCs w:val="18"/>
          <w:color w:val="auto"/>
        </w:rPr>
      </w:pPr>
    </w:p>
    <w:p>
      <w:pPr>
        <w:ind w:left="660" w:right="40" w:hanging="328"/>
        <w:spacing w:after="0" w:line="235"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Dynamic Cloud Security</w:t>
      </w:r>
      <w:r>
        <w:rPr>
          <w:rFonts w:ascii="Times New Roman" w:cs="Times New Roman" w:eastAsia="Times New Roman" w:hAnsi="Times New Roman"/>
          <w:sz w:val="18"/>
          <w:szCs w:val="18"/>
          <w:color w:val="auto"/>
        </w:rPr>
        <w:t>—We help customers connect securely to and across their individual, hybrid and multi-cloud environments by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through our virtual firewall and other software products and through integrated capabilities with major cloud platforms. Our public and private cloud security solutions, including virtual appliances and hosted solutions, extend the core capabilities of the Fortinet Security Fabric platform in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Our Cloud Security portfolio also includes securing applications, including email and web. Fortinet cloud security offerings are available for deployment in major public and private cloud environments, including Amazon Web Services, Microsoft Azure, Google Cloud, Oracle Cloud, Alibaba Cloud, IBM Cloud and VMWare Cloud. We also offer managed IPS and web application firewall (“WAF”) rules delivered by FortiGuard Labs as an overlay service to native security offerings offered by Amazon Web Services.</w:t>
      </w:r>
    </w:p>
    <w:p>
      <w:pPr>
        <w:spacing w:after="0" w:line="209" w:lineRule="exact"/>
        <w:rPr>
          <w:rFonts w:ascii="Arial" w:cs="Arial" w:eastAsia="Arial" w:hAnsi="Arial"/>
          <w:sz w:val="22"/>
          <w:szCs w:val="22"/>
          <w:color w:val="auto"/>
        </w:rPr>
      </w:pPr>
    </w:p>
    <w:p>
      <w:pPr>
        <w:ind w:left="660" w:right="40" w:hanging="328"/>
        <w:spacing w:after="0" w:line="259"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Endpoint Protection, Internet of Things (“IoT”) and Operational Technology (“OT”) Security</w:t>
      </w:r>
      <w:r>
        <w:rPr>
          <w:rFonts w:ascii="Times New Roman" w:cs="Times New Roman" w:eastAsia="Times New Roman" w:hAnsi="Times New Roman"/>
          <w:sz w:val="18"/>
          <w:szCs w:val="18"/>
          <w:color w:val="auto"/>
        </w:rPr>
        <w:t>—We protect end-customers from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threats that target their devices and the data that reside on them through our advanced endpoint solutions that provide core endpoint protection, advanced threat protection, incident monitoring, and response. Additionally, the proliferation of IoT and OT devices has generated new opportunities for us to grow our business. We offer network access control solutions that provide visibility, control and automated event responses in order to secure IoT devices.</w:t>
      </w:r>
    </w:p>
    <w:p>
      <w:pPr>
        <w:spacing w:after="0" w:line="205" w:lineRule="exact"/>
        <w:rPr>
          <w:rFonts w:ascii="Arial" w:cs="Arial" w:eastAsia="Arial" w:hAnsi="Arial"/>
          <w:sz w:val="18"/>
          <w:szCs w:val="18"/>
          <w:color w:val="auto"/>
        </w:rPr>
      </w:pPr>
    </w:p>
    <w:p>
      <w:pPr>
        <w:ind w:left="660" w:right="20" w:hanging="328"/>
        <w:spacing w:after="0" w:line="274" w:lineRule="auto"/>
        <w:tabs>
          <w:tab w:leader="none" w:pos="655"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b w:val="1"/>
          <w:bCs w:val="1"/>
          <w:i w:val="1"/>
          <w:iCs w:val="1"/>
          <w:color w:val="auto"/>
        </w:rPr>
        <w:t>AI-Driven Security Operations</w:t>
      </w:r>
      <w:r>
        <w:rPr>
          <w:rFonts w:ascii="Times New Roman" w:cs="Times New Roman" w:eastAsia="Times New Roman" w:hAnsi="Times New Roman"/>
          <w:sz w:val="17"/>
          <w:szCs w:val="17"/>
          <w:color w:val="auto"/>
        </w:rPr>
        <w:t>—We develop and provide Artificial Intelligence (“AI”) driven security operations solutions, including FortiGuard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security subscription services, endpoint detection and response, and our security orchestration, automation and response (“SOAR”) capabilities and solutions, that can be applied across the entire Fortinet Security Fabric platform. These solutions deliver intelligence and insights.</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security solutions, our customers may purchase FortiGuard and other security subscription services to receive threat intelligence updates and protection updates delivered by FortiGuard Labs, FortiCare technical support services and the support of Technical Account Managers, Resident Engineers and professional service consultants for implementations or training services.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During our year ended December 31, 2020, we generated total revenue of $2.59 billion and net income of $488.5 million. See Part II, Item 8 of this Annual Report on Form 10-K for more information on our consolidated balance sheets as of December 31, 2020 and 2019 and our consolidated statements of income, comprehensive income, stockholders’ equity, and cash flows for each of the three years ended December 31, 2020, 2019 and 2018.</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November 2000. Our principal executive office is located at 899 Kifer Road, Sunnyvale, California 94086 and our telephone number at that location is (408) 235-7700.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Architecture</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Fortinet Security Fabric platform helps organizations secure their environments and reduce their security and network complexities. The Fortinet Security Fabric platform has an open architecture designed to connect Fortinet solutions and third-party solutions into a single ecosystem, enabling integration and automation.</w:t>
      </w:r>
    </w:p>
    <w:p>
      <w:pPr>
        <w:spacing w:after="0" w:line="20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product offerings consist of our FortiGate network security product family and our non-FortiGate products. Our FortiGate hardware and software licenses are sold with a set of security services in addition to networking features and are run using our proprietary FortiOS operating system. Our security services are enabled by FortiGuard Labs, which provides threat research and artificial intelligence capabilities from a cloud network to deliver protection services to each FortiGate appliance and virtual machine that is registered by the end-customer. All these are combined to form the Fortinet Security Fabric platform, which is an approach to security that ties discrete security solutions together into an integrated whole.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SPU</w:t>
      </w:r>
    </w:p>
    <w:p>
      <w:pPr>
        <w:spacing w:after="0" w:line="25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proprietary SPUs are Application-Specific Integrated Circuits (“ASICs”) that include (i) the Content Processor (“SPU CP”), (ii) the Network Processor (“SPU NP”) and (iii) the System-on-a-Chip (“SPU SoC”). Each successive generation of SPU adds network speed and the capacity to perform security functions. Our SPUs are designed to enhance the security processing capabilities implemented in software by accelerating computationally intensive tasks such as firewall policy enforcement, SD-WAN, network address translation, IPS, threat detection and encryption.</w:t>
      </w:r>
    </w:p>
    <w:p>
      <w:pPr>
        <w:spacing w:after="0" w:line="20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use of SPUs allows our appliances to deliver security functionality with minimal impact to network throughput performance, which we believe delivers a lower total cost of ownership (“TCO”) to our customers. As the security needs of our end-customers increase, we believe that our TCO and our SPUs will give our products a competitive advantage against other architectural approaches.</w:t>
      </w:r>
    </w:p>
    <w:p>
      <w:pPr>
        <w:spacing w:after="0" w:line="20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Entry-level FortiGate products often use the SPU SoC to provide the necessary acceleration at this level. Mid-range FortiGate products use a central processing unit (“CPU”) and include the SPU NP and SPU CP hardware acceleration. The high-end FortiGate products use multiple CPUs, SPU CPs and SPU NPs.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FortiOS</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proprietary FortiOS operating system provides the foundation for the operation of all FortiGate network security appliances, whether physical, virtual, private- or public-cloud based. We make regular updates to FortiOS available through our FortiCare support services. We have made updates to our FortiOS 7.0, as we aim to create a platform that will cover data centers, clouds, edge computing endpoints and networks. Fortinet Security Fabric is powered by FortiOS.</w:t>
      </w:r>
    </w:p>
    <w:p>
      <w:pPr>
        <w:spacing w:after="0" w:line="207" w:lineRule="exact"/>
        <w:rPr>
          <w:sz w:val="20"/>
          <w:szCs w:val="20"/>
          <w:color w:val="auto"/>
        </w:rPr>
      </w:pPr>
    </w:p>
    <w:p>
      <w:pPr>
        <w:jc w:val="both"/>
        <w:ind w:right="80" w:firstLine="648"/>
        <w:spacing w:after="0" w:line="272" w:lineRule="auto"/>
        <w:rPr>
          <w:sz w:val="20"/>
          <w:szCs w:val="20"/>
          <w:color w:val="auto"/>
        </w:rPr>
      </w:pPr>
      <w:r>
        <w:rPr>
          <w:rFonts w:ascii="Times New Roman" w:cs="Times New Roman" w:eastAsia="Times New Roman" w:hAnsi="Times New Roman"/>
          <w:sz w:val="17"/>
          <w:szCs w:val="17"/>
          <w:color w:val="auto"/>
        </w:rPr>
        <w:t>The security and networking capabilities of the Fortinet Security Fabric platform are controlled through FortiOS. The core kernel functions to the security processing feature sets work together to provide a highly integrated solution. FortiOS provides (i) multiple layers of security, including a hardened kernel layer providing protection for the FortiGate system, (ii) a network security layer, providing security for end-customers’ network infrastructures and</w:t>
      </w:r>
    </w:p>
    <w:p>
      <w:pPr>
        <w:spacing w:after="0" w:line="2" w:lineRule="exact"/>
        <w:rPr>
          <w:sz w:val="20"/>
          <w:szCs w:val="20"/>
          <w:color w:val="auto"/>
        </w:rPr>
      </w:pPr>
    </w:p>
    <w:p>
      <w:pPr>
        <w:ind w:right="220" w:firstLine="8"/>
        <w:spacing w:after="0" w:line="260"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content protection, providing security for end-customers’ workstations and applications. FortiOS directs the operations of processors and SPUs and provides system management functions such as command line, graphical user interfaces, multiple network and security topology 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high-level functions and capabilities of FortiOS include:</w:t>
      </w:r>
    </w:p>
    <w:p>
      <w:pPr>
        <w:spacing w:after="0" w:line="252"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enablement for the Fortinet Security Fabric platform architecture;</w:t>
      </w:r>
    </w:p>
    <w:p>
      <w:pPr>
        <w:spacing w:after="0" w:line="27" w:lineRule="exact"/>
        <w:rPr>
          <w:rFonts w:ascii="Times New Roman" w:cs="Times New Roman" w:eastAsia="Times New Roman" w:hAnsi="Times New Roman"/>
          <w:sz w:val="18"/>
          <w:szCs w:val="18"/>
          <w:color w:val="auto"/>
        </w:rPr>
      </w:pPr>
    </w:p>
    <w:p>
      <w:pPr>
        <w:ind w:left="1300" w:right="74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optionality to configure FortiGate appliances into different security environments, such as our Internal Network Firewall, Next-Generation Firewall and Data Center Firewall;</w:t>
      </w: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configuration of the physical aspects of the appliance, such as ports, onboard Wi-Fi and switching;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the Fortinet Security Fabric platform through direct management of FortiSwitch and FortiAP devices;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functions such as routing and deployment modes (network routing, transparent, sniffer, etc.);</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deploy and orchestrate SD-WAN instances;</w:t>
      </w:r>
    </w:p>
    <w:p>
      <w:pPr>
        <w:spacing w:after="0" w:line="9" w:lineRule="exact"/>
        <w:rPr>
          <w:rFonts w:ascii="Times New Roman" w:cs="Times New Roman" w:eastAsia="Times New Roman" w:hAnsi="Times New Roman"/>
          <w:sz w:val="18"/>
          <w:szCs w:val="18"/>
          <w:color w:val="auto"/>
        </w:rPr>
      </w:pPr>
    </w:p>
    <w:p>
      <w:pPr>
        <w:ind w:left="1300" w:right="22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security updates from our FortiGuard distribution network, delivering FortiGuard security subscription services and intelligence, such as IPS, antivirus and application control;</w:t>
      </w: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native integrations with major cloud provider platforms;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reporting and logging.</w:t>
      </w:r>
    </w:p>
    <w:p>
      <w:pPr>
        <w:spacing w:after="0" w:line="23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FortiOS also enables advanced, integrated routing and switching, allowing end-customers to deploy FortiGate devices within a wide variety of networks, as well as providing a direct replacement solution option for legacy switching and routing equipment. FortiOS implements a suite of commonly used standards-based routing protocols as well as network address translation technologies, allowing the FortiGate appliance to integrate and operate in a wide variety of network environments. Additional features include virtual domain capabilities, which can provide support for multiple customers on a single device or FortiOS instance. FortiOS also provides capabilities for the logging of traffic for forensic analysis purposes, which are particularly important for regulatory compliance initiatives such as payment card industry data security standards. FortiOS is designed to help control network traffic in order to optimize performance by including functionality such as packet classification, queue disciplines, policy enforcement, congestion management, WAN optimization and caching. These features enable administrators to set the appropriate configurations and policies that meet their infrastructure needs.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core product offerings consist of our FortiGate product family and our non-FortiGate products, all of which may be purchased to complement commercial and enterprise deployments. Our FortiGate hardware and software licenses are sold with a set of broad security services. These security services are enabled by FortiGuard Labs, which provides extensive threat research and artificial intelligence capabilities from a global cloud network to deliver protection services to each FortiGate appliance that is registered by the end-customer. Our non-FortiGate products span the full range of our customers’ core security needs and include the Fortinet Security Fabric platform, email security, cloud security, endpoint protection and other products.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FortiGate</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FortiGate offers a broad set of security and networking functions, including firewall, intrusion prevention, anti-malware, VPN, application control, web filtering, anti-spam and WAN acceleration. FortiGate is available as a hardware appliance or as a virtual appliance. All FortiGate appliances run on FortiOS. FortiGate platforms can be centrally managed through both embedded web-based and command line interfaces, as well as through FortiManager, which provides a central management architecture for FortiGate appliances and the Fortinet Security Fabric platform.</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By combining multiple network security functions in our purpose-built security platform, FortiGate appliances provide broad, high-quality protection capabilities and deployment flexibility while reducing the operational burden and costs associated with managing multiple point products. With over 35 models in the FortiGate product line, FortiGate is designed to address security requirements for small- to medium-sized businesses, large enterprises and government organizations worldwide.</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Typically, all FortiGate hardware appliances include our SPUs to accelerate content and network security features implemented within FortiOS. The significant differences between each model are the performance and scalability targets each model is designed to meet, while the security features and associated services offered are common throughout all models. The FortiGate-20 through -90 series models are designed for perimeter protection for small-to medium-sized businesses and enterprises with distributed offices. The FortiGate-100 through -900 series models are designed for perimeter deployment in medium-sized to large enterprise networks. The FortiGate-1000 through -7000 series models deliver high performance and scalable network security functionality for perimeter, data center and core deployment in large enterprises.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420" w:firstLine="648"/>
        <w:spacing w:after="0" w:line="289" w:lineRule="auto"/>
        <w:rPr>
          <w:sz w:val="20"/>
          <w:szCs w:val="20"/>
          <w:color w:val="auto"/>
        </w:rPr>
      </w:pPr>
      <w:r>
        <w:rPr>
          <w:rFonts w:ascii="Times New Roman" w:cs="Times New Roman" w:eastAsia="Times New Roman" w:hAnsi="Times New Roman"/>
          <w:sz w:val="17"/>
          <w:szCs w:val="17"/>
          <w:color w:val="auto"/>
        </w:rPr>
        <w:t>We also incorporate additional technologies within FortiGate appliances that differentiate our solutions, including data leak protection, traffic optimization, SSL inspection, threat vulnerability management and wireless controller technology. In addition to these in-built features, we offer a full range of wireless access points and controllers, complementing FortiGate appliances with the flexibility of wireless local area network access.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Fortinet Security Fabric Platform and Non-FortiGate Products</w:t>
      </w:r>
    </w:p>
    <w:p>
      <w:pPr>
        <w:spacing w:after="0" w:line="25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part of the Fortinet Security Fabric platform, we offer products that provide network security, endpoint security, cloud security, web-based application security, identity and access management, sandbox protection and email security. The integration of devices using open standards, common operating systems, and unified management platforms enables the sharing and correlation of real-time threat intelligence. The following Fortinet products can operate as part of the Fortinet Security Fabric platform:</w:t>
      </w:r>
    </w:p>
    <w:p>
      <w:pPr>
        <w:spacing w:after="0" w:line="203" w:lineRule="exact"/>
        <w:rPr>
          <w:sz w:val="20"/>
          <w:szCs w:val="20"/>
          <w:color w:val="auto"/>
        </w:rPr>
      </w:pPr>
    </w:p>
    <w:p>
      <w:pPr>
        <w:ind w:left="1300" w:right="120" w:hanging="320"/>
        <w:spacing w:after="0" w:line="268" w:lineRule="auto"/>
        <w:tabs>
          <w:tab w:leader="none" w:pos="129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FortiSwitch</w:t>
      </w:r>
      <w:r>
        <w:rPr>
          <w:rFonts w:ascii="Times New Roman" w:cs="Times New Roman" w:eastAsia="Times New Roman" w:hAnsi="Times New Roman"/>
          <w:sz w:val="18"/>
          <w:szCs w:val="18"/>
          <w:color w:val="auto"/>
        </w:rPr>
        <w:t>—Our FortiSwitch product family provides secure switching solutions that can be deployed in traditional network switching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designs with Layer 2 or Layer 3 access control features. FortiSwitch creates a scalable and secure access layer for customers to connect their end devices, such as computers and laptops, as well as to expand the field of IoT devices.</w:t>
      </w:r>
    </w:p>
    <w:p>
      <w:pPr>
        <w:spacing w:after="0" w:line="197" w:lineRule="exact"/>
        <w:rPr>
          <w:rFonts w:ascii="Times New Roman" w:cs="Times New Roman" w:eastAsia="Times New Roman" w:hAnsi="Times New Roman"/>
          <w:sz w:val="18"/>
          <w:szCs w:val="18"/>
          <w:b w:val="1"/>
          <w:bCs w:val="1"/>
          <w:i w:val="1"/>
          <w:iCs w:val="1"/>
          <w:color w:val="auto"/>
        </w:rPr>
      </w:pPr>
    </w:p>
    <w:p>
      <w:pPr>
        <w:ind w:left="1300" w:right="180" w:hanging="320"/>
        <w:spacing w:after="0" w:line="268" w:lineRule="auto"/>
        <w:tabs>
          <w:tab w:leader="none" w:pos="129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FortiAP</w:t>
      </w:r>
      <w:r>
        <w:rPr>
          <w:rFonts w:ascii="Times New Roman" w:cs="Times New Roman" w:eastAsia="Times New Roman" w:hAnsi="Times New Roman"/>
          <w:sz w:val="18"/>
          <w:szCs w:val="18"/>
          <w:color w:val="auto"/>
        </w:rPr>
        <w:t>—Our FortiAP product family provides secure wireless networking solutions. FortiAPs allow a variety of management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from the cloud and directly from our FortiGate firewall product. FortiAPs create a scalable and secure access layer for connecting wireless devices such as computers, laptops, cell phones and tablets, as well as IoT devices.</w:t>
      </w:r>
    </w:p>
    <w:p>
      <w:pPr>
        <w:spacing w:after="0" w:line="197" w:lineRule="exact"/>
        <w:rPr>
          <w:rFonts w:ascii="Times New Roman" w:cs="Times New Roman" w:eastAsia="Times New Roman" w:hAnsi="Times New Roman"/>
          <w:sz w:val="18"/>
          <w:szCs w:val="18"/>
          <w:b w:val="1"/>
          <w:bCs w:val="1"/>
          <w:i w:val="1"/>
          <w:iCs w:val="1"/>
          <w:color w:val="auto"/>
        </w:rPr>
      </w:pPr>
    </w:p>
    <w:p>
      <w:pPr>
        <w:ind w:left="1300" w:right="320" w:hanging="320"/>
        <w:spacing w:after="0" w:line="268"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FortiAnalyzer</w:t>
      </w:r>
      <w:r>
        <w:rPr>
          <w:rFonts w:ascii="Times New Roman" w:cs="Times New Roman" w:eastAsia="Times New Roman" w:hAnsi="Times New Roman"/>
          <w:sz w:val="18"/>
          <w:szCs w:val="18"/>
          <w:color w:val="auto"/>
        </w:rPr>
        <w:t>—Our FortiAnalyzer family of products provides centralized network logging, analyzing and reporting solutions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securely aggregate content and log data from our FortiGate devices, other Fortinet products and third-party devices to enable network logging, analysis and reporting.</w:t>
      </w:r>
    </w:p>
    <w:p>
      <w:pPr>
        <w:spacing w:after="0" w:line="197" w:lineRule="exact"/>
        <w:rPr>
          <w:rFonts w:ascii="Times New Roman" w:cs="Times New Roman" w:eastAsia="Times New Roman" w:hAnsi="Times New Roman"/>
          <w:sz w:val="18"/>
          <w:szCs w:val="18"/>
          <w:color w:val="auto"/>
        </w:rPr>
      </w:pPr>
    </w:p>
    <w:p>
      <w:pPr>
        <w:ind w:left="1300" w:hanging="320"/>
        <w:spacing w:after="0" w:line="256"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FortiGate-VM</w:t>
      </w:r>
      <w:r>
        <w:rPr>
          <w:rFonts w:ascii="Times New Roman" w:cs="Times New Roman" w:eastAsia="Times New Roman" w:hAnsi="Times New Roman"/>
          <w:sz w:val="18"/>
          <w:szCs w:val="18"/>
          <w:color w:val="auto"/>
        </w:rPr>
        <w:t>— FortiGate-VM extends the Fortinet Security Fabric through the cloud on-ramp into the cloud, enabling customers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security-driven networking within the cloud and between clouds and hybrid clouds. FortiGate-VM is powered by Fortinet vSPU (virtual Security Processing Unit) to deliver accelerated security and performance with minimal impact to performance. Our Cloud Networking solution enables better, more secure application experiences for users and branch offices by providing for encrypted data transports, granular segmentation and application-layer protection against advanced threats, and seamless overlay network with uniform policies across multi-clouds. FortiGate-VM is available for all major cloud providers, hypervisors and software-defined network (“SDN”) platforms.</w:t>
      </w:r>
    </w:p>
    <w:p>
      <w:pPr>
        <w:spacing w:after="0" w:line="209" w:lineRule="exact"/>
        <w:rPr>
          <w:rFonts w:ascii="Times New Roman" w:cs="Times New Roman" w:eastAsia="Times New Roman" w:hAnsi="Times New Roman"/>
          <w:sz w:val="18"/>
          <w:szCs w:val="18"/>
          <w:color w:val="auto"/>
        </w:rPr>
      </w:pPr>
    </w:p>
    <w:p>
      <w:pPr>
        <w:ind w:left="1300" w:right="80" w:hanging="320"/>
        <w:spacing w:after="0" w:line="26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FortiManager</w:t>
      </w:r>
      <w:r>
        <w:rPr>
          <w:rFonts w:ascii="Times New Roman" w:cs="Times New Roman" w:eastAsia="Times New Roman" w:hAnsi="Times New Roman"/>
          <w:sz w:val="18"/>
          <w:szCs w:val="18"/>
          <w:color w:val="auto"/>
        </w:rPr>
        <w:t>—Our FortiManager family of products provides a central and scalable management solution for our FortiGate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software updates, configuration, policy settings and security updates. FortiManager facilitates the coordination of policy-based provisioning, device configuration and operating system revision management, as well as network security monitoring and device control.</w:t>
      </w:r>
    </w:p>
    <w:p>
      <w:pPr>
        <w:spacing w:after="0" w:line="203" w:lineRule="exact"/>
        <w:rPr>
          <w:rFonts w:ascii="Times New Roman" w:cs="Times New Roman" w:eastAsia="Times New Roman" w:hAnsi="Times New Roman"/>
          <w:sz w:val="18"/>
          <w:szCs w:val="18"/>
          <w:color w:val="auto"/>
        </w:rPr>
      </w:pPr>
    </w:p>
    <w:p>
      <w:pPr>
        <w:ind w:left="1300" w:right="220" w:hanging="320"/>
        <w:spacing w:after="0" w:line="268" w:lineRule="auto"/>
        <w:tabs>
          <w:tab w:leader="none" w:pos="129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FortiWeb</w:t>
      </w:r>
      <w:r>
        <w:rPr>
          <w:rFonts w:ascii="Times New Roman" w:cs="Times New Roman" w:eastAsia="Times New Roman" w:hAnsi="Times New Roman"/>
          <w:sz w:val="18"/>
          <w:szCs w:val="18"/>
          <w:color w:val="auto"/>
        </w:rPr>
        <w:t>—Our FortiWeb product family provides web application firewall solutions, including internet protocol (“IP”) reputation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anti-botnet security, distributed denial-of-service protection, protocol validation, application attack signatures and deep learning AI to protect applications against a wide range of threats.</w:t>
      </w:r>
    </w:p>
    <w:p>
      <w:pPr>
        <w:spacing w:after="0" w:line="197" w:lineRule="exact"/>
        <w:rPr>
          <w:rFonts w:ascii="Times New Roman" w:cs="Times New Roman" w:eastAsia="Times New Roman" w:hAnsi="Times New Roman"/>
          <w:sz w:val="18"/>
          <w:szCs w:val="18"/>
          <w:b w:val="1"/>
          <w:bCs w:val="1"/>
          <w:i w:val="1"/>
          <w:iCs w:val="1"/>
          <w:color w:val="auto"/>
        </w:rPr>
      </w:pPr>
    </w:p>
    <w:p>
      <w:pPr>
        <w:jc w:val="both"/>
        <w:ind w:left="1300" w:right="480" w:hanging="320"/>
        <w:spacing w:after="0" w:line="268"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FortiMail</w:t>
      </w:r>
      <w:r>
        <w:rPr>
          <w:rFonts w:ascii="Times New Roman" w:cs="Times New Roman" w:eastAsia="Times New Roman" w:hAnsi="Times New Roman"/>
          <w:sz w:val="18"/>
          <w:szCs w:val="18"/>
          <w:color w:val="auto"/>
        </w:rPr>
        <w:t>—Our FortiMail product family provides secure email gateway solutions. FortiMail utilizes the technologies and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from FortiGuard Labs to deliver protection against threats that use email as an attack vector. FortiMail also integrates data protection capabilities to avoid data loss.</w:t>
      </w:r>
    </w:p>
    <w:p>
      <w:pPr>
        <w:spacing w:after="0" w:line="197" w:lineRule="exact"/>
        <w:rPr>
          <w:rFonts w:ascii="Times New Roman" w:cs="Times New Roman" w:eastAsia="Times New Roman" w:hAnsi="Times New Roman"/>
          <w:sz w:val="18"/>
          <w:szCs w:val="18"/>
          <w:color w:val="auto"/>
        </w:rPr>
      </w:pPr>
    </w:p>
    <w:p>
      <w:pPr>
        <w:ind w:left="1300" w:right="140" w:hanging="320"/>
        <w:spacing w:after="0" w:line="259"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FortiSandbox</w:t>
      </w:r>
      <w:r>
        <w:rPr>
          <w:rFonts w:ascii="Times New Roman" w:cs="Times New Roman" w:eastAsia="Times New Roman" w:hAnsi="Times New Roman"/>
          <w:sz w:val="18"/>
          <w:szCs w:val="18"/>
          <w:color w:val="auto"/>
        </w:rPr>
        <w:t>—Our FortiSandbox technology delivers proactive detection and mitigation with the ability to generate a directly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actionable protection capability. Available in both hardware and cloud-based form, the FortiSandbox subjects suspicious code to a set of multi-layer protection techniques, culminating in execution within an operating system, allowing real-time behavioral analysis to be performed in a secure environment. When malicious code is identified, a signature can be generated locally for distribution across the Fortinet Security Fabric platform.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00" w:right="60" w:hanging="320"/>
        <w:spacing w:after="0" w:line="291" w:lineRule="auto"/>
        <w:tabs>
          <w:tab w:leader="none" w:pos="1295" w:val="left"/>
        </w:tabs>
        <w:numPr>
          <w:ilvl w:val="0"/>
          <w:numId w:val="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FortiClient</w:t>
      </w:r>
      <w:r>
        <w:rPr>
          <w:rFonts w:ascii="Times New Roman" w:cs="Times New Roman" w:eastAsia="Times New Roman" w:hAnsi="Times New Roman"/>
          <w:sz w:val="17"/>
          <w:szCs w:val="17"/>
          <w:color w:val="auto"/>
        </w:rPr>
        <w:t>—Our FortiClient provides advanced endpoint protection with pattern-based anti-malware, behavior-based exploit protection,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web-filtering and an application firewall. FortiClient integrates with FortiSandbox to detect zero-day threats and custom malware. FortiClient also provides secure remote access with built-in VPN, single-sign-on and two-factor authentication for added security.</w:t>
      </w:r>
    </w:p>
    <w:p>
      <w:pPr>
        <w:spacing w:after="0" w:line="179" w:lineRule="exact"/>
        <w:rPr>
          <w:rFonts w:ascii="Times New Roman" w:cs="Times New Roman" w:eastAsia="Times New Roman" w:hAnsi="Times New Roman"/>
          <w:sz w:val="17"/>
          <w:szCs w:val="17"/>
          <w:b w:val="1"/>
          <w:bCs w:val="1"/>
          <w:i w:val="1"/>
          <w:iCs w:val="1"/>
          <w:color w:val="auto"/>
        </w:rPr>
      </w:pPr>
    </w:p>
    <w:p>
      <w:pPr>
        <w:jc w:val="both"/>
        <w:ind w:left="1300" w:right="200" w:hanging="320"/>
        <w:spacing w:after="0" w:line="26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FortiToken</w:t>
      </w:r>
      <w:r>
        <w:rPr>
          <w:rFonts w:ascii="Times New Roman" w:cs="Times New Roman" w:eastAsia="Times New Roman" w:hAnsi="Times New Roman"/>
          <w:sz w:val="18"/>
          <w:szCs w:val="18"/>
          <w:color w:val="auto"/>
        </w:rPr>
        <w:t>—Our FortiToken allows organizations to implement two-factor authentication to better safeguard systems, assets and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two-factor authentication, a password is used along with a security token and authentication server to provide seamless yet highly secured access between users and applications. Authorized employees can access company resources safely using a variety of devices, ranging from laptops to mobile phones.</w:t>
      </w:r>
    </w:p>
    <w:p>
      <w:pPr>
        <w:spacing w:after="0" w:line="203" w:lineRule="exact"/>
        <w:rPr>
          <w:rFonts w:ascii="Times New Roman" w:cs="Times New Roman" w:eastAsia="Times New Roman" w:hAnsi="Times New Roman"/>
          <w:sz w:val="18"/>
          <w:szCs w:val="18"/>
          <w:color w:val="auto"/>
        </w:rPr>
      </w:pPr>
    </w:p>
    <w:p>
      <w:pPr>
        <w:ind w:left="1300" w:right="200" w:hanging="320"/>
        <w:spacing w:after="0" w:line="259" w:lineRule="auto"/>
        <w:tabs>
          <w:tab w:leader="none" w:pos="129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FortiEDR/XDR</w:t>
      </w:r>
      <w:r>
        <w:rPr>
          <w:rFonts w:ascii="Times New Roman" w:cs="Times New Roman" w:eastAsia="Times New Roman" w:hAnsi="Times New Roman"/>
          <w:sz w:val="18"/>
          <w:szCs w:val="18"/>
          <w:color w:val="auto"/>
        </w:rPr>
        <w:t>—Our FortiEDR/XDR is an endpoint protection solution that provides both comprehensive machine-learning anti-malware execution and real-time post-infection protection. It automatically detects and defuses potential threats in real time even on already infected hosts. With automated EDR/XDR functions for threat hunting and incident response, FortiEDR/XDR eliminates the breach response time gap, dwell time, and alert fatigue. Additionally, it protects systems and supports broad OS coverage workstations, servers, and virtual machines, including legacy operating and embedded systems.</w:t>
      </w:r>
    </w:p>
    <w:p>
      <w:pPr>
        <w:spacing w:after="0" w:line="21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All of the products listed above are available in multiple form factors, such as hardware, virtual machine, cloud or software-as-a-service (“SaaS”), except for FortiSwitch, FortiAP and FortiExtender, which are available as hardware appliances only and FortiGate-VM and FortiEDR/XDR which are available as virtual solutions only.</w:t>
      </w:r>
    </w:p>
    <w:p>
      <w:pPr>
        <w:spacing w:after="0" w:line="204"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In the fourth quarter of 2020, we acquired Panopta Holdings LLC (“Panopta”), a privately held SaaS company providing a platform for monitoring the health and performance of network and information technology (“IT”) infrastructure. We expect that the integration of Panopta technology into our Fortinet Fabric Security platform through FortiMonitor will provide comprehensive network and security operations management solution for enterprises or service providers. In the third quarter of 2020, we acquired OPAQ Networks, Inc. (“OPAQ”), a privately held Secure Access Service Edge (“SASE”) cloud provider, to further enhance the Fortinet Security Fabric platform by helping advance our development of zero-trust network access SASE cloud solutions.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FortiGuard Security Subscription Services</w:t>
      </w:r>
    </w:p>
    <w:p>
      <w:pPr>
        <w:spacing w:after="0" w:line="25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Security requirements are dynamic due to the constantly changing nature of threats. Our FortiGuard security subscription services are designed to quickly deliver new threat detection and prevention capabilities to end-customers worldwide as new threats evolve. Our FortiGuard Labs global threat research team identifies emerging threats, collects threat samples, and replicates, reviews, characterizes and collates attack data through the use of AI, automation and original research. Based on this research, we develop updates for virus signatures, attack definitions, scanning engines and other security solution components to distribute to end-customers. FortiGuard functionality varies depending on which FortiGate and non-FortiGate products the end-customer is using, but will typically include one or more of the following functions: application control, antivirus, intrusion prevention, web filtering, anti-spam, VPN functions, email image analysis, vulnerability management, database functions, web functions, advanced threat protection, sandboxing and domain and IP reputation services.</w:t>
      </w:r>
    </w:p>
    <w:p>
      <w:pPr>
        <w:spacing w:after="0" w:line="21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End-customers purchase FortiGuard security subscription services in advance, typically with terms of one to five years. We provide FortiGuard security subscription services 24 hours a day, seven days a week.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FortiCare Technical Support Services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FortiCare support services portfolio includes technical support and extended product warranty. For our standard technical support, our channel partners may provide first-level support to the end-customer. We also provide first-level support to our end-customers, as well as second- and third-level support as appropriate. We also provide knowledge management tools and customer self-help portals to help augment our support capabilities in an efficient and scalable manner. We deliver technical support to partners and end-customers 24 hours a day, seven days a week, through worldwide regional technical support centers. In addition to our technical support services, we offer a range of advanced services, including premium support, professional services and replacement parts delivery.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Service Bundles</w:t>
      </w:r>
    </w:p>
    <w:p>
      <w:pPr>
        <w:spacing w:after="0" w:line="25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also sell FortiGuard and FortiCare services as bundles, consolidating security services into packages that would be typical for certain types of end-customer.</w:t>
      </w:r>
    </w:p>
    <w:p>
      <w:pPr>
        <w:spacing w:after="0" w:line="185" w:lineRule="exact"/>
        <w:rPr>
          <w:sz w:val="20"/>
          <w:szCs w:val="20"/>
          <w:color w:val="auto"/>
        </w:rPr>
      </w:pPr>
    </w:p>
    <w:p>
      <w:pPr>
        <w:ind w:left="1300" w:right="360" w:hanging="320"/>
        <w:spacing w:after="0" w:line="28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Threat Protection</w:t>
      </w:r>
      <w:r>
        <w:rPr>
          <w:rFonts w:ascii="Times New Roman" w:cs="Times New Roman" w:eastAsia="Times New Roman" w:hAnsi="Times New Roman"/>
          <w:sz w:val="18"/>
          <w:szCs w:val="18"/>
          <w:color w:val="auto"/>
        </w:rPr>
        <w:t>—Our Unified Threat Protection bundle includes antispam, antivirus, data sanitation, sandbox,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intrusion prevention, virus outbreak protection and web filtering, along with FortiCare support services.</w:t>
      </w:r>
    </w:p>
    <w:p>
      <w:pPr>
        <w:spacing w:after="0" w:line="181" w:lineRule="exact"/>
        <w:rPr>
          <w:rFonts w:ascii="Times New Roman" w:cs="Times New Roman" w:eastAsia="Times New Roman" w:hAnsi="Times New Roman"/>
          <w:sz w:val="18"/>
          <w:szCs w:val="18"/>
          <w:color w:val="auto"/>
        </w:rPr>
      </w:pPr>
    </w:p>
    <w:p>
      <w:pPr>
        <w:ind w:left="1300" w:right="380" w:hanging="320"/>
        <w:spacing w:after="0" w:line="26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Enterprise Protection</w:t>
      </w:r>
      <w:r>
        <w:rPr>
          <w:rFonts w:ascii="Times New Roman" w:cs="Times New Roman" w:eastAsia="Times New Roman" w:hAnsi="Times New Roman"/>
          <w:sz w:val="18"/>
          <w:szCs w:val="18"/>
          <w:color w:val="auto"/>
        </w:rPr>
        <w:t>—Our Enterprise Protection bundle includes application control, intrusion prevention, web filtering, sandbox,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antivirus, mobile security, IP reputation and anti-botnet security, antispam, cloud access security broker (“CASB”), industrial control systems, security rating, virus outbreak protection and data sanitation, along with FortiCare support services.</w:t>
      </w:r>
    </w:p>
    <w:p>
      <w:pPr>
        <w:spacing w:after="0" w:line="197" w:lineRule="exact"/>
        <w:rPr>
          <w:rFonts w:ascii="Times New Roman" w:cs="Times New Roman" w:eastAsia="Times New Roman" w:hAnsi="Times New Roman"/>
          <w:sz w:val="18"/>
          <w:szCs w:val="18"/>
          <w:color w:val="auto"/>
        </w:rPr>
      </w:pPr>
    </w:p>
    <w:p>
      <w:pPr>
        <w:ind w:left="1300" w:right="320" w:hanging="320"/>
        <w:spacing w:after="0" w:line="26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Advanced Threat Protection</w:t>
      </w:r>
      <w:r>
        <w:rPr>
          <w:rFonts w:ascii="Times New Roman" w:cs="Times New Roman" w:eastAsia="Times New Roman" w:hAnsi="Times New Roman"/>
          <w:sz w:val="18"/>
          <w:szCs w:val="18"/>
          <w:color w:val="auto"/>
        </w:rPr>
        <w:t>—Our Advanced Threat Protection bundle includes application control, antivirus, IP reputation and anti-botnet security, mobile security, data sanitation, sandbox, intrusion prevention and virus outbreak protection, along with FortiCare support services.</w:t>
      </w:r>
    </w:p>
    <w:p>
      <w:pPr>
        <w:spacing w:after="0" w:line="197" w:lineRule="exact"/>
        <w:rPr>
          <w:rFonts w:ascii="Times New Roman" w:cs="Times New Roman" w:eastAsia="Times New Roman" w:hAnsi="Times New Roman"/>
          <w:sz w:val="18"/>
          <w:szCs w:val="18"/>
          <w:color w:val="auto"/>
        </w:rPr>
      </w:pPr>
    </w:p>
    <w:p>
      <w:pPr>
        <w:ind w:left="1300" w:right="60" w:hanging="320"/>
        <w:spacing w:after="0" w:line="262" w:lineRule="auto"/>
        <w:tabs>
          <w:tab w:leader="none" w:pos="129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360 Protection</w:t>
      </w:r>
      <w:r>
        <w:rPr>
          <w:rFonts w:ascii="Times New Roman" w:cs="Times New Roman" w:eastAsia="Times New Roman" w:hAnsi="Times New Roman"/>
          <w:sz w:val="18"/>
          <w:szCs w:val="18"/>
          <w:color w:val="auto"/>
        </w:rPr>
        <w:t>—Our 360 Protection bundle includes application control, intrusion prevention, web filtering, sandbox, antivirus, mobile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IP reputation and anti-botnet security, antispam, CASB, industrial control systems, security rating, virus outbreak protection and data sanitation, along with enhanced FortiCare support services and operational services such as SD-WAN orchestration and cloud-based management and visibility of the Fortinet Security Fabric platform.</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5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offer professional services to end-customers including technical account managers (“TAMs”), resident engineers (“REs”) and professional service consultants and security architects for implementations.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TAMs and REs are dedicated support engineers available to help identify and eliminate issues before problems arise. Each TAM and RE acts as a single point of contact and customer advocate within Fortinet, offering a deep understanding of our customers’ businesses and security requirements.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professional services consultants and security architects help to formulate customer-specific security strategies, develop roadmaps for securing digital initiatives and design product deployments. They work closely with end-customers to implement our products according to design, utilizing network analysis tools, traffic simulation software and scripts.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Training Services</w:t>
      </w:r>
    </w:p>
    <w:p>
      <w:pPr>
        <w:spacing w:after="0" w:line="25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offer training services to our end-customers and channel partners through our training department and authorized training partners. We have also implemented a training certification program, Network Security Expert, to help ensure an understanding of our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resellers, service providers and managed security service providers (“MSSPs”), who, in turn, sell to end-customers. At times, we also sell directly to end-customers. Our end-customers are located in over 80 countries and include small-and medium-sized businesses, large enterprises and government organizations across a wide range of industries, including telecommunications, governments, financial services, retail, technology, education, manufacturing and healthcare. An end-customer deployment may involve as few as one or as many as thousands of appliances and other Fortinet Security Fabric platform products, depending on the end-customer’s size and security requirements. Customers may also access our products via the cloud through certain cloud providers such as Amazon Web Services, Microsoft Azure, Google Cloud, Oracle Cloud, Alibaba Cloud and IBM Cloud. Typically, our customers also purchase our FortiGuard security subscription services and FortiCare technical support services.</w:t>
      </w:r>
    </w:p>
    <w:p>
      <w:pPr>
        <w:spacing w:after="0" w:line="21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During 2020, Exclusive Networks Group (“Exclusive”) and Ingram Micro Inc. (“Ingram Micro”) accounted for 30% and 10% of total revenue, respectively. During 2019, Exclusive and Ingram Micro accounted for 31% and 11% of total revenue, respectively. During 2018, Exclusive and Ingram Micro accounted for 30% and 10% of total revenue,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primarily sell our products and services through a two-tier distribution model. We sell to distributors that sell to resellers and to service providers and MSSPs, who, in turn, sell to our end-customers. In certain cases, we sell directly to large service providers and major systems integrators. We work with many technology distributors, including Exclusive, Ingram Micro, Tech Data Corporation, Synnex Corporation and Arrow Electronics, Inc.</w:t>
      </w:r>
    </w:p>
    <w:p>
      <w:pPr>
        <w:spacing w:after="0" w:line="20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support our channel partners with a dedicated team of experienced channel account managers, sales professionals and sales engineers who provide business planning, joint marketing strategy, and pre-sales and operational sales support. Additionally, our sales teams help drive and support large enterprise and service provider sales through a direct touch model. Our sales professionals and engineers typically work closely with our channel partners and directly engage with large end-customers to address their unique security and deployment requirements. To support our broadly dispersed global channel and end-customer base, we have sales professionals in over 80 countries around the world.</w:t>
      </w:r>
    </w:p>
    <w:p>
      <w:pPr>
        <w:spacing w:after="0" w:line="210"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Our marketing strategy is focused on building our brand, driving thought leadership with emphasis on the criticality of cybersecurity platform adoption and driving end-customer demand for our security solutions. We use a combination of internal marketing professionals and a network of regional and global channel partners. Our internal marketing organization is responsible for messaging, branding, demand generation, product marketing, packaging support and subscription services into service bundles, channel marketing, partner incentives and promotions, event marketing, digital marketing, communications, analyst relations, public relations and sales enablement. We focus our resources on campaigns, programs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21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2020, we continued to invest in sales and marketing resources, particularly in the enterprise market where we believe there is an opportunity to expand our business. We intend to continue to make investments in sales and marketing resources, which are critical to support our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Suppliers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a variety of contract manufacturers and original design manufacturers. Our current manufacturing partners include ADLINK Technology, Inc. (“ADLINK”), IBASE Technology, Inc. (“IBASE”), Micro-Star International Co. (“Micro-Star”), Senao Networks, Inc. (“Senao”), Wistron Corporation (“Wistron”) and a number of other manufacturers. Approximately 85% of our hardware is manufactured in Taiwan. We submit purchase orders to our contract manufacturers that describe the type and quantities of our products to be manufactured, the delivery date and other delivery terms. Once our products are manufactured, they are sent to either our warehouse in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SPUs, which are key to the performance of our appliances, are built by contract manufacturers including Toshiba America Electronic Components, Inc. (“Toshiba”) and Renesas Electronics America, Inc. (“Renesas”). These contract manufacturers use foundries in Taiwan and Japan operated by either Taiwan Semiconductor Manufacturing Company Limited (“TSMC”) or by the contract manufacturer itself.</w:t>
      </w:r>
    </w:p>
    <w:p>
      <w:pPr>
        <w:spacing w:after="0" w:line="22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components included in our products are sourced from various suppliers by us or, more frequently, by our contract manufacturers. Some of the components important to our business, including certain CPUs from Intel Corporation (“Intel”), network chips from Broadcom Inc. (“Broadcom”), Marvell Technology Group Ltd. (“Marvell”) and Intel, and memory devices from Intel, ADATA Technology Co., Ltd. (“ADATA”), OCZ Technology Group, Inc., Samsung Electronics Co., Ltd. (“Samsung”), and Western Digital Technologies, Inc. (“Western Digital”), are available from limited or sole sources of supply.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long-term contracts related to the manufacturing of our ASICs or other components that guarantee any capacity or pricing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focus our research and development efforts on developing new hardware and software products and services, and adding new features to existing products and services.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identification of market demand for new products, product selection, timely implementation of product design and development, product performance, costs of development, bills of materials, effective manufacturing and assembly processes and sales and marketing.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confidentiality procedures and contractual provisions to protect our technology. We periodically have discussions with third parties regarding licensing Fortinet’s IP and have sometimes taken legal action against competitors to protect our intellectual property (“IP”), and as a result third parties have paid us fees in return for licenses or covenants-not-to-sue related to Fortinet IP. As of December 31, 2020, we had 716 U.S. and foreign-issued patents and 194 pending U.S. and foreign patent applications. We also license software from third parties for inclusion in our products, including open source software and other software.</w:t>
      </w:r>
    </w:p>
    <w:p>
      <w:pPr>
        <w:spacing w:after="0" w:line="21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Despite our efforts to protect our rights in our technology, unauthorized parties may attempt to copy aspects of our products or obtain and use information and technology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21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IP rights. Third parties have asserted, are currently asserting and may in the future assert patent, copyright, trademark or other IP rights against us, our channel partners or our end-customers. Successful claims of infringement by a third-party could prevent us from distributing certain products or performing certain services or require us to pay substantial damages (including treble damages if we are found to have willfully infringed patents or copyrights), royalties or other fees. Even if third parties offer a license to their technology, the terms of any offered license may not be acceptable and the failure to obtain a license or the costs associated with any license could cause our business, operating results or financial condition to be materially and adversely affected. In certain instances, we indemnify our end-customers, distributors and resellers against claims that our products infringe the IP of third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Many of the laws and regulations that are or may be applicable to our business are changing or being tested in courts and could be interpreted in ways that could adversely impact our business. In addition, the application and interpretation of these laws and regulations often are uncertain, particularly in the industry in which we operate. We believe we are in compliance with current laws and regulations and do not expect continued compliance to have a material impact on our capital expenditures, earnings, or competitive position. We continue to monitor existing and pending laws and regulations and while the impact of regulatory changes cannot be predicted with certainty, we do not currently expect compliance to have a material adverse effect.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5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seasonality in our sales, see the section entitled “Management’s Discussion and Analysis of Financial Condition and Results of Operations—Unaudited Quarterly Results of Operations—Seasonality, Cyclicality and Quarterly Revenue Trends” in Part II, Item 7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markets for our products are extremely competitive and are characterized by rapid technological change. The principal competitive factors in our markets include the following:</w:t>
      </w:r>
    </w:p>
    <w:p>
      <w:pPr>
        <w:spacing w:after="0" w:line="16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throughput, features, effectiveness, interoperability and reliability;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and integration of new networking and security features and technological expertise;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industry standards and certifications;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products and services and total cost of ownership;</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across varied and complex customer segments;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distribution capabilities;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financial stability;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product line;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factor of the solution;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competitive differentiators.</w:t>
      </w:r>
    </w:p>
    <w:p>
      <w:pPr>
        <w:spacing w:after="0" w:line="23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Among others, our competitors include Barracuda Networks, Inc. (“Barracuda”), Check Point Software Technologies Ltd. (“Check Point”), Cisco Systems, Inc. (“Cisco”), CrowdStrike Holdings, Inc. (“CrowdStrike”), F5 Networks, Inc. (“F5 Networks”), FireEye, Inc. (“FireEye”), Forcepoint LLC (“Forcepoint”), Imperva, Inc. (“Imperva”), Juniper Networks, Inc. (“Juniper”), McAfee, LLC (“McAfee”), Palo Alto Networks, Inc. (“Palo Alto Networks”), Proofpoint, Inc. (“Proofpoint”), SonicWALL, Inc. (“SonicWALL”), Sophos Group Plc (“Sophos”), Trend Micro Incorporated (“Trend Micro”) and Zscaler, Inc (“Zscaler”).</w:t>
      </w:r>
    </w:p>
    <w:p>
      <w:pPr>
        <w:spacing w:after="0" w:line="21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believe we compete favorably based on our products’ performance, throughput, reliability, breadth and ability to work together;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functionalities to our products.</w:t>
      </w:r>
    </w:p>
    <w:p>
      <w:pPr>
        <w:spacing w:after="0" w:line="21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market consolidation. The development and market acceptance of alternative technologies could decrease the demand for our products or render them obsolete. Our competitors may introduce products that are less costly, provide superior performance, are better marketed, or achieve greater market acceptance than our products. Additionally, our larger competitors often have broader product lines and are better positioned to withstand a significant reduction in capital spending by end-customers,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5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our total headcount was 8,238 employees, approximately 32% of which were employed in the United States and approximately 68% of which were employed outside of the United States.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appreciate that our employees are the foundation of our innovation for the benefit of our customers and that there can be a shortage of highly skilled employees for technology companies like ours, and we believe that our success depends largely on our continued ability to attract and retain highly skilled employees with diverse backgrounds and experiences. We offer fair, competitive compensation and benefits based on a culture of meritocracy. Our compensation programs for our employees include base pay, opportunities for equity ownership where local statutes allow and employee benefits that promote well-being across different aspects of our employees’ lives, which may include health and welfare insurance, retirement benefits, and paid time off.</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global company, much of our success is rooted in the diversity of our teams and our commitment to inclusion. Our commitment to diversity and inclusion starts at the top, with a highly skilled and diverse board of directors. As of December 31, 2020, women represented one-third of the members of our board of directors, and approximately 55% of our board of directors was from underrepresented communities as defined by California’s AB 979. We value diversity at all levels and continue to focus on enhancing our diversity and inclusion initiatives across our entire workforce. We are also committed to social responsibility, and our board of directors and its committees provide active oversight of our corporate social</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responsibility initiatives. Examples of our initiatives include our company matching program for employee charitable contributions and the free security training programs we offer to help with career development for our employees and the general public.</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culture is defined by our commitment to ethics and integrity. We reinforce our ethical “tone from the top” through clear policies including our Code of Business Conduct and Ethics, regular compliance training for our employees, quarterly meetings of our cross-functional Ethics Committee, clear messaging from our executives, enforcement of company policies and oversight by our board of directors. In addition, our Chief Executive Officer regularly communicates the importance of Fortinet’s core values of openness, teamwork and innovation.</w:t>
      </w:r>
    </w:p>
    <w:p>
      <w:pPr>
        <w:spacing w:after="0" w:line="20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providing a safe and healthy work environment for our employees. We sponsor a global wellness program designed to enhance physical, financial and mental wellbeing for all our employees around the world. Throughout the year, we encourage healthy behaviors through communications, educational sessions, wellness challenges and other incentives.</w:t>
      </w:r>
    </w:p>
    <w:p>
      <w:pPr>
        <w:spacing w:after="0" w:line="20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Early in the COVID-19 pandemic, our Chief Executive Officer committed to having no COVID-related layoffs, and, throughout the pandemic, not only have we kept that promise, we have continued hiring at a fast pace and helping support our employees and their families through this challenging time. During the pandemic, we have taken a flexible approach to help our employees manage their work and personal responsibilities, with a focus on employee wellbeing, health and safety.</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None of our U.S. employees are represented by a labor union. Our employees in certain European and Latin American countries, however, have the right to be represented by external labor organizations if they maintain up-to-date union membership. We have not experienced any work stoppages, and we consider our relations with our employees to be good.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web site is located at https://www.fortinet.com, and our investor relations web site is located at https://investor.fortinet.com.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are available free of charge on our investor relations web site as soon as reasonably practicable after we electronically file such material with, or furnish it to, the SEC. You may also access all of our public filings through the SEC’s website at https://www.sec.gov.</w:t>
      </w:r>
    </w:p>
    <w:p>
      <w:pPr>
        <w:spacing w:after="0" w:line="21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and press and earnings releases, as part of our investor relations web site. The contents of these web sites are not intended to be incorporated by reference into this report or in any other report or document we file.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Some of the material risks that we face include:</w:t>
      </w:r>
    </w:p>
    <w:p>
      <w:pPr>
        <w:spacing w:after="0" w:line="2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Adverse economic conditions or reduced information technology spending may adversely impact our business.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billings, revenue, operating margin and free cash flow growth may slow or may not continue.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COVID-19 pandemic could adversely affect our business in a material way.</w:t>
      </w:r>
    </w:p>
    <w:p>
      <w:pPr>
        <w:spacing w:after="0" w:line="251"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rely on third-party channel partners for substantially all of our revenue and a small number of distributors represents a large percentage of our revenue and gross accounts receivable.</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Reliance on a concentration of shipments at the end of the quarter could cause our billings and revenue to fall below expected levels.</w:t>
      </w:r>
    </w:p>
    <w:p>
      <w:pPr>
        <w:spacing w:after="0" w:line="251"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rely significantly on revenue from FortiGuard security subscription and FortiCare technical support services, and revenue from these services may decline or fluctuate.</w:t>
      </w:r>
    </w:p>
    <w:p>
      <w:pPr>
        <w:spacing w:after="0" w:line="240" w:lineRule="exact"/>
        <w:rPr>
          <w:rFonts w:ascii="Arial" w:cs="Arial" w:eastAsia="Arial" w:hAnsi="Arial"/>
          <w:sz w:val="22"/>
          <w:szCs w:val="22"/>
          <w:color w:val="auto"/>
        </w:rPr>
      </w:pPr>
    </w:p>
    <w:p>
      <w:pPr>
        <w:ind w:left="660" w:right="58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 particularly for our sales organization.</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generate a majority of revenue from sales outside of the United States.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 portion of our revenue is generated by sales to government organizations, which are subject to a number of challenges and risks.</w:t>
      </w:r>
    </w:p>
    <w:p>
      <w:pPr>
        <w:spacing w:after="0" w:line="251" w:lineRule="exact"/>
        <w:rPr>
          <w:rFonts w:ascii="Arial" w:cs="Arial" w:eastAsia="Arial" w:hAnsi="Arial"/>
          <w:sz w:val="22"/>
          <w:szCs w:val="22"/>
          <w:color w:val="auto"/>
        </w:rPr>
      </w:pPr>
    </w:p>
    <w:p>
      <w:pPr>
        <w:ind w:left="660" w:right="120" w:hanging="328"/>
        <w:spacing w:after="0" w:line="251" w:lineRule="auto"/>
        <w:tabs>
          <w:tab w:leader="none" w:pos="65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Our industry is highly competitive and we must accurately predict, prepare for and respond promptly to technological and market developments and changing end-customer needs, including by introducing products and product enhancements and innovations that address a fast-changing technology and threat landscape and that achieve sufficient market acceptance, in order to maintain or improve our competitive position.</w:t>
      </w:r>
    </w:p>
    <w:p>
      <w:pPr>
        <w:spacing w:after="0" w:line="229" w:lineRule="exact"/>
        <w:rPr>
          <w:rFonts w:ascii="Arial" w:cs="Arial" w:eastAsia="Arial" w:hAnsi="Arial"/>
          <w:sz w:val="21"/>
          <w:szCs w:val="21"/>
          <w:color w:val="auto"/>
        </w:rPr>
      </w:pPr>
    </w:p>
    <w:p>
      <w:pPr>
        <w:ind w:left="660" w:right="28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Insufficient inventory or components, including component or inventory shortages based on the COVID-19 pandemic, may result in lost sales opportunities or delayed revenue, while excess inventory may harm our gross margins.</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depend on several third-party manufacturers to build our products and are susceptible to manufacturing delays and cost increases.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10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are susceptible to supply shortages and disruptions, long lead times for components and supply changes because some of the key components in our products come from limited sources of supply.</w:t>
      </w:r>
    </w:p>
    <w:p>
      <w:pPr>
        <w:spacing w:after="0" w:line="240" w:lineRule="exact"/>
        <w:rPr>
          <w:rFonts w:ascii="Arial" w:cs="Arial" w:eastAsia="Arial" w:hAnsi="Arial"/>
          <w:sz w:val="22"/>
          <w:szCs w:val="22"/>
          <w:color w:val="auto"/>
        </w:rPr>
      </w:pPr>
    </w:p>
    <w:p>
      <w:pPr>
        <w:ind w:left="660" w:right="8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are susceptible to defects or vulnerabilities in our products or services, as well as reputational harm from the failure or misuse of our products or services.</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251" w:lineRule="exact"/>
        <w:rPr>
          <w:rFonts w:ascii="Arial" w:cs="Arial" w:eastAsia="Arial" w:hAnsi="Arial"/>
          <w:sz w:val="22"/>
          <w:szCs w:val="22"/>
          <w:color w:val="auto"/>
        </w:rPr>
      </w:pPr>
    </w:p>
    <w:p>
      <w:pPr>
        <w:ind w:left="660" w:right="10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Global economic uncertainty and weakening product demand caused by political instability, changes in trade agreements and other conflict could adversely affect our business and financial performance.</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successfully acquire and integrate other businesses, products or technologies could seriously harm our competitive position.</w:t>
      </w:r>
    </w:p>
    <w:p>
      <w:pPr>
        <w:spacing w:after="0" w:line="244"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trading price of our common stock may be volatile, which volatility may be exacerbated by share repurchases under our Repurchase Program.</w:t>
      </w:r>
    </w:p>
    <w:p>
      <w:pPr>
        <w:spacing w:after="0" w:line="251" w:lineRule="exact"/>
        <w:rPr>
          <w:rFonts w:ascii="Arial" w:cs="Arial" w:eastAsia="Arial" w:hAnsi="Arial"/>
          <w:sz w:val="21"/>
          <w:szCs w:val="21"/>
          <w:color w:val="auto"/>
        </w:rPr>
      </w:pPr>
    </w:p>
    <w:p>
      <w:pPr>
        <w:ind w:left="660" w:right="10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6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new end-customers or sell additional products and services to our existing end-customers;</w:t>
      </w:r>
    </w:p>
    <w:p>
      <w:pPr>
        <w:spacing w:after="0" w:line="238" w:lineRule="exact"/>
        <w:rPr>
          <w:rFonts w:ascii="Times New Roman" w:cs="Times New Roman" w:eastAsia="Times New Roman" w:hAnsi="Times New Roman"/>
          <w:sz w:val="18"/>
          <w:szCs w:val="18"/>
          <w:color w:val="auto"/>
        </w:rPr>
      </w:pPr>
    </w:p>
    <w:p>
      <w:pPr>
        <w:ind w:left="1300" w:right="560" w:hanging="644"/>
        <w:spacing w:after="0" w:line="26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and may be impacted by the COVID-19 pandemic in ways that we are not able to foresee;</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w:t>
      </w:r>
    </w:p>
    <w:p>
      <w:pPr>
        <w:spacing w:after="0" w:line="23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the global economy, disruption of global supply chains and creation of significant volatility and disruption of the financial markets due to the COVID-19 pandemic;</w:t>
      </w:r>
    </w:p>
    <w:p>
      <w:pPr>
        <w:spacing w:after="0" w:line="148"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w:t>
      </w:r>
    </w:p>
    <w:p>
      <w:pPr>
        <w:spacing w:after="0" w:line="238" w:lineRule="exact"/>
        <w:rPr>
          <w:rFonts w:ascii="Times New Roman" w:cs="Times New Roman" w:eastAsia="Times New Roman" w:hAnsi="Times New Roman"/>
          <w:sz w:val="18"/>
          <w:szCs w:val="18"/>
          <w:color w:val="auto"/>
        </w:rPr>
      </w:pPr>
    </w:p>
    <w:p>
      <w:pPr>
        <w:ind w:left="1300" w:hanging="644"/>
        <w:spacing w:after="0" w:line="245"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and product inventory shortages, including those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207"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189"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refresh cycles;</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right="120" w:hanging="644"/>
        <w:spacing w:after="0" w:line="245"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207"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89" w:lineRule="exact"/>
        <w:rPr>
          <w:rFonts w:ascii="Times New Roman" w:cs="Times New Roman" w:eastAsia="Times New Roman" w:hAnsi="Times New Roman"/>
          <w:sz w:val="18"/>
          <w:szCs w:val="18"/>
          <w:color w:val="auto"/>
        </w:rPr>
      </w:pPr>
    </w:p>
    <w:p>
      <w:pPr>
        <w:ind w:left="1300" w:right="20" w:hanging="644"/>
        <w:spacing w:after="0" w:line="245"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execution risk related to effectively selling to all segments of the market, including enterprise and small- and medium-sized businesses and service providers, and to selling our broad security product and services portfolio, including, among other execution risks, risks associated with the complexity and distraction in selling to all segments and increased competition and unpredictability of timing to close sales deals with large enterprises;</w:t>
      </w:r>
    </w:p>
    <w:p>
      <w:pPr>
        <w:spacing w:after="0" w:line="207"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network security and SD-WAN, infrastructure security, cloud security and endpoint protection, IoT and OT security opportunities;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pacing w:after="0" w:line="23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to distributors;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38"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vulnerabilities in our products or services, and any actual or perceived breach of our network or our customers’ networks;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198"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for which we sell products and services;</w:t>
      </w:r>
    </w:p>
    <w:p>
      <w:pPr>
        <w:spacing w:after="0" w:line="148" w:lineRule="exact"/>
        <w:rPr>
          <w:rFonts w:ascii="Times New Roman" w:cs="Times New Roman" w:eastAsia="Times New Roman" w:hAnsi="Times New Roman"/>
          <w:sz w:val="18"/>
          <w:szCs w:val="18"/>
          <w:color w:val="auto"/>
        </w:rPr>
      </w:pPr>
    </w:p>
    <w:p>
      <w:pPr>
        <w:ind w:left="1300" w:right="28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8"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w:t>
      </w:r>
    </w:p>
    <w:p>
      <w:pPr>
        <w:spacing w:after="0" w:line="148" w:lineRule="exact"/>
        <w:rPr>
          <w:rFonts w:ascii="Times New Roman" w:cs="Times New Roman" w:eastAsia="Times New Roman" w:hAnsi="Times New Roman"/>
          <w:sz w:val="18"/>
          <w:szCs w:val="18"/>
          <w:color w:val="auto"/>
        </w:rPr>
      </w:pPr>
    </w:p>
    <w:p>
      <w:pPr>
        <w:ind w:left="1300" w:right="8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38" w:lineRule="exact"/>
        <w:rPr>
          <w:rFonts w:ascii="Times New Roman" w:cs="Times New Roman" w:eastAsia="Times New Roman" w:hAnsi="Times New Roman"/>
          <w:sz w:val="18"/>
          <w:szCs w:val="18"/>
          <w:color w:val="auto"/>
        </w:rPr>
      </w:pPr>
    </w:p>
    <w:p>
      <w:pPr>
        <w:ind w:left="1300" w:right="36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and clearances, that are applicable to our ability to conduct business with the public sector, including the U.S. federal government, and other sectors;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platforms on our billings, revenues, operating margins and free cash flow;</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right="66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revenues and manage and control operating expenses in order to improve our operating margins;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and collections for service contracts or the contractual term of service contracts sold;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and collections for our contracts with service providers and distributors;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w:t>
      </w:r>
    </w:p>
    <w:p>
      <w:pPr>
        <w:spacing w:after="0" w:line="23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cloud-based services and the uncertainty associated with transitioning to providing such services;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impact on results of operations from any acquisition consummated;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198"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48"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89" w:lineRule="exact"/>
        <w:rPr>
          <w:rFonts w:ascii="Times New Roman" w:cs="Times New Roman" w:eastAsia="Times New Roman" w:hAnsi="Times New Roman"/>
          <w:sz w:val="18"/>
          <w:szCs w:val="18"/>
          <w:color w:val="auto"/>
        </w:rPr>
      </w:pPr>
    </w:p>
    <w:p>
      <w:pPr>
        <w:ind w:left="1300" w:right="64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38"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189" w:lineRule="exact"/>
        <w:rPr>
          <w:rFonts w:ascii="Times New Roman" w:cs="Times New Roman" w:eastAsia="Times New Roman" w:hAnsi="Times New Roman"/>
          <w:sz w:val="18"/>
          <w:szCs w:val="18"/>
          <w:color w:val="auto"/>
        </w:rPr>
      </w:pPr>
    </w:p>
    <w:p>
      <w:pPr>
        <w:ind w:left="1300" w:right="76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holdings and future development plans; and</w:t>
      </w:r>
    </w:p>
    <w:p>
      <w:pPr>
        <w:spacing w:after="0" w:line="189"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and applicable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information technology spending may adversely impact our business.</w:t>
      </w:r>
    </w:p>
    <w:p>
      <w:pPr>
        <w:spacing w:after="0" w:line="22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including the effects of the COVID-19 pandemic on the foregoing issues,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operating margin and free cash flow growth may slow or may not continue.</w:t>
      </w:r>
    </w:p>
    <w:p>
      <w:pPr>
        <w:spacing w:after="0" w:line="216"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affect our business in a material way.</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disrupted global supply chains and demand for certain solutions and created significant volatility in, and disruption of, global financial markets. The extent of the future impact of the COVID-19 pandemic on our operational and financial performance, including on demand for our products and services, our ability to source components, and our ability to execute our business strategies and initiatives in the expected time frame, will depend on future developments, including the duration and spread of the COVID-19 pandemic and related restrictions on, and disruptions of, business and world economies, all of which are uncertain and difficult to predict.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spread of the COVID-19 pandemic limits the availability of our products, either by limiting components available, by limiting the actual manufacture and assembly or by limiting or restricting shipping of components and products, this likely would result in increased product backlog, lower billings, lower revenue and decreased profitability and would negatively impact, and may materially negatively impact, our operating results and business. Moreover, the COVID-19 pandemic has created a reduction in certain business activity and demand for certain solutions, which we believe has negatively impacted our billings and may in the future materially and negatively affect the rate and amount of our billings. The COVID-19 pandemic may adversely affect certain of our partners’ and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due to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 customers,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which may decrease the likelihood that we will be able to collect from these customers. In addition, the COVID-19 pandemic has caused an increase in certain of our expenses, including increased shipping costs, increased cancellation charges and reduced attendance fees due to the cancellation of several of our 2020 Accelerate sales conferences, and it may result in increased component and product manufacturing costs. The COVID-19 pandemic has limited certain demand generation activities, such as conferences and in-person sales meetings, which may reduce our costs, but also may reduce leads that could result in closed sales. The full impact of the COVID-19 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21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34% of our total net accounts receivable as of December 31, 2020.</w:t>
      </w:r>
    </w:p>
    <w:p>
      <w:pPr>
        <w:spacing w:after="0" w:line="18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21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1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8"/>
          <w:szCs w:val="18"/>
          <w:color w:val="auto"/>
        </w:rPr>
        <w:t>Exclusive Networks Group (“Exclusive”) accounted for 34% and 36% of our total net accounts receivable as of December 31, 2020 and December 31, 2019, respectively, and six distributor customers accounted for 70% and 69% of our total net accounts receivable in the aggregate, respectively. During 2020, 2019 and 2018, Exclusive accounted for 30%, 31% and 30% of our total revenue, respectively. In addition to other risks associated with the concentration of accounts receivable and revenue from these distributors, Exclusive is a private equity-backed company and we may not have sufficient information to assess its financial condition and, accordingly, if Exclusive were to experience financial difficulties, we might not have advance notice. Additionally, Exclusive may face liquidity risk, which may harm our ability to collect on our accounts receivable.</w:t>
      </w:r>
    </w:p>
    <w:p>
      <w:pPr>
        <w:spacing w:after="0" w:line="21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Exclusive,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could cause our billings and revenue to fall below expected levels.</w:t>
      </w:r>
    </w:p>
    <w:p>
      <w:pPr>
        <w:spacing w:after="0" w:line="25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 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21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52"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215" w:lineRule="exact"/>
        <w:rPr>
          <w:rFonts w:ascii="Times New Roman" w:cs="Times New Roman" w:eastAsia="Times New Roman" w:hAnsi="Times New Roman"/>
          <w:sz w:val="18"/>
          <w:szCs w:val="18"/>
          <w:color w:val="auto"/>
        </w:rPr>
      </w:pPr>
    </w:p>
    <w:p>
      <w:pPr>
        <w:ind w:left="1300" w:right="180" w:hanging="644"/>
        <w:spacing w:after="0" w:line="234" w:lineRule="auto"/>
        <w:tabs>
          <w:tab w:leader="none" w:pos="129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 in manufacturing or shipping based on power outages, system failures, labor disputes, natural disasters or widespread public health problems including pandemics and epidemics such as the COVID-19 pandemic;</w:t>
      </w:r>
    </w:p>
    <w:p>
      <w:pPr>
        <w:spacing w:after="0" w:line="213" w:lineRule="exact"/>
        <w:rPr>
          <w:rFonts w:ascii="Arial" w:cs="Arial" w:eastAsia="Arial" w:hAnsi="Arial"/>
          <w:sz w:val="22"/>
          <w:szCs w:val="22"/>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FortiGate appliances or our Fortinet Security Fabric platform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monthly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8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1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The COVID-19 pandemic may also decelerate our hiring and increase the challenge of recruiting qualified personnel to leave their current positions to join us.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3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76"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52"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 particularly during the summer months or as a result of the COVID-19 pandemic and related travel and gathering restrictions;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IP rights in some countries;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88" w:lineRule="exact"/>
        <w:rPr>
          <w:rFonts w:ascii="Times New Roman" w:cs="Times New Roman" w:eastAsia="Times New Roman" w:hAnsi="Times New Roman"/>
          <w:sz w:val="18"/>
          <w:szCs w:val="18"/>
          <w:color w:val="auto"/>
        </w:rPr>
      </w:pPr>
    </w:p>
    <w:p>
      <w:pPr>
        <w:ind w:left="1300" w:hanging="644"/>
        <w:spacing w:after="0" w:line="245"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manufacturing or shipping or decreases in demand by channel partners or end-customers, including any such disruption or decreases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207" w:lineRule="exact"/>
        <w:rPr>
          <w:rFonts w:ascii="Times New Roman" w:cs="Times New Roman" w:eastAsia="Times New Roman" w:hAnsi="Times New Roman"/>
          <w:sz w:val="18"/>
          <w:szCs w:val="18"/>
          <w:color w:val="auto"/>
        </w:rPr>
      </w:pPr>
    </w:p>
    <w:p>
      <w:pPr>
        <w:ind w:left="1300" w:right="200" w:hanging="644"/>
        <w:spacing w:after="0" w:line="245"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U.S. (for example, over the past year, our revenue from sales in China has been insignificant, totaling less than 1% of aggregate revenue, possibly based in part on a preference in China to do business with Chinese businesses over U.S. businesses like Fortinet);</w:t>
      </w:r>
    </w:p>
    <w:p>
      <w:pPr>
        <w:spacing w:after="0" w:line="180" w:lineRule="exact"/>
        <w:rPr>
          <w:rFonts w:ascii="Times New Roman" w:cs="Times New Roman" w:eastAsia="Times New Roman" w:hAnsi="Times New Roman"/>
          <w:sz w:val="18"/>
          <w:szCs w:val="18"/>
          <w:color w:val="auto"/>
        </w:rPr>
      </w:pPr>
    </w:p>
    <w:p>
      <w:pPr>
        <w:ind w:left="1300" w:right="100" w:hanging="644"/>
        <w:spacing w:after="0" w:line="261"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06"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8" w:lineRule="exact"/>
        <w:rPr>
          <w:rFonts w:ascii="Times New Roman" w:cs="Times New Roman" w:eastAsia="Times New Roman" w:hAnsi="Times New Roman"/>
          <w:sz w:val="18"/>
          <w:szCs w:val="18"/>
          <w:color w:val="auto"/>
        </w:rPr>
      </w:pPr>
    </w:p>
    <w:p>
      <w:pPr>
        <w:ind w:left="1300" w:right="220" w:hanging="644"/>
        <w:spacing w:after="0" w:line="261"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ongoing effects of the COVID-19 pandemic may enhance the severity and unpredictability of a number of the foregoing risks.</w:t>
      </w:r>
    </w:p>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1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5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4" w:lineRule="exact"/>
        <w:rPr>
          <w:sz w:val="20"/>
          <w:szCs w:val="20"/>
          <w:color w:val="auto"/>
        </w:rPr>
      </w:pPr>
    </w:p>
    <w:p>
      <w:pPr>
        <w:ind w:left="1300" w:right="22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5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75" w:lineRule="exact"/>
        <w:rPr>
          <w:rFonts w:ascii="Times New Roman" w:cs="Times New Roman" w:eastAsia="Times New Roman" w:hAnsi="Times New Roman"/>
          <w:sz w:val="18"/>
          <w:szCs w:val="18"/>
          <w:color w:val="auto"/>
        </w:rPr>
      </w:pPr>
    </w:p>
    <w:p>
      <w:pPr>
        <w:ind w:left="1300" w:right="86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10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substantial time and resources may be spent on a potential end-customer that elects not to purchase our products and services;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the current COVID-19 pandemic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mitigation and containment measures adopted by government authorities to contain the spread of COVID-19 in the United States and internationally, including travel restrictions and other requirements that limit in-person meetings, could limit our ability to establish and maintain relationships with new and existing customers, which may exacerbate the risks described above.</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86"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may not be able to achieve sustained growth, and our business, financial condition and results of operations may be adversely affected. We are also limited in our marketing efforts as a result of the COVID-19 pandemic, as mitigation and containment measures adopted by government authorities to contain the spread of COVID-19, including travel restrictions and other requirements that limit in-person meetings, could limit our ability to establish and maintain relationships with new and existing customers and negatively affect our sales and marketing efforts.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by sales to government organizations, which are subject to a number of challenges and risks.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Sales to U.S. and foreign federal, state and local governmental agency end-customers have accounted for a portion of our revenue in past periods.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20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89"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sector budgetary cycles;</w:t>
      </w:r>
    </w:p>
    <w:p>
      <w:pPr>
        <w:spacing w:after="0" w:line="252"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w:t>
      </w:r>
    </w:p>
    <w:p>
      <w:pPr>
        <w:spacing w:after="0" w:line="188" w:lineRule="exact"/>
        <w:rPr>
          <w:rFonts w:ascii="Times New Roman" w:cs="Times New Roman" w:eastAsia="Times New Roman" w:hAnsi="Times New Roman"/>
          <w:sz w:val="18"/>
          <w:szCs w:val="18"/>
          <w:color w:val="auto"/>
        </w:rPr>
      </w:pPr>
    </w:p>
    <w:p>
      <w:pPr>
        <w:jc w:val="both"/>
        <w:ind w:left="1300" w:right="40" w:hanging="644"/>
        <w:spacing w:after="0" w:line="250"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and trade protectionism and other political dynamics that may adversely affect our ability to sell in certain locations or obtain the requisite permits and clearances required for certain purchases by government organizations of our products and services; and</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applicable to certain government sales, including GSA regulations.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Government spending may also be negatively impacted by the COVID-19 pandemic.</w:t>
      </w:r>
    </w:p>
    <w:p>
      <w:pPr>
        <w:spacing w:after="0" w:line="25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To date, we have had limited traction in sales to U.S.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of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decision by one government agency that our products do not meet certain standards, may cause reputational harm and cause concern with other government agencies, governments and businesses and cause them to not buy our products and services and/or lead to a decrease in demand for our products generally. Finally, purchases by the U.S. government may require certain products to be manufactured in the United States and other high cost manufacturing locations, and we may not manufacture all products in locations that meet the requirements of the U.S. government and may not successfully obtain all certifications or clearances required for certain U.S. government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Customers, Products and Services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lack sufficient financial or other resources to maintain or improve our competitive position.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we expect competition to intensify in the future. We face many competitors across the different cybersecurity markets. Our competitors include companies such as Barracuda, Check Point, Cisco, CrowdStrike, F5 Networks, FireEye, Forcepoint, Imperva, Juniper, McAfee, Palo Alto Networks, Proofpoint, SonicWALL, Sophos, Trend Micro and Zscaler.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and increase sales by utilizing different distribution channels than we do. For example, certain of our competitors are focusing on delivering security services from the cloud.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and product enhancements do not achieve sufficient market acceptance, our results of operations and competitive position will suffer.</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or enhancements to the market;</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functionality and to supply products that meet this demand in a timely fashion;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fabric products successful;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by our competitors;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9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8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source components, manufacture or ship certain products increases for any reason, inventory shortfalls could result. If we cannot manufacture and ship our products due to, for example, natural disasters and health emergencies such as earthquakes, fires, power outages, typhoons, floods, pandemics and epidemics such as the COVID-19 pandemic or manmade events such as civil unrest, labor disruption, international trade disputes, international conflicts, terrorism, wars and critical infrastructure attacks, our business and financial results could be materially and adversely impacted.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 has resulted in challenges to obtaining components and inventory, as well as increases to freight and shipping costs, and may result in a material adverse effect on our results of operations. In order to mitigate supply chain risk from COVID-19, we have increased our on-hand stock of certain products. If we are unable to sell these products, we would be required to write-off excess inventory, which would have an adverse impact on our results of operations.</w:t>
      </w:r>
    </w:p>
    <w:p>
      <w:pPr>
        <w:spacing w:after="0" w:line="18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20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Wistron, Senao, ADLINK and IBASE. Our reliance on our third-party manufacturers in Asia and elsewhere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approximately 85% of our hardware is manufactured in Taiwan. Any increase in tensions between China and Taiwan, including threats of military actions or escalation of military activities, could adversely affect our manufacturing operations in Taiwan.</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proprietary SPUs, which are key to the performance of our appliances, are built by contract manufacturers including Renesas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Toshiba. These contract manufacturers use foundries operated by TSMC or Renesas on a purchase-order basis, and these foundries do not guarantee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and could delay orders or increase their pricing. Accordingly, the foundries are not obligated to continue to fulfill our supply requirements,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long lead time that a new foundry would require, we could suffer inventory shortages of our SPU as well as increased costs. In addition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SPU, we also purchase off-the-shelf ASICs or integrated circuits from vendors for which we have experienced, and may continue to experience,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lead times. Our suppliers may also prioritize orders by other companies that order higher volumes or more profitable products. If any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materially delays its supply of ASICs or specific product models to us, or requires us to find an alternate supplier and we are not able to 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on a timely and reasonable basis, or if these foundries materially increase their prices for fabrication of our SPU or ASICs, our business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harmed.</w:t>
      </w:r>
    </w:p>
    <w:p>
      <w:pPr>
        <w:spacing w:after="0" w:line="23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meet customer requirements, such customers may choose to not purchase our products, which could impact our sales and the value of portions of our inventory.</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network chips from Broadcom, Marvell and Intel, and memory devices from Intel, ADATA, Toshiba,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critical infrastructure attacks and other factors. Our reliance on a limited number of suppliers involves several additional risks, including:</w:t>
      </w:r>
    </w:p>
    <w:p>
      <w:pPr>
        <w:spacing w:after="0" w:line="210"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8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Additionally, any perception that our products have product vulnerabilities, whether or not accurate, may cause reputation harm.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update end-customers’ Fortinet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92" w:lineRule="exact"/>
        <w:rPr>
          <w:sz w:val="20"/>
          <w:szCs w:val="20"/>
          <w:color w:val="auto"/>
        </w:rPr>
      </w:pPr>
    </w:p>
    <w:p>
      <w:pPr>
        <w:ind w:left="1300" w:right="8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225"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inquiries or investigations that may be costly and harm our reputation and, in some instances, subject us to potential liability that is not contractually limited.</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0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22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Moreover, business models based on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vulnerabilities, viruses or security breaches or false identification of spam or spyware could adversely affect our business.</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2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the quality of our technical support services, and our failure to offer high-quality technical support services would have a material adverse effect on our sales and results of operations.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9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39"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 connect to customer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0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attempts to overload our servers with denial-of-service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in an effort to gain entry into our customers’ networks. These and other hacking efforts against us and our customers may be ongoing and may recur in the future. Although we take numerous measures and implement multiple layers of security to protect our networks and our customers’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2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addition, due to the COVID-19 pandemic, a substantial majority of our employees are temporarily working remotely, which may pose additional data security risks. For example, there has been an increase in phishing attempts and spam emails as well as social engineering attempts from hackers hoping to use the recent COVID-19 pandemic to their advantage. The risks described above could therefore be exacerbated by the COVID-19 pandemic.</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59"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12"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19"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18"/>
          <w:szCs w:val="18"/>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We have started construction on a second building adjacent to our headquarters as we expand our campus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products without compensating us.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10"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As two examples of the ongoing patent lawsuits against us, one such patent lawsuit by British Telecommunications plc was filed in federal court in Delaware in July 2018, and a second such lawsuit by Finjan, Inc. was filed in federal court in California in October 2018, and additional patent lawsuits have been filed against us since. Given this and the proliferation of lawsuits in our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39"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1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214"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costs of compliance with and the penalties for violations of the GDPR and CCPA, along with other burdens imposed by these regulations, may limit the use and adoption of our products and services and could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and damages,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39"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0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8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1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8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56"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21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and costs associated with writing off scrapped noncompliant inventory.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Circular Economy Action Plan, the European Commission amended the EU Waste Framework Directive (“WFD”) to include a number of measures related to waste prevention and recycling. Starting on January 5, 2021, we will be responsible for submitting product data to a database of hazardous substances known as the Substances of Concern In articles, as such and in complex objects (Products) database (the “SCIP database”). The SCIP database was established under the WFD and will be managed by the European Chemicals Agency. We expect to incur costs in order to comply with this new requirement.</w:t>
      </w:r>
    </w:p>
    <w:p>
      <w:pPr>
        <w:spacing w:after="0" w:line="21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20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could seriously harm our competitive position.</w:t>
      </w:r>
    </w:p>
    <w:p>
      <w:pPr>
        <w:spacing w:after="0" w:line="256"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For example, we acquired OPAQ in July 2020 and Panopta in December 2020. For any possible future acquisitions, we may not be successful in negotiating the terms of the acquisition or financing the acquisition. For both our prior and future acquisitions, we may not be successful in effectively integrating the acquired business, product, technology or IP and sales force into our existing business and operations.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IP,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IP could significantly divert management time and resources.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3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valuation of inventory, accounting for business combination, contingent liabilities and accounting for income taxes.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or exposure to additional tax liabilities.</w:t>
      </w:r>
    </w:p>
    <w:p>
      <w:pPr>
        <w:spacing w:after="0" w:line="256"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67"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52"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88" w:lineRule="exact"/>
        <w:rPr>
          <w:rFonts w:ascii="Times New Roman" w:cs="Times New Roman" w:eastAsia="Times New Roman" w:hAnsi="Times New Roman"/>
          <w:sz w:val="18"/>
          <w:szCs w:val="18"/>
          <w:color w:val="auto"/>
        </w:rPr>
      </w:pPr>
    </w:p>
    <w:p>
      <w:pPr>
        <w:ind w:left="1300" w:right="86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Internal Revenue Service (the “IRS”) and other tax authorities. We currently have ongoing tax audits in the United Kingdom, Canada and several other foreign jurisdictions. The focus of all of these audits is the allocation of profit between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consolidated financial statements and may materially affect our financial results.</w:t>
      </w:r>
    </w:p>
    <w:p>
      <w:pPr>
        <w:spacing w:after="0" w:line="21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Organisation for Economic Co-operation and Development (the “OECD”), an international association comprised of 37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2020, our internal controls over financial reporting were effective, we cannot predict the outcome of our testing in 2021 or future periods. We may incur additional expenses and commitment of management’s time in connection with further evaluations, both of which could materially increase our operating expenses and accordingly reduce our operating results.</w:t>
      </w:r>
    </w:p>
    <w:p>
      <w:pPr>
        <w:spacing w:after="0" w:line="21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8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w:t>
      </w:r>
    </w:p>
    <w:p>
      <w:pPr>
        <w:spacing w:after="0" w:line="229"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during 2020, the closing price of our common stock ranged from $75.70 to $152.15 per share.</w:t>
      </w:r>
    </w:p>
    <w:p>
      <w:pPr>
        <w:spacing w:after="0" w:line="208" w:lineRule="exact"/>
        <w:rPr>
          <w:sz w:val="20"/>
          <w:szCs w:val="20"/>
          <w:color w:val="auto"/>
        </w:rPr>
      </w:pPr>
    </w:p>
    <w:p>
      <w:pPr>
        <w:ind w:right="160" w:firstLine="693"/>
        <w:spacing w:after="0" w:line="261"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20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our Repurchase Program (the “Repurchase Program”) could increase the volatility of the trading price of our common stock, could diminish our cash reserves, could occur at non-optimal prices and may not result in the most effective use of our capital.</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As of December 31, 2020, $1.01 billion remained available for future share repurchases under the Repurchase Program.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1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4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1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Economic uncertainty in various global markets caused by political instability and conflict and economic challenges caused by the COVID-19 pandemic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election year instability in the United States and trade disputes and tariffs, may negatively impact markets and cause weaker macro-economic conditions. The effects of these events may continue due to potential U.S. government shutdowns and the transition in administrations, and the United States’ ongoing trade disputes with China and other countries. The continuing effect of any or all of these events could adversely impact demand for our products, harm our operations and weaken our financial results.</w:t>
      </w:r>
    </w:p>
    <w:p>
      <w:pPr>
        <w:spacing w:after="0" w:line="212" w:lineRule="exact"/>
        <w:rPr>
          <w:sz w:val="20"/>
          <w:szCs w:val="20"/>
          <w:color w:val="auto"/>
        </w:rPr>
      </w:pPr>
    </w:p>
    <w:p>
      <w:pPr>
        <w:jc w:val="both"/>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the risks of earthquakes, fire, power outages, typhoon, floods, virus outbreaks and other broad health-related challenges and other catastrophic events, and to interruption by manmade problems such as civil unrest, labor disruption, critical infrastructure attack and terrorism.</w:t>
      </w:r>
    </w:p>
    <w:p>
      <w:pPr>
        <w:spacing w:after="0" w:line="16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and reductions in billings and revenues, and the COVID-19 pandemic will negatively impact our ability to manufacture and ship products,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possibly in a material way, and could result in delays and reductions in billings and revenues, also possibly in a material way.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such as changes to standards related to accounting for credit losses on financial instruments (which became effective for us on January 1, 2020),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equity investments are required to be measured at fair value (with subsequent changes in fair value recognized in net income), which may increase the volatility of our earnings.</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corporate headquarters is located in Sunnyvale, California and comprises approximately 160,000 square feet of building space on ten acres of land. In 2019, we began construction on a second building of approximately 170,000 square feet that will serve as the cornerstone of our headquarters campus. Along with our corporate headquarters, as of December 31, 2020, we also own approximately 200,000 square feet in Union City, California used as a manufacturing assembly and operations center; approximately 375,000 square feet of office and building space in Burnaby and Ottawa, Canada used for operations, support and research and development work; and 40,000 square feet of office space in Valbonne, France predominantly used as a sales and support office.</w:t>
      </w:r>
    </w:p>
    <w:p>
      <w:pPr>
        <w:spacing w:after="0" w:line="21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maintain additional leased offices throughout the world, predominantly used as sales and support offices. We believe that our existing properties are sufficient and suitable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operating expenses and capital expenditures in connection with such new or expanded facilities.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geographical location of our property and equipment, see Note 17 to our consolidated financial statements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“FTNT.”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February 12, 2021, there were 43 holders of record of our common stock. A substantially greater number of holders of our common stock are “street name” or beneficial holders, whose shares are held by banks, brokers and other financial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2021 Annual Meeting of Stockholders to be filed with the Securities and Exchange Commission (the “SEC”) within 120 days after the end of the fiscal year covered by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This performance graph shall not be deemed “filed” for purposes of Section 18 of the Securities and Exchange Act of 1934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“Exchange Act”), or incorporated by reference into any filing of Fortinet under the Securities Act of 1933, as amended (the “Securities Act”), or the Exchange Act, except as shall be expressly set forth by specific reference in such filing.</w:t>
      </w:r>
    </w:p>
    <w:p>
      <w:pPr>
        <w:spacing w:after="0" w:line="20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five-year total return for our common stock, the Standard &amp; Poor’s 500 Stock Index (the “S&amp;P 500 Index”) and the NASDAQ Computer Index. Such returns are based on historical results and are not intended to suggest future performance. Data for the S&amp;P 500 Index and the NASDAQ Computer Index assume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Among Fortinet, Inc., the S&amp;P 500 Index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63590" cy="2820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3590"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December</w:t>
            </w:r>
          </w:p>
        </w:tc>
      </w:tr>
      <w:tr>
        <w:trPr>
          <w:trHeight w:val="214"/>
        </w:trPr>
        <w:tc>
          <w:tcPr>
            <w:tcW w:w="3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2015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Fortinet,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NASDAQ Computer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bl>
    <w:p>
      <w:pPr>
        <w:spacing w:after="0" w:line="126" w:lineRule="exact"/>
        <w:rPr>
          <w:sz w:val="20"/>
          <w:szCs w:val="20"/>
          <w:color w:val="auto"/>
        </w:rPr>
      </w:pPr>
    </w:p>
    <w:p>
      <w:pPr>
        <w:ind w:left="460" w:right="760" w:hanging="2"/>
        <w:spacing w:after="0" w:line="241" w:lineRule="auto"/>
        <w:tabs>
          <w:tab w:leader="none" w:pos="56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$100 was invested on December 31, 2015 in stock or index, including reinvestment of dividends. Stockholder returns over the indicated period should not be considered indicative of future stockholder returns.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In January 2016, our board of directors approved our Share Repurchase Program (the “Repurchase Program”), which authorized the repurchase of up to $200.0 million of our outstanding common stock through December 31, 2017. From 2016 through 2019, our board of directors approved increases to our Repurchase Program by various amounts, bringing the aggregated amount authorized to $2.5 billion. In July 2020, our board of directors approved a $500.0 million increase and extended the term to February 28, 2022, bringing the aggregate amount authorized to be repurchased to $3.0 billion.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Since its inception, we have repurchased 32.5 million shares of our common stock under the Repurchase Program for an aggregate purchase price of $2.0 billion.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we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(in millions, except per share amounts):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1"/>
                <w:szCs w:val="1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1"/>
                <w:szCs w:val="11"/>
                <w:color w:val="auto"/>
              </w:rPr>
            </w:pPr>
          </w:p>
        </w:tc>
        <w:tc>
          <w:tcPr>
            <w:tcW w:w="1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09"/>
        </w:trPr>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60" w:type="dxa"/>
            <w:vAlign w:val="bottom"/>
            <w:vMerge w:val="restart"/>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9"/>
                <w:szCs w:val="9"/>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October 31, 2020</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0" w:type="dxa"/>
            <w:vAlign w:val="bottom"/>
          </w:tcPr>
          <w:p>
            <w:pPr>
              <w:spacing w:after="0"/>
              <w:rPr>
                <w:sz w:val="1"/>
                <w:szCs w:val="1"/>
                <w:color w:val="auto"/>
              </w:rPr>
            </w:pPr>
          </w:p>
        </w:tc>
      </w:tr>
      <w:tr>
        <w:trPr>
          <w:trHeight w:val="229"/>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November 30, 2020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December 31, 2020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0" w:type="dxa"/>
            <w:vAlign w:val="bottom"/>
          </w:tcPr>
          <w:p>
            <w:pPr>
              <w:spacing w:after="0"/>
              <w:rPr>
                <w:sz w:val="1"/>
                <w:szCs w:val="1"/>
                <w:color w:val="auto"/>
              </w:rPr>
            </w:pPr>
          </w:p>
        </w:tc>
      </w:tr>
      <w:tr>
        <w:trPr>
          <w:trHeight w:val="223"/>
        </w:trPr>
        <w:tc>
          <w:tcPr>
            <w:tcW w:w="4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selected consolidated financial data and should be read in conjunction with the section titled “Management’s Discussion and Analysis of Financial Condition and Results of Operations” and “Financial Statements and Supplementary Data,” and other financial data included elsewhere in this Annual Report on Form 10-K. Our historical results of operations are not indicative of our future results of operations.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69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2"/>
        </w:trPr>
        <w:tc>
          <w:tcPr>
            <w:tcW w:w="4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6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2019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2"/>
              <w:spacing w:after="0" w:line="213" w:lineRule="exact"/>
              <w:rPr>
                <w:sz w:val="20"/>
                <w:szCs w:val="20"/>
                <w:color w:val="auto"/>
              </w:rPr>
            </w:pPr>
            <w:r>
              <w:rPr>
                <w:rFonts w:ascii="Times New Roman" w:cs="Times New Roman" w:eastAsia="Times New Roman" w:hAnsi="Times New Roman"/>
                <w:sz w:val="16"/>
                <w:szCs w:val="16"/>
                <w:b w:val="1"/>
                <w:bCs w:val="1"/>
                <w:color w:val="auto"/>
                <w:w w:val="91"/>
              </w:rPr>
              <w:t xml:space="preserve">2018 </w:t>
            </w:r>
            <w:r>
              <w:rPr>
                <w:rFonts w:ascii="Times New Roman" w:cs="Times New Roman" w:eastAsia="Times New Roman" w:hAnsi="Times New Roman"/>
                <w:sz w:val="21"/>
                <w:szCs w:val="21"/>
                <w:b w:val="1"/>
                <w:bCs w:val="1"/>
                <w:color w:val="auto"/>
                <w:w w:val="91"/>
                <w:vertAlign w:val="superscript"/>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1"/>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2017 </w:t>
            </w:r>
            <w:r>
              <w:rPr>
                <w:rFonts w:ascii="Times New Roman" w:cs="Times New Roman" w:eastAsia="Times New Roman" w:hAnsi="Times New Roman"/>
                <w:sz w:val="21"/>
                <w:szCs w:val="21"/>
                <w:b w:val="1"/>
                <w:bCs w:val="1"/>
                <w:color w:val="auto"/>
                <w:vertAlign w:val="superscript"/>
              </w:rPr>
              <w:t>(2)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1"/>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2016 </w:t>
            </w:r>
            <w:r>
              <w:rPr>
                <w:rFonts w:ascii="Times New Roman" w:cs="Times New Roman" w:eastAsia="Times New Roman" w:hAnsi="Times New Roman"/>
                <w:sz w:val="21"/>
                <w:szCs w:val="21"/>
                <w:b w:val="1"/>
                <w:bCs w:val="1"/>
                <w:color w:val="auto"/>
                <w:vertAlign w:val="superscript"/>
              </w:rPr>
              <w:t>(2)</w:t>
            </w:r>
          </w:p>
        </w:tc>
      </w:tr>
      <w:tr>
        <w:trPr>
          <w:trHeight w:val="247"/>
        </w:trPr>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4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0"/>
        </w:trPr>
        <w:tc>
          <w:tcPr>
            <w:tcW w:w="4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375"/>
        </w:trPr>
        <w:tc>
          <w:tcPr>
            <w:tcW w:w="4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40"/>
        </w:trPr>
        <w:tc>
          <w:tcPr>
            <w:tcW w:w="4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60"/>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2019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2"/>
              <w:spacing w:after="0" w:line="240" w:lineRule="exact"/>
              <w:rPr>
                <w:sz w:val="20"/>
                <w:szCs w:val="20"/>
                <w:color w:val="auto"/>
              </w:rPr>
            </w:pPr>
            <w:r>
              <w:rPr>
                <w:rFonts w:ascii="Times New Roman" w:cs="Times New Roman" w:eastAsia="Times New Roman" w:hAnsi="Times New Roman"/>
                <w:sz w:val="16"/>
                <w:szCs w:val="16"/>
                <w:b w:val="1"/>
                <w:bCs w:val="1"/>
                <w:color w:val="auto"/>
                <w:w w:val="91"/>
              </w:rPr>
              <w:t xml:space="preserve">2018 </w:t>
            </w:r>
            <w:r>
              <w:rPr>
                <w:rFonts w:ascii="Times New Roman" w:cs="Times New Roman" w:eastAsia="Times New Roman" w:hAnsi="Times New Roman"/>
                <w:sz w:val="21"/>
                <w:szCs w:val="21"/>
                <w:b w:val="1"/>
                <w:bCs w:val="1"/>
                <w:color w:val="auto"/>
                <w:w w:val="91"/>
                <w:vertAlign w:val="superscript"/>
              </w:rPr>
              <w:t>(1)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1"/>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2017 </w:t>
            </w:r>
            <w:r>
              <w:rPr>
                <w:rFonts w:ascii="Times New Roman" w:cs="Times New Roman" w:eastAsia="Times New Roman" w:hAnsi="Times New Roman"/>
                <w:sz w:val="21"/>
                <w:szCs w:val="21"/>
                <w:b w:val="1"/>
                <w:bCs w:val="1"/>
                <w:color w:val="auto"/>
                <w:vertAlign w:val="superscript"/>
              </w:rPr>
              <w:t>(2)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1"/>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2016 </w:t>
            </w:r>
            <w:r>
              <w:rPr>
                <w:rFonts w:ascii="Times New Roman" w:cs="Times New Roman" w:eastAsia="Times New Roman" w:hAnsi="Times New Roman"/>
                <w:sz w:val="21"/>
                <w:szCs w:val="21"/>
                <w:b w:val="1"/>
                <w:bCs w:val="1"/>
                <w:color w:val="auto"/>
                <w:vertAlign w:val="superscript"/>
              </w:rPr>
              <w:t>(2)</w:t>
            </w:r>
          </w:p>
        </w:tc>
      </w:tr>
      <w:tr>
        <w:trPr>
          <w:trHeight w:val="287"/>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w:t>
            </w: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r>
    </w:tbl>
    <w:p>
      <w:pPr>
        <w:spacing w:after="0" w:line="305" w:lineRule="exact"/>
        <w:rPr>
          <w:sz w:val="20"/>
          <w:szCs w:val="20"/>
          <w:color w:val="auto"/>
        </w:rPr>
      </w:pPr>
    </w:p>
    <w:p>
      <w:pPr>
        <w:ind w:firstLine="8"/>
        <w:spacing w:after="0"/>
        <w:tabs>
          <w:tab w:leader="none" w:pos="22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identified an immaterial error related to the commencement of revenue recognition for certain FortiCare support service contracts, which resulted in an understatement of revenue during the year ended December 31, 2019 and 2018, respectively. See Note 2 of our consolidated financial statements in Part II, Item 8 for further detail.</w:t>
      </w:r>
    </w:p>
    <w:p>
      <w:pPr>
        <w:spacing w:after="0" w:line="361" w:lineRule="exact"/>
        <w:rPr>
          <w:rFonts w:ascii="Times New Roman" w:cs="Times New Roman" w:eastAsia="Times New Roman" w:hAnsi="Times New Roman"/>
          <w:sz w:val="16"/>
          <w:szCs w:val="16"/>
          <w:color w:val="auto"/>
        </w:rPr>
      </w:pPr>
    </w:p>
    <w:p>
      <w:pPr>
        <w:ind w:right="400" w:firstLine="8"/>
        <w:spacing w:after="0" w:line="232" w:lineRule="auto"/>
        <w:tabs>
          <w:tab w:leader="none" w:pos="22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identified an immaterial error related to the commencement of revenue recognition for certain FortiCare support service contracts, which resulted in an understatement of revenue during the year ended December 31, 2017 and 2016, respectively. The following tables show the affected line items within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12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40" w:type="dxa"/>
            <w:vAlign w:val="bottom"/>
          </w:tcPr>
          <w:p>
            <w:pPr>
              <w:spacing w:after="0"/>
              <w:rPr>
                <w:sz w:val="13"/>
                <w:szCs w:val="13"/>
                <w:color w:val="auto"/>
              </w:rPr>
            </w:pPr>
          </w:p>
        </w:tc>
        <w:tc>
          <w:tcPr>
            <w:tcW w:w="10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Corrections</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Corrected</w:t>
            </w:r>
          </w:p>
        </w:tc>
        <w:tc>
          <w:tcPr>
            <w:tcW w:w="80" w:type="dxa"/>
            <w:vAlign w:val="bottom"/>
            <w:vMerge w:val="restart"/>
          </w:tcPr>
          <w:p>
            <w:pPr>
              <w:spacing w:after="0"/>
              <w:rPr>
                <w:sz w:val="13"/>
                <w:szCs w:val="13"/>
                <w:color w:val="auto"/>
              </w:rPr>
            </w:pPr>
          </w:p>
        </w:tc>
        <w:tc>
          <w:tcPr>
            <w:tcW w:w="12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40" w:type="dxa"/>
            <w:vAlign w:val="bottom"/>
          </w:tcPr>
          <w:p>
            <w:pPr>
              <w:spacing w:after="0"/>
              <w:rPr>
                <w:sz w:val="13"/>
                <w:szCs w:val="13"/>
                <w:color w:val="auto"/>
              </w:rPr>
            </w:pPr>
          </w:p>
        </w:tc>
        <w:tc>
          <w:tcPr>
            <w:tcW w:w="10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Corrections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As Corrected</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80" w:type="dxa"/>
            <w:vAlign w:val="bottom"/>
            <w:gridSpan w:val="9"/>
          </w:tcPr>
          <w:p>
            <w:pPr>
              <w:jc w:val="center"/>
              <w:ind w:left="793"/>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3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12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40" w:type="dxa"/>
            <w:vAlign w:val="bottom"/>
          </w:tcPr>
          <w:p>
            <w:pPr>
              <w:spacing w:after="0"/>
              <w:rPr>
                <w:sz w:val="13"/>
                <w:szCs w:val="13"/>
                <w:color w:val="auto"/>
              </w:rPr>
            </w:pPr>
          </w:p>
        </w:tc>
        <w:tc>
          <w:tcPr>
            <w:tcW w:w="10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Corrections</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Corrected</w:t>
            </w:r>
          </w:p>
        </w:tc>
        <w:tc>
          <w:tcPr>
            <w:tcW w:w="80" w:type="dxa"/>
            <w:vAlign w:val="bottom"/>
            <w:vMerge w:val="restart"/>
          </w:tcPr>
          <w:p>
            <w:pPr>
              <w:spacing w:after="0"/>
              <w:rPr>
                <w:sz w:val="13"/>
                <w:szCs w:val="13"/>
                <w:color w:val="auto"/>
              </w:rPr>
            </w:pPr>
          </w:p>
        </w:tc>
        <w:tc>
          <w:tcPr>
            <w:tcW w:w="12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40" w:type="dxa"/>
            <w:vAlign w:val="bottom"/>
          </w:tcPr>
          <w:p>
            <w:pPr>
              <w:spacing w:after="0"/>
              <w:rPr>
                <w:sz w:val="13"/>
                <w:szCs w:val="13"/>
                <w:color w:val="auto"/>
              </w:rPr>
            </w:pPr>
          </w:p>
        </w:tc>
        <w:tc>
          <w:tcPr>
            <w:tcW w:w="10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Corrections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As Corrected</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right="6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62"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duration and impact of the COVID-19 pandemic;</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of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460" w:hanging="644"/>
        <w:spacing w:after="0" w:line="284" w:lineRule="auto"/>
        <w:tabs>
          <w:tab w:leader="none" w:pos="129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macro-economic, geopolitical factors and other disruption on our manufacturing or sales, including the impact of the COVID-19 pandemic and other public health issues and natural disasters;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line="284"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proportion of our revenue that consists of our product and service revenue, and the mix of billings between products and services, and the duration of service contracts;</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our product innovation strategy;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effects of government regulation, tariffs and other related policies;</w:t>
      </w:r>
    </w:p>
    <w:p>
      <w:pPr>
        <w:spacing w:after="0" w:line="252" w:lineRule="exact"/>
        <w:rPr>
          <w:rFonts w:ascii="Times New Roman" w:cs="Times New Roman" w:eastAsia="Times New Roman" w:hAnsi="Times New Roman"/>
          <w:sz w:val="18"/>
          <w:szCs w:val="18"/>
          <w:color w:val="auto"/>
        </w:rPr>
      </w:pPr>
    </w:p>
    <w:p>
      <w:pPr>
        <w:ind w:left="1300" w:right="260" w:hanging="644"/>
        <w:spacing w:after="0" w:line="284"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sales productivity, functionality and value in our standalone and bundled subscription service offerings;</w:t>
      </w:r>
    </w:p>
    <w:p>
      <w:pPr>
        <w:spacing w:after="0" w:line="185" w:lineRule="exact"/>
        <w:rPr>
          <w:rFonts w:ascii="Times New Roman" w:cs="Times New Roman" w:eastAsia="Times New Roman" w:hAnsi="Times New Roman"/>
          <w:sz w:val="18"/>
          <w:szCs w:val="18"/>
          <w:color w:val="auto"/>
        </w:rPr>
      </w:pPr>
    </w:p>
    <w:p>
      <w:pPr>
        <w:jc w:val="both"/>
        <w:ind w:left="1300" w:right="60" w:hanging="644"/>
        <w:spacing w:after="0" w:line="261"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sales to businesses, service providers and government organizations, our ability to execute these sales and of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internal sales organization;</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w:t>
      </w:r>
    </w:p>
    <w:p>
      <w:pPr>
        <w:spacing w:after="0" w:line="225" w:lineRule="exact"/>
        <w:rPr>
          <w:rFonts w:ascii="Times New Roman" w:cs="Times New Roman" w:eastAsia="Times New Roman" w:hAnsi="Times New Roman"/>
          <w:sz w:val="18"/>
          <w:szCs w:val="18"/>
          <w:color w:val="auto"/>
        </w:rPr>
      </w:pPr>
    </w:p>
    <w:p>
      <w:pPr>
        <w:ind w:left="1300" w:right="60" w:hanging="644"/>
        <w:spacing w:after="0" w:line="284"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85" w:lineRule="exact"/>
        <w:rPr>
          <w:rFonts w:ascii="Times New Roman" w:cs="Times New Roman" w:eastAsia="Times New Roman" w:hAnsi="Times New Roman"/>
          <w:sz w:val="18"/>
          <w:szCs w:val="18"/>
          <w:color w:val="auto"/>
        </w:rPr>
      </w:pPr>
    </w:p>
    <w:p>
      <w:pPr>
        <w:ind w:left="1300" w:right="120" w:hanging="644"/>
        <w:spacing w:after="0" w:line="284"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and expectations related to acquisitions, including integration issues related to product plans and products, including the acquired technology;</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our operating expense will increase in absolute dollars during 2021;</w:t>
      </w:r>
    </w:p>
    <w:p>
      <w:pPr>
        <w:spacing w:after="0" w:line="252" w:lineRule="exact"/>
        <w:rPr>
          <w:rFonts w:ascii="Times New Roman" w:cs="Times New Roman" w:eastAsia="Times New Roman" w:hAnsi="Times New Roman"/>
          <w:sz w:val="18"/>
          <w:szCs w:val="18"/>
          <w:i w:val="1"/>
          <w:iCs w:val="1"/>
          <w:color w:val="auto"/>
        </w:rPr>
      </w:pPr>
    </w:p>
    <w:p>
      <w:pPr>
        <w:ind w:left="1300" w:right="80" w:hanging="644"/>
        <w:spacing w:after="0" w:line="284" w:lineRule="auto"/>
        <w:tabs>
          <w:tab w:leader="none" w:pos="129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estimates of a range of 2021 spending on our headquarters expansion project and of the anticipated completion timeline for the project;</w:t>
      </w:r>
    </w:p>
    <w:p>
      <w:pPr>
        <w:spacing w:after="0" w:line="252" w:lineRule="exact"/>
        <w:rPr>
          <w:rFonts w:ascii="Times New Roman" w:cs="Times New Roman" w:eastAsia="Times New Roman" w:hAnsi="Times New Roman"/>
          <w:sz w:val="18"/>
          <w:szCs w:val="18"/>
          <w:i w:val="1"/>
          <w:iCs w:val="1"/>
          <w:color w:val="auto"/>
        </w:rPr>
      </w:pPr>
    </w:p>
    <w:p>
      <w:pPr>
        <w:ind w:left="1300" w:right="260" w:hanging="644"/>
        <w:spacing w:after="0" w:line="284"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uncertain tax benefits and our effective domestic and global tax rates, and the impact of the Tax Cuts and Jobs Act (the “2017 Tax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Coronavirus Aid, Relief, and Economic Security Act (the “CARES Act”);</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spending related to real estate and other capital expenditures and to the impact on free cash flows;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statements regarding 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60" w:hanging="644"/>
        <w:spacing w:after="0" w:line="284"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for at least the next 12 months;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jc w:val="both"/>
        <w:ind w:right="340" w:firstLine="648"/>
        <w:spacing w:after="0" w:line="250" w:lineRule="auto"/>
        <w:rPr>
          <w:sz w:val="20"/>
          <w:szCs w:val="20"/>
          <w:color w:val="auto"/>
        </w:rPr>
      </w:pPr>
      <w:r>
        <w:rPr>
          <w:rFonts w:ascii="Times New Roman" w:cs="Times New Roman" w:eastAsia="Times New Roman" w:hAnsi="Times New Roman"/>
          <w:sz w:val="18"/>
          <w:szCs w:val="18"/>
          <w:color w:val="auto"/>
        </w:rPr>
        <w:t>Fortinet is a global leader in cybersecurity solutions provided to a wide variety of organizations, including enterprises, communication service providers, government organizations and small businesses. Our cybersecurity solutions are designed to provide broad visibility and segmentation of the digital attack surface through our integrated Fortinet Security Fabric platform, which features automated protection, detection and response.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focus areas of our business consist of:</w:t>
      </w:r>
    </w:p>
    <w:p>
      <w:pPr>
        <w:spacing w:after="0" w:line="275" w:lineRule="exact"/>
        <w:rPr>
          <w:sz w:val="20"/>
          <w:szCs w:val="20"/>
          <w:color w:val="auto"/>
        </w:rPr>
      </w:pPr>
    </w:p>
    <w:p>
      <w:pPr>
        <w:ind w:left="660" w:right="20" w:hanging="328"/>
        <w:spacing w:after="0" w:line="241"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Security-Driven Networking</w:t>
      </w:r>
      <w:r>
        <w:rPr>
          <w:rFonts w:ascii="Times New Roman" w:cs="Times New Roman" w:eastAsia="Times New Roman" w:hAnsi="Times New Roman"/>
          <w:sz w:val="18"/>
          <w:szCs w:val="18"/>
          <w:color w:val="auto"/>
        </w:rPr>
        <w:t>—We derive a majority of product sales from our FortiGate network security appliances. Our FortiGate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appliances include a broad set of built-in security and networking features and functionalities, including firewall, next-generation firewall, secure web gateway, secure sockets layer (“SSL”) inspection, software-defined wide area network (“SD-WAN”), Intrusion Prevention system(“IPS”), sandboxing, data leak prevention, virtual private network (“VPN”), switch and wireless controller and wide area network (“WAN”)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Units (“SPUs”) technology within our appliances, enabling us to add security and network functionality with minimal impact to network throughput performance.</w:t>
      </w:r>
    </w:p>
    <w:p>
      <w:pPr>
        <w:spacing w:after="0" w:line="208" w:lineRule="exact"/>
        <w:rPr>
          <w:rFonts w:ascii="Arial" w:cs="Arial" w:eastAsia="Arial" w:hAnsi="Arial"/>
          <w:sz w:val="22"/>
          <w:szCs w:val="22"/>
          <w:color w:val="auto"/>
        </w:rPr>
      </w:pPr>
    </w:p>
    <w:p>
      <w:pPr>
        <w:ind w:left="660" w:right="320" w:hanging="328"/>
        <w:spacing w:after="0" w:line="268" w:lineRule="auto"/>
        <w:tabs>
          <w:tab w:leader="none" w:pos="655"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Infrastructure Security</w:t>
      </w:r>
      <w:r>
        <w:rPr>
          <w:rFonts w:ascii="Times New Roman" w:cs="Times New Roman" w:eastAsia="Times New Roman" w:hAnsi="Times New Roman"/>
          <w:sz w:val="18"/>
          <w:szCs w:val="18"/>
          <w:color w:val="auto"/>
        </w:rPr>
        <w:t>—The Fortinet Security Fabric platform extends beyond the network to cover other attack vectors. Other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covered include teleworker and remote security solutions such as FortiAuthenticator, FortiClient and FortiToken, as well as Secure Access (Wi-Fi and switch).</w:t>
      </w:r>
    </w:p>
    <w:p>
      <w:pPr>
        <w:spacing w:after="0" w:line="223" w:lineRule="exact"/>
        <w:rPr>
          <w:rFonts w:ascii="Arial" w:cs="Arial" w:eastAsia="Arial" w:hAnsi="Arial"/>
          <w:sz w:val="18"/>
          <w:szCs w:val="18"/>
          <w:color w:val="auto"/>
        </w:rPr>
      </w:pPr>
    </w:p>
    <w:p>
      <w:pPr>
        <w:ind w:left="660" w:right="60" w:hanging="328"/>
        <w:spacing w:after="0" w:line="235"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Dynamic Cloud Security</w:t>
      </w:r>
      <w:r>
        <w:rPr>
          <w:rFonts w:ascii="Times New Roman" w:cs="Times New Roman" w:eastAsia="Times New Roman" w:hAnsi="Times New Roman"/>
          <w:sz w:val="18"/>
          <w:szCs w:val="18"/>
          <w:color w:val="auto"/>
        </w:rPr>
        <w:t>—We help customers connect securely to and across their individual, hybrid and multi-cloud environments by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through our virtual firewall and other software products and through integrated capabilities with major cloud platforms. Our public and private cloud security solutions, including virtual appliances and hosted solutions, extend the core capabilities of the Fortinet Security Fabric platform in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Our Cloud Security portfolio also includes securing applications, including email and web. Fortinet cloud security offerings are available for deployment in major public and private cloud environments, including Amazon Web Services, Microsoft Azure, Google Cloud, Oracle Cloud, Alibaba Cloud, IBM Cloud and VMWare Cloud. We also offer managed IPS and web application firewall (“WAF”) rules delivered by FortiGuard Labs as an overlay service to native security offerings offered by Amazon Web Services.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 w:hanging="328"/>
        <w:spacing w:after="0" w:line="259" w:lineRule="auto"/>
        <w:tabs>
          <w:tab w:leader="none" w:pos="655"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Endpoint Protection, Internet of Things (“IoT”) and Operational Technology (“OT”) Security</w:t>
      </w:r>
      <w:r>
        <w:rPr>
          <w:rFonts w:ascii="Times New Roman" w:cs="Times New Roman" w:eastAsia="Times New Roman" w:hAnsi="Times New Roman"/>
          <w:sz w:val="18"/>
          <w:szCs w:val="18"/>
          <w:color w:val="auto"/>
        </w:rPr>
        <w:t>—We protect end-customers from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threats that target their devices and the data that reside on them through our advanced endpoint solutions that provide core endpoint protection, advanced threat protection, incident monitoring, and response. Additionally, the proliferation of IoT and OT devices has generated new opportunities for us to grow our business. We offer network access control solutions that provide visibility, control and automated event responses in order to secure IoT devices.</w:t>
      </w:r>
    </w:p>
    <w:p>
      <w:pPr>
        <w:spacing w:after="0" w:line="205" w:lineRule="exact"/>
        <w:rPr>
          <w:rFonts w:ascii="Arial" w:cs="Arial" w:eastAsia="Arial" w:hAnsi="Arial"/>
          <w:sz w:val="18"/>
          <w:szCs w:val="18"/>
          <w:color w:val="auto"/>
        </w:rPr>
      </w:pPr>
    </w:p>
    <w:p>
      <w:pPr>
        <w:ind w:left="660" w:right="20" w:hanging="328"/>
        <w:spacing w:after="0" w:line="274" w:lineRule="auto"/>
        <w:tabs>
          <w:tab w:leader="none" w:pos="655"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7"/>
          <w:szCs w:val="17"/>
          <w:b w:val="1"/>
          <w:bCs w:val="1"/>
          <w:i w:val="1"/>
          <w:iCs w:val="1"/>
          <w:color w:val="auto"/>
        </w:rPr>
        <w:t>AI-Driven Security Operations</w:t>
      </w:r>
      <w:r>
        <w:rPr>
          <w:rFonts w:ascii="Times New Roman" w:cs="Times New Roman" w:eastAsia="Times New Roman" w:hAnsi="Times New Roman"/>
          <w:sz w:val="17"/>
          <w:szCs w:val="17"/>
          <w:color w:val="auto"/>
        </w:rPr>
        <w:t>—We develop and provide Artificial Intelligence (“AI”) driven security operations solutions, including FortiGuard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security subscription services, endpoint detection and response, and our security orchestration, automation and response (“SOAR”) capabilities and solutions, that can be applied across the entire Fortinet Security Fabric platform. These solutions deliver intelligence and insights.</w:t>
      </w:r>
    </w:p>
    <w:p>
      <w:pPr>
        <w:spacing w:after="0" w:line="18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security solutions, our customers may purchase FortiGuard and other security subscription services to receive threat intelligence updates and protection updates delivered by FortiGuard Labs, FortiCare technical support services and the support of TAMs, REs and professional service consultants for implementations or training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Correction of Prior Period Financial Data</w:t>
      </w:r>
    </w:p>
    <w:p>
      <w:pPr>
        <w:spacing w:after="0" w:line="25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discussed further in Note 2 of the notes to consolidated financial statements included in Part II, Item 8 of this Annual Report on Form 10-K, we identified an immaterial error related to the commencement of revenue recognition for certain FortiCare support service contracts, which resulted in an understatement of revenue during the years ended 2019 and 2018, respectively.</w:t>
      </w:r>
    </w:p>
    <w:p>
      <w:pPr>
        <w:spacing w:after="0" w:line="20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correction of this error resulted in increases to service revenue, gross profit and operating income of $6.8 million and $3.4 million for the year ended 2019 and 2018, respectively. Net income increased by $5.2 million and $2.7 million for the year ended 2019 and 2018, respectively. This resulted in an increase to diluted net income per share of $0.03 and $0.01 for the year ended 2019 and 2018, respectively.</w:t>
      </w:r>
    </w:p>
    <w:p>
      <w:pPr>
        <w:spacing w:after="0" w:line="20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evaluated the effect of this correction on the previous results of operations and determined that it did not materially impact any trends previously disclosed. This correction did not impact net cash provided by operating activities, billings or free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56" w:lineRule="exact"/>
        <w:rPr>
          <w:sz w:val="20"/>
          <w:szCs w:val="20"/>
          <w:color w:val="auto"/>
        </w:rPr>
      </w:pPr>
    </w:p>
    <w:p>
      <w:pPr>
        <w:ind w:left="660" w:right="10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$2.59 billion in 2020, an increase of 20% compared to $2.16 billion in 2019. Product revenue was $916.4 million in 2020, an increase of 16% compared to $788.5 million in 2019. Service revenue was $1.68 billion in 2020, an increase of 22% compared to $1.37 billion in 2019.</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$2.02 billion in 2020, an increase of 22% compared to $1.66 billion in 2019.</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operating income of $531.8 million in 2020, an increase of 52% compared to $351.0 million in 2019. Operating income for 2020 included gains on an IP matter of $40.2 million.</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investments were $1.96 billion as of December 31, 2020, a decrease of $254.3 million, or 12%, from December 31, 2019.</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we repurchased 11.7 million shares of common stock under the Repurchase Program for an aggregate purchase price of $1.08 billion. In 2019, we repurchased 1.9 million shares of common stock for a total purchase price of $140.9 million.</w:t>
      </w:r>
    </w:p>
    <w:p>
      <w:pPr>
        <w:spacing w:after="0" w:line="188"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$2.61 billion as of December 31, 2020, an increase of $496.2 million, or 24%, from December 31, 2019</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Short-term deferred revenue was $1.39 billion as of December 31, 2020, an increase of $237.0 million, or 21%, from December 31, 2019.</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$1.08 billion in 2020, an increase of $275.7 million, or 34%,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revenue growth was driven by both product and service revenue. On a geographic basis, revenue continues to be diversified globally, which remains a key strength of our business. In 2020, the Americas region, the Europe, Middle East and Africa (“EMEA”) region and the Asia Pacific (“APAC”) region contributed 42%, 38% and 20% of our total revenue, respectively, and increased by 17%, 21% and 23% compared to 2019, respectively.</w:t>
      </w:r>
    </w:p>
    <w:p>
      <w:pPr>
        <w:spacing w:after="0" w:line="203"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color w:val="auto"/>
        </w:rPr>
        <w:t>Product revenue grew 16% in 2020. We experienced revenue growth across several of our hardware and software products, including SD-WAN and teleworker and remote security solutions. Service revenue growth of 22% in 2020 was driven by the strength of our FortiGuard and other security subscription revenue and FortiGate technical support and other service revenue, which both grew 22% in 2020.</w:t>
      </w:r>
    </w:p>
    <w:p>
      <w:pPr>
        <w:spacing w:after="0" w:line="1"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18"/>
          <w:szCs w:val="18"/>
          <w:color w:val="auto"/>
        </w:rPr>
        <w:t>Our billings were diversified on a geographic basis. In 2020, approximately 50% of our billings in the aggregate were from over 80 countries that individually contributed less than 3% of our billings.</w:t>
      </w:r>
    </w:p>
    <w:p>
      <w:pPr>
        <w:spacing w:after="0" w:line="208"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During the fourth quarter of 2020, we acquired Panopta Holdings LLC (“ Panopta”) to provide a platform for monitoring the health and performance of network and IT infrastructure. During the third quarter of 2020, we acquired OPAQ Networks, Inc. (“OPAQ”) to further enhance the Fortinet Security Fabric platform by providing enterprises with the zero trust network access SASE cloud solution. The impact of these acquisitions were not material to our consolidated financial statements.</w:t>
      </w:r>
    </w:p>
    <w:p>
      <w:pPr>
        <w:spacing w:after="0" w:line="208"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In 2020, we recognized gains of $40.2 million on an IP matter in connection with a mutual covenant-no-to-sue and release agreement with a competitor in the network security industry. Excluding the gains on the IP matter, operating expenses as a percentage of revenue decreased by 1.3 percentage points compared to 2019. Headcount increased by 16% to 8,238 employees and contractors as of December 31, 2020, up from 7,082 as of December 31,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Update</w:t>
      </w:r>
    </w:p>
    <w:p>
      <w:pPr>
        <w:spacing w:after="0" w:line="256" w:lineRule="exact"/>
        <w:rPr>
          <w:sz w:val="20"/>
          <w:szCs w:val="20"/>
          <w:color w:val="auto"/>
        </w:rPr>
      </w:pPr>
    </w:p>
    <w:p>
      <w:pPr>
        <w:ind w:right="220" w:firstLine="405"/>
        <w:spacing w:after="0" w:line="242" w:lineRule="auto"/>
        <w:rPr>
          <w:sz w:val="20"/>
          <w:szCs w:val="20"/>
          <w:color w:val="auto"/>
        </w:rPr>
      </w:pPr>
      <w:r>
        <w:rPr>
          <w:rFonts w:ascii="Times New Roman" w:cs="Times New Roman" w:eastAsia="Times New Roman" w:hAnsi="Times New Roman"/>
          <w:sz w:val="18"/>
          <w:szCs w:val="18"/>
          <w:color w:val="212529"/>
        </w:rPr>
        <w:t>The United States and the global community we serve are facing unprecedented challenges posed by the COVID-19 pandemic. In response to the pandemic, we have taken a number of actions to protect our employees, including restricting travel and directing most of our employees to work from home. Where onsite work is permitted, we have implemented measures such as staggered work shifts, social distancing, the use of face coverings, health safety awareness training and frequent disinfection of shared spaces. We have implemented our readiness plans, which include steps to maintain critical internet infrastructure with many employees working remotely.</w:t>
      </w:r>
    </w:p>
    <w:p>
      <w:pPr>
        <w:spacing w:after="0" w:line="212"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212529"/>
        </w:rPr>
        <w:t>We are also providing free online information technology security training for the public, aimed at helping high school and college students and professionals augment their security skill sets to open career opportunities and to help narrow the security skills gap. As of December 31, 2020, there have been over 800,000 registrations for our free online trainings since we launched the program. We will continue to provide free online trainings in 2021.</w:t>
      </w:r>
    </w:p>
    <w:p>
      <w:pPr>
        <w:spacing w:after="0" w:line="18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212529"/>
        </w:rPr>
        <w:t>While the broader implications of the COVID-19 pandemic on our employees and overall financial performance remain uncertain, we have seen certain impacts on our business and operations, results of operations, financial condition, cash flows, liquidity and capital and financial resources as of and during the year ended December 31, 2020. Conversely, some aspects of our business do not appear to have been significantly affected. During the year ended December 31, 2020, we have observed the following:</w:t>
      </w:r>
    </w:p>
    <w:p>
      <w:pPr>
        <w:spacing w:after="0" w:line="207" w:lineRule="exact"/>
        <w:rPr>
          <w:sz w:val="20"/>
          <w:szCs w:val="20"/>
          <w:color w:val="auto"/>
        </w:rPr>
      </w:pPr>
    </w:p>
    <w:p>
      <w:pPr>
        <w:ind w:left="660" w:right="180" w:hanging="328"/>
        <w:spacing w:after="0" w:line="261" w:lineRule="auto"/>
        <w:tabs>
          <w:tab w:leader="none" w:pos="655" w:val="left"/>
        </w:tabs>
        <w:numPr>
          <w:ilvl w:val="0"/>
          <w:numId w:val="3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In most countries, our employees ability to travel was reduced. In-person sales and marketing events or meetings that would normally have been held were canceled, postponed or converted into virtual events. As a result, expenses related to travel and marketing events decreased significantly. To the extent that it becomes safe for our employees to travel and for us to hold or attend marketing events, these expenses may increase in the future, although we cannot predict if or when such expenses will increase or return to pre-pandemic levels.</w:t>
      </w:r>
    </w:p>
    <w:p>
      <w:pPr>
        <w:spacing w:after="0" w:line="206" w:lineRule="exact"/>
        <w:rPr>
          <w:rFonts w:ascii="Times New Roman" w:cs="Times New Roman" w:eastAsia="Times New Roman" w:hAnsi="Times New Roman"/>
          <w:sz w:val="18"/>
          <w:szCs w:val="18"/>
          <w:color w:val="212529"/>
        </w:rPr>
      </w:pPr>
    </w:p>
    <w:p>
      <w:pPr>
        <w:ind w:left="660" w:right="360" w:hanging="328"/>
        <w:spacing w:after="0" w:line="289" w:lineRule="auto"/>
        <w:tabs>
          <w:tab w:leader="none" w:pos="6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performing additional credit review of our existing customers, including obtained credit reports and reviewing their latest available statements of financial position, we increased the allowance of credit losses for certain accounts receivable. The allowance for credit losses was $2.5 million as of December 31, 2020. Provisions, write-offs and recoveries were not material during the year ended December 31, 2020.</w:t>
      </w:r>
    </w:p>
    <w:p>
      <w:pPr>
        <w:spacing w:after="0" w:line="184"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offered payment terms in excess of our contractual agreements to certain distributor customers, which has resulted in an increase to the average collection period of our trade receivables. As of December 31, 2020, 97% of our outstanding trade accounts receivable was due to be collected during the first quarter of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10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and geographic regions in which we experienced the fastest billings growth in the fourth quarter of 2020, as compared to the fourth quarter of 2019, were countries and geographic regions in which the COVID-19 pandemic is generally considered to have had a comparatively shorter or less severe impact on the local population and economy during the quarter.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noted that, for some of our customers, sales cycles appear to have lengthened, though it is unclear whether this trend will persist.</w:t>
      </w:r>
    </w:p>
    <w:p>
      <w:pPr>
        <w:spacing w:after="0" w:line="252"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average service contract duration increased by approximately two months in the fourth quarter of 2020 as compared to the fourth quarter of 2019.</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mitigate supply chain risk and in anticipation of fourth-quarter demand, we have increased our on-hand stock of certain products.</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on investment-grade debt has decreased, and while the risk of credit losses on our investments and cash equivalents has not changed significantly, as the debt securities in our portfolio have matured, they have been replaced by securities with lower effective interest rates. This has contributed to a decrease in our interest income during the year ended December 31, 2020, compared to the same periods last year.</w:t>
      </w:r>
    </w:p>
    <w:p>
      <w:pPr>
        <w:spacing w:after="0" w:line="202"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CARES Act, we have deferred the deposit and payment of our employer’s share of Social Security taxes. This did not materially affect net cash provided by operating activities during the period.</w:t>
      </w:r>
    </w:p>
    <w:p>
      <w:pPr>
        <w:spacing w:after="0" w:line="18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212529"/>
        </w:rPr>
        <w:t>T</w:t>
      </w:r>
      <w:r>
        <w:rPr>
          <w:rFonts w:ascii="Times New Roman" w:cs="Times New Roman" w:eastAsia="Times New Roman" w:hAnsi="Times New Roman"/>
          <w:sz w:val="18"/>
          <w:szCs w:val="18"/>
          <w:color w:val="000000"/>
        </w:rPr>
        <w:t>hrough the filing of this Annual Report on Form 10-K, t</w:t>
      </w:r>
      <w:r>
        <w:rPr>
          <w:rFonts w:ascii="Times New Roman" w:cs="Times New Roman" w:eastAsia="Times New Roman" w:hAnsi="Times New Roman"/>
          <w:sz w:val="18"/>
          <w:szCs w:val="18"/>
          <w:color w:val="212529"/>
        </w:rPr>
        <w:t>here have been no material changes to the trends described above. Going forward, however, the situation is uncertain, rapidly changing and hard to predict, and the COVID-19 pandemic may have a material negative impact on our future periods. If we experience significant changes in our billings growth rates, it will impact product revenue in the current quarter and FortiGuard and FortiCare service revenues in subsequent quarters, as we sell annual and multi-year service contracts that are recognized ratably over the contractual service term. In addition, the broader implications of the pandemic on our business and operations and our financial results, including the extent to which the effects of the pandemic will impact future results and growth in the cybersecurity industry, remain uncertain. The duration and severity of the economic downturn from the pandemic may negatively impact our business and operations, results of operations, financial condition, cash flows, liquidity and capital and financial resources in a material way. As a result, the effects of the pandemic may not be fully reflected in our results of operations until future periods. For further discussion, see Part I, Item 1A of this Annual Report on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56" w:lineRule="exact"/>
        <w:rPr>
          <w:sz w:val="20"/>
          <w:szCs w:val="20"/>
          <w:color w:val="auto"/>
        </w:rPr>
      </w:pPr>
    </w:p>
    <w:p>
      <w:pPr>
        <w:ind w:right="260" w:firstLine="648"/>
        <w:spacing w:after="0"/>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service providers and managed security service providers (“MSSPs”), who, in turn, sell to end-customers. At times, we also sell directly to large service providers and major systems integrators who may sell to our end-customers or use our products and services to provided hosted solutions to other enterprises. Our end-customers are located in over 80 countries and include small, medium and large enterprises and government organizations across a wide range of industries, including telecommunications, government, financial services, retail, technology, education, manufacturing and healthcare. An end-customer deployment may involve as few as one or as many as thousands of appliances and other Fortinet Security Fabric platform products, depending on the end-customer’s size and security requirements.</w:t>
      </w:r>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offer our products through major cloud providers, and have recognized revenue on a usage basis from Amazon Web Services, Microsoft Azure, Google Cloud, Oracle Cloud, Alibaba Cloud and IBM Cloud. We have also recognized revenue from customers who deploy our products in a bring-your-own-license (“BYOL”) arrangement in private clouds or at cloud providers. In a BYOL arrangement, a customer purchases a software license from us through our channel partners and deploys the software in a cloud provider’s environment. Similarly, customers may purchase such a license from us and deploy in third-party clouds or in their private cloud.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customers purchase our hardware products and software licenses, as well as our FortiGuard and other security subscription and FortiCare technical support services. We generally invoice at the time of our sale for the total price of the products and security and technical support services. Standard payment terms are generally no more than 60 days, though, as noted in the COVID-19 Update above, we have recently offered extended payment terms to certain distributor customers.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 Components of Operating Results,” and we discuss net cash provided by operating activities below under “—Liquidity and Capital Resources.” Deferred revenue, billings (non-GAAP), and free cash flow (non-GAAP) are discussed immediately below the following table.</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72"/>
              <w:spacing w:after="0"/>
              <w:rPr>
                <w:sz w:val="20"/>
                <w:szCs w:val="20"/>
                <w:color w:val="auto"/>
              </w:rPr>
            </w:pPr>
            <w:r>
              <w:rPr>
                <w:rFonts w:ascii="Times New Roman" w:cs="Times New Roman" w:eastAsia="Times New Roman" w:hAnsi="Times New Roman"/>
                <w:sz w:val="16"/>
                <w:szCs w:val="16"/>
                <w:b w:val="1"/>
                <w:bCs w:val="1"/>
                <w:color w:val="auto"/>
              </w:rPr>
              <w:t>Year Ended or As of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6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2,605.3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1,666.8</w:t>
            </w: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(non-GAAP)</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2,153.3</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1,083.7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r>
    </w:tbl>
    <w:p>
      <w:pPr>
        <w:spacing w:after="0" w:line="61"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 and FortiCare technical support service contracts, which is recognized as revenue ratably over the contractual service period. We monitor our deferred revenue balance, deferred revenue growth and the mix of short-term and long-term deferred revenue because deferred revenue represents a significant portion of free cash flow and of revenue to be recognized in future periods. Deferred revenue was $2.61 billion as of December 31, 2020, an increase of $496.2 million, or 24%, from December 31, 2019</w:t>
      </w:r>
      <w:r>
        <w:rPr>
          <w:rFonts w:ascii="Times New Roman" w:cs="Times New Roman" w:eastAsia="Times New Roman" w:hAnsi="Times New Roman"/>
          <w:sz w:val="18"/>
          <w:szCs w:val="18"/>
          <w:color w:val="0000FF"/>
        </w:rPr>
        <w:t>.</w:t>
      </w:r>
    </w:p>
    <w:p>
      <w:pPr>
        <w:spacing w:after="0" w:line="20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generally accepted accounting principles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plus the change in deferred revenue from the beginning to the end of the period and adjustments to the deferred revenue balance due to adoption of Financial Accounting Standards Board (“FASB”) Topic 606, Revenue from Contracts with Customers (“Topic 606”),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$3.09 billion for 2020, an increase of 19% compared to $2.60 billion in 2019.</w:t>
      </w:r>
    </w:p>
    <w:p>
      <w:pPr>
        <w:spacing w:after="0" w:line="21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0" w:type="dxa"/>
            <w:vAlign w:val="bottom"/>
            <w:gridSpan w:val="2"/>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2,594.4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7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Deferred revenue adjustment due to adoption of Topic 606</w:t>
            </w: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combinations</w:t>
            </w:r>
          </w:p>
        </w:tc>
        <w:tc>
          <w:tcPr>
            <w:tcW w:w="7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780" w:type="dxa"/>
            <w:vAlign w:val="bottom"/>
          </w:tcPr>
          <w:p>
            <w:pPr>
              <w:spacing w:after="0"/>
              <w:rPr>
                <w:sz w:val="19"/>
                <w:szCs w:val="19"/>
                <w:color w:val="auto"/>
              </w:rPr>
            </w:pPr>
          </w:p>
        </w:tc>
        <w:tc>
          <w:tcPr>
            <w:tcW w:w="10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3,090.0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6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229"/>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Proceeds from intellectual property matter</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4"/>
        </w:trPr>
        <w:tc>
          <w:tcPr>
            <w:tcW w:w="6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(134.9)</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Operating Results</w:t>
      </w:r>
    </w:p>
    <w:p>
      <w:pPr>
        <w:spacing w:after="0" w:line="254"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generate the majority of our revenue from sales of our hardware and software products and amortization of amounts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revenue related to previous sales of FortiGuard security subscription and FortiCare technical support services. We also recognize revenue from cloud security solutions, professional services and training.</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revenue is comprised of the following:</w:t>
      </w:r>
    </w:p>
    <w:p>
      <w:pPr>
        <w:spacing w:after="0" w:line="250" w:lineRule="exact"/>
        <w:rPr>
          <w:sz w:val="20"/>
          <w:szCs w:val="20"/>
          <w:color w:val="auto"/>
        </w:rPr>
      </w:pPr>
    </w:p>
    <w:p>
      <w:pPr>
        <w:ind w:left="1300" w:right="20" w:hanging="644"/>
        <w:spacing w:after="0" w:line="251"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revenue</w:t>
      </w:r>
      <w:r>
        <w:rPr>
          <w:rFonts w:ascii="Times New Roman" w:cs="Times New Roman" w:eastAsia="Times New Roman" w:hAnsi="Times New Roman"/>
          <w:sz w:val="18"/>
          <w:szCs w:val="18"/>
          <w:color w:val="auto"/>
        </w:rPr>
        <w:t>. Product revenue is primarily generated from sales of our physical and virtual machine appliances. While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 revenue continues to be generated by our FortiGate product line, our Fabric appliance and software products are growing faster. As a percentage of total revenue, our product revenue has varied from quarter-to-quarter.</w:t>
      </w:r>
    </w:p>
    <w:p>
      <w:pPr>
        <w:spacing w:after="0" w:line="201" w:lineRule="exact"/>
        <w:rPr>
          <w:rFonts w:ascii="Times New Roman" w:cs="Times New Roman" w:eastAsia="Times New Roman" w:hAnsi="Times New Roman"/>
          <w:sz w:val="18"/>
          <w:szCs w:val="18"/>
          <w:color w:val="auto"/>
        </w:rPr>
      </w:pPr>
    </w:p>
    <w:p>
      <w:pPr>
        <w:ind w:left="1300" w:right="120" w:hanging="644"/>
        <w:spacing w:after="0" w:line="254"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Service revenue is generated primarily from FortiGuard security subscription services and FortiCare technical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We recognize revenue from FortiGuard security subscription and FortiCare technical support services over the contractual service period. Our typical contractual support and subscription term is one to three years and, to a lesser extent, five years. We also generate a small portion of our revenue from professional services and training services, for which we recognize revenue as the services are provided, and cloud-based services, for which we recognize revenue as the services are delivered or on a monthly usage basis. As a percentage of total revenue, we continue to expect service revenue to be higher than product revenue. Our service revenue growth rate depends significantly on the growth of our customer base, the expansion of our service bundle offerings, the expansion and introduction of new service offerings, the attach rate of service contracts to new product sales, and the renewal of service contracts by our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cost of revenue is comprised of the following:</w:t>
      </w:r>
    </w:p>
    <w:p>
      <w:pPr>
        <w:spacing w:after="0" w:line="250" w:lineRule="exact"/>
        <w:rPr>
          <w:sz w:val="20"/>
          <w:szCs w:val="20"/>
          <w:color w:val="auto"/>
        </w:rPr>
      </w:pPr>
    </w:p>
    <w:p>
      <w:pPr>
        <w:jc w:val="both"/>
        <w:ind w:left="1300" w:right="40" w:hanging="644"/>
        <w:spacing w:after="0" w:line="273" w:lineRule="auto"/>
        <w:tabs>
          <w:tab w:leader="none" w:pos="129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Cost of product revenue</w:t>
      </w:r>
      <w:r>
        <w:rPr>
          <w:rFonts w:ascii="Times New Roman" w:cs="Times New Roman" w:eastAsia="Times New Roman" w:hAnsi="Times New Roman"/>
          <w:sz w:val="17"/>
          <w:szCs w:val="17"/>
          <w:color w:val="auto"/>
        </w:rPr>
        <w:t>. The majority of the cost of product revenue consists of third-party contract manufacturers’ costs and the costs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used in production. Our cost of product revenue also includes supplies, shipping costs, personnel costs associated with logistics and quality control, facility-related costs, excess and obsolete inventory costs, warranty costs and amortization of intangible assets.</w:t>
      </w:r>
    </w:p>
    <w:p>
      <w:pPr>
        <w:spacing w:after="0" w:line="1"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Personnel costs include direct compensation and benefits.</w:t>
      </w:r>
    </w:p>
    <w:p>
      <w:pPr>
        <w:spacing w:after="0" w:line="231" w:lineRule="exact"/>
        <w:rPr>
          <w:rFonts w:ascii="Times New Roman" w:cs="Times New Roman" w:eastAsia="Times New Roman" w:hAnsi="Times New Roman"/>
          <w:sz w:val="17"/>
          <w:szCs w:val="17"/>
          <w:color w:val="auto"/>
        </w:rPr>
      </w:pPr>
    </w:p>
    <w:p>
      <w:pPr>
        <w:ind w:left="1300" w:right="280" w:hanging="644"/>
        <w:spacing w:after="0" w:line="267"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service revenue</w:t>
      </w:r>
      <w:r>
        <w:rPr>
          <w:rFonts w:ascii="Times New Roman" w:cs="Times New Roman" w:eastAsia="Times New Roman" w:hAnsi="Times New Roman"/>
          <w:sz w:val="18"/>
          <w:szCs w:val="18"/>
          <w:color w:val="auto"/>
        </w:rPr>
        <w:t>. Cost of service revenue is primarily comprised of salaries, benefits and bonuses, as well as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Cost of service revenue also includes third-party repair and contract fulfillment, data center and cloud hosting, supplies and facility-related costs.</w:t>
      </w:r>
    </w:p>
    <w:p>
      <w:pPr>
        <w:spacing w:after="0" w:line="20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Gross profit as a percentage of revenue, or gross margin, has been and will continue to be affected by a variety of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sales price of our products, product costs, the mix of products sold and the mix of revenue between hardware products, software licenses and services and any excess inventory write-offs. Service revenue and software licenses have had a positive effect on our total gross margin given the higher gross margins compared to hardware product gross margins. During 2020, product gross margin benefited from gains in average selling price, as well as lower direct and indirect product costs as a percentage of product revenue. It also benefited from product mix, software revenue growth and a stable product transition environment. Service gross margin benefited from renewals and continued sales of services and subscriptions, growing faster than related expenses. Overall gross margin in 2021 will be impacted by service and product revenue mix.</w:t>
      </w:r>
    </w:p>
    <w:p>
      <w:pPr>
        <w:spacing w:after="0" w:line="210"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Our operating expenses consist of research and development, sales and marketing and general and administrative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are the most significant component of operating expenses and consist primarily of salaries, benefits, bonuses, sales commission and stock-based compensation. We expect personnel costs to continue to increase in absolute dollars as we expand our workforce.</w:t>
      </w:r>
    </w:p>
    <w:p>
      <w:pPr>
        <w:spacing w:after="0" w:line="200" w:lineRule="exact"/>
        <w:rPr>
          <w:sz w:val="20"/>
          <w:szCs w:val="20"/>
          <w:color w:val="auto"/>
        </w:rPr>
      </w:pPr>
    </w:p>
    <w:p>
      <w:pPr>
        <w:ind w:left="1300" w:right="220" w:hanging="644"/>
        <w:spacing w:after="0" w:line="258"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consists primarily of personnel costs. Additional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expenses include ASIC and system prototypes and certification-related expenses, depreciation of property and equipment and facility-related expenses. The majority of our research and development is focused on both software development and the ongoing development of our hardware platform. We record all research and development expenses as incurred. As of December 31, 2020, approximately 90% of our research and development teams were located in Canada, the United States and India.</w:t>
      </w:r>
    </w:p>
    <w:p>
      <w:pPr>
        <w:spacing w:after="0" w:line="210" w:lineRule="exact"/>
        <w:rPr>
          <w:rFonts w:ascii="Times New Roman" w:cs="Times New Roman" w:eastAsia="Times New Roman" w:hAnsi="Times New Roman"/>
          <w:sz w:val="18"/>
          <w:szCs w:val="18"/>
          <w:color w:val="auto"/>
        </w:rPr>
      </w:pPr>
    </w:p>
    <w:p>
      <w:pPr>
        <w:ind w:left="1300" w:hanging="644"/>
        <w:spacing w:after="0" w:line="258"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 is the largest component of our operating expenses and primarily consists of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Additional sales and marketing expenses include product marketing, public relations, field marketing and channel marketing programs (e.g. partner cooperative marketing arrangements), as well as travel, depreciation of property and equipment and facility-related expenses. We intend to hire additional personnel focused on sales and marketing and expand our sales and marketing efforts worldwide in order to capture market share.</w:t>
      </w:r>
    </w:p>
    <w:p>
      <w:pPr>
        <w:spacing w:after="0" w:line="210"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consists of personnel costs, as well as professional fees, depreciation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and software and facility-related expenses. General and administrative personnel include our executive, finance, human resources, information technology and legal organizations. Our professional fees principally consist of outside legal, auditing, tax, information technology and other consulting costs.</w:t>
      </w:r>
    </w:p>
    <w:p>
      <w:pPr>
        <w:spacing w:after="0" w:line="206" w:lineRule="exact"/>
        <w:rPr>
          <w:rFonts w:ascii="Times New Roman" w:cs="Times New Roman" w:eastAsia="Times New Roman" w:hAnsi="Times New Roman"/>
          <w:sz w:val="18"/>
          <w:szCs w:val="18"/>
          <w:color w:val="auto"/>
        </w:rPr>
      </w:pPr>
    </w:p>
    <w:p>
      <w:pPr>
        <w:jc w:val="both"/>
        <w:ind w:left="1300" w:right="280" w:hanging="644"/>
        <w:spacing w:after="0" w:line="267" w:lineRule="auto"/>
        <w:tabs>
          <w:tab w:leader="none" w:pos="129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Gain on intellectual property matter. </w:t>
      </w:r>
      <w:r>
        <w:rPr>
          <w:rFonts w:ascii="Times New Roman" w:cs="Times New Roman" w:eastAsia="Times New Roman" w:hAnsi="Times New Roman"/>
          <w:sz w:val="18"/>
          <w:szCs w:val="18"/>
          <w:color w:val="auto"/>
        </w:rPr>
        <w:t>Gain on intellectual property matter consists of the amortization of the deferred component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a competitor in the network security industry, whereby, the competitor party paid us a lump sum of $50.0 million for a seven-year mutual covenant-not-to-sue for patent claims.</w:t>
      </w:r>
    </w:p>
    <w:p>
      <w:pPr>
        <w:spacing w:after="0" w:line="200" w:lineRule="exact"/>
        <w:rPr>
          <w:sz w:val="20"/>
          <w:szCs w:val="20"/>
          <w:color w:val="auto"/>
        </w:rPr>
      </w:pPr>
    </w:p>
    <w:p>
      <w:pPr>
        <w:jc w:val="both"/>
        <w:ind w:right="18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income—net. </w:t>
      </w:r>
      <w:r>
        <w:rPr>
          <w:rFonts w:ascii="Times New Roman" w:cs="Times New Roman" w:eastAsia="Times New Roman" w:hAnsi="Times New Roman"/>
          <w:sz w:val="18"/>
          <w:szCs w:val="18"/>
          <w:color w:val="auto"/>
        </w:rPr>
        <w:t>Interest income—net consists primarily of interest earned on our cash equivalents and investments. We have historically 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cash in corporate debt securities, certificates of deposit and term deposits, commercial paper, money market funds, and U.S. government and agency securities.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Other expense—net consists primarily of foreign exchange gains and losses related to foreign currency remeasurement,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the gain on the sale or the impairment charges of our investments in privately held companies.</w:t>
      </w:r>
    </w:p>
    <w:p>
      <w:pPr>
        <w:spacing w:after="0" w:line="18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We are subject to income taxes in the United States, as well as other tax jurisdictions or countries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conduct business. Earnings from our non-U.S. activities are subject to income taxes in local countries and may be subject to U.S. income taxes. Our effective tax rate differs from the U.S. statutory rate primarily due to foreign income subject to different tax rates than in the U.S., nondeductible stock-based compensation expense, federal research and development tax credit, state taxes, withholding taxes, excess tax benefits related to stock-based compensation expense and the tax impacts of the 2017 Tax Act, including the foreign-derived intangible income (“FDII”) deduction.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goods or services is transferred to our customers, in an amount that reflects the consideration we expect to be entitled to in exchange for those goods or services.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52" w:lineRule="exact"/>
        <w:rPr>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or contracts with a customer;</w:t>
      </w:r>
    </w:p>
    <w:p>
      <w:pPr>
        <w:spacing w:after="0" w:line="27" w:lineRule="exact"/>
        <w:rPr>
          <w:rFonts w:ascii="Times New Roman" w:cs="Times New Roman" w:eastAsia="Times New Roman" w:hAnsi="Times New Roman"/>
          <w:sz w:val="18"/>
          <w:szCs w:val="18"/>
          <w:color w:val="auto"/>
        </w:rPr>
      </w:pPr>
    </w:p>
    <w:p>
      <w:pPr>
        <w:ind w:left="1300" w:right="140" w:hanging="320"/>
        <w:spacing w:after="0" w:line="250"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a contract, including evaluation of performance obligations as to being distinct goods or services in a contract;</w:t>
      </w: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a transaction price;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a transaction price to the performance obligations in a contract;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3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Contract Costs and Commission Expense</w:t>
      </w:r>
    </w:p>
    <w:p>
      <w:pPr>
        <w:spacing w:after="0" w:line="25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Costs for initial contracts that are not commensurate with renewal commissions are amortized on a straight-line basis over the period of benefit of</w:t>
      </w:r>
    </w:p>
    <w:p>
      <w:pPr>
        <w:spacing w:after="0" w:line="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five years. Significant estimates, assumptions, and judgments in accounting for deferred contract costs include, but are not limited to, identification of contract costs, anticipated billings and the expected period of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of Inventory</w:t>
      </w:r>
    </w:p>
    <w:p>
      <w:pPr>
        <w:spacing w:after="0" w:line="25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Cost is computed using the first-in, first-out method. In assessing the ultimate recoverability of inventory, we make estimates regarding future customer demand, the timing of new product introductions, economic trends and market conditions. If the actual product demand is significantly lower than forecasted, we could be required to record inventory write-downs which would be charged to cost of product revenue. Any write-downs could have an adverse impact on our gross margins and profitability.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5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include the results of operations of the businesses that we acquire as of the respective dates of acquisition. We 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changes are recorded in the period in which they are identified.</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254"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We review significant new claims and litigation for the probability of an adverse outcome. Estimates can change as individual claims develop. The actual liability in any such matters may be materially different from our estimates, which could result in the need to adjust our liability and record additional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-308610</wp:posOffset>
            </wp:positionV>
            <wp:extent cx="285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21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20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Effective January 1, 2018, the 2017 Tax Act reduced the federal corporate income tax rate from 35% to 21% and created a territorial tax system with a one-time transition tax on foreign earnings of U.S. subsidiaries not previously subject to U.S. income tax. Our selection of an accounting policy for 2018 with respect to the Global Intangible Low-Taxed Income (“GILTI”) tax rules was to treat GILTI tax as a current period expense under the period cost method. For 2019 and 2020, we were not subject to GILTI. We will continue to monitor and assess the impact of the 2017 Tax Act and ongoing guidance and accounting interpretations issued in response to the 2017 Tax Act.</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16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660" w:type="dxa"/>
            <w:vAlign w:val="bottom"/>
            <w:gridSpan w:val="2"/>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6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1,678.0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revenue</w:t>
            </w:r>
          </w:p>
        </w:tc>
        <w:tc>
          <w:tcPr>
            <w:tcW w:w="16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6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cost of revenue</w:t>
            </w:r>
          </w:p>
        </w:tc>
        <w:tc>
          <w:tcPr>
            <w:tcW w:w="16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6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1,460.4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gross profit</w:t>
            </w:r>
          </w:p>
        </w:tc>
        <w:tc>
          <w:tcPr>
            <w:tcW w:w="16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4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income—net</w:t>
            </w:r>
          </w:p>
        </w:tc>
        <w:tc>
          <w:tcPr>
            <w:tcW w:w="1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16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59</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7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5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percentage of revenue)</w:t>
            </w:r>
          </w:p>
        </w:tc>
        <w:tc>
          <w:tcPr>
            <w:tcW w:w="1740" w:type="dxa"/>
            <w:vAlign w:val="bottom"/>
          </w:tcPr>
          <w:p>
            <w:pPr>
              <w:spacing w:after="0"/>
              <w:rPr>
                <w:sz w:val="21"/>
                <w:szCs w:val="21"/>
                <w:color w:val="auto"/>
              </w:rPr>
            </w:pPr>
          </w:p>
        </w:tc>
      </w:tr>
      <w:tr>
        <w:trPr>
          <w:trHeight w:val="233"/>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5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5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gross margin</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income—net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33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Discussion regarding our financial condition and results of operations for 2019 as compared to 2018 can be found in Item 7 of our Annual Report on Form 10-K for the fiscal year ended December 31, 2019, filed with the SEC on February 26,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and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4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2,594.4</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4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420" w:type="dxa"/>
            <w:vAlign w:val="bottom"/>
            <w:tcBorders>
              <w:top w:val="single" w:sz="8" w:color="CCEEFF"/>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3" w:name="page64"/>
    <w:bookmarkEnd w:id="6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Total revenue increased by $431.4 million, or 20%, in 2020 compared to 2019. We continued to experience diversification of revenue globally, and across both customer and industry segments. Revenue from all regions grew, with EMEA contributing the largest portion of the increase on an absolute dollar basis and APAC contributing the fastest growth on a percentage basis.</w:t>
      </w:r>
    </w:p>
    <w:p>
      <w:pPr>
        <w:spacing w:after="0" w:line="199"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Product revenue increased by $127.9 million, or 16%, in 2020 compared to 2019. We experienced revenue growth across many of our products due to an increase in product revenue from our FortiGate SD-WAN solutions, software licenses and our security fabric platform products.</w:t>
      </w:r>
    </w:p>
    <w:p>
      <w:pPr>
        <w:spacing w:after="0" w:line="203"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Service revenue increased by $303.5 million, or 22%, in 2020 compared to 2019. FortiGuard security subscription, FortiCare technical support and other revenues increased by $167.9 million and $135.6 million, respectively, or 22% in 2020 compared to 2019. The increases were primarily due to the recognition of revenue from our growing deferred revenue balance related to FortiGuard and other security subscriptions and FortiCare technical support, including our customers moving to higher-tier support offerings.</w:t>
      </w:r>
    </w:p>
    <w:p>
      <w:pPr>
        <w:spacing w:after="0" w:line="20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Of the service revenue recognized in 2020, 68% was included in the deferred revenue balance as of December 31, 2019. Of the service revenue recognized in 2019, 68% was included in the deferred revenue balance as of December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4040" w:type="dxa"/>
            <w:vAlign w:val="bottom"/>
            <w:gridSpan w:val="6"/>
          </w:tcPr>
          <w:p>
            <w:pPr>
              <w:ind w:left="10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33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7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0"/>
                <w:szCs w:val="20"/>
                <w:color w:val="auto"/>
              </w:rPr>
            </w:pPr>
          </w:p>
        </w:tc>
        <w:tc>
          <w:tcPr>
            <w:tcW w:w="1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91"/>
        </w:trPr>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0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2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CCEEFF"/>
            </w:tcBorders>
            <w:shd w:val="clear" w:color="auto" w:fill="CCEEFF"/>
          </w:tcPr>
          <w:p>
            <w:pPr>
              <w:spacing w:after="0"/>
              <w:rPr>
                <w:sz w:val="19"/>
                <w:szCs w:val="19"/>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gross margin increased by 1.4 percentage points in 2020 compared to 2019, driven primarily by improvements to product gross margins.</w:t>
      </w:r>
    </w:p>
    <w:p>
      <w:pPr>
        <w:spacing w:after="0" w:line="252"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Product gross margin increased by 2.7 percentage points in 2020 compared to 2019. Product gross margin benefited from lower direct costs of hardware as a percentage of product revenue and increased software sales. Cost of product revenue was comprised primarily of third-party contract manufacturers’ costs and the costs of materials used in production.</w:t>
      </w:r>
    </w:p>
    <w:p>
      <w:pPr>
        <w:spacing w:after="0" w:line="20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Service gross margin increased by 0.2 percentage points in 2020 compared to 2019, as our personnel costs grew slower than our service revenue and we experienced lower costs to replace and repair our products. Cost of service revenue was comprised primarily of personnel costs.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1020" w:type="dxa"/>
            <w:vAlign w:val="bottom"/>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vMerge w:val="restart"/>
          </w:tcPr>
          <w:p>
            <w:pPr>
              <w:spacing w:after="0"/>
              <w:rPr>
                <w:sz w:val="13"/>
                <w:szCs w:val="13"/>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Not meaningful</w:t>
      </w: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$64.3 million, or 23%, in 2020 compared to 2019, primarily due to an increase in personnel-related costs of $49.0 million as a result of increased headcount to support the development of new products and continued enhancements to our existing products. In addition, product development costs, such as third-party testing and prototypes, increased $12.3 million. We currently intend to continue to invest in our research and development organization, and expect research and development expense to increase in absolute dollars in 2021.</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by $145.0 million, or 16%, in 2020 compared to 2019, primarily due to an increase in personnel-related costs of $173.4 million as a result of increases to sales and marketing headcount in order to drive global market revenue increases. This increase was offset by savings related to decreased travel and fewer in-person marketing events as a result of the COVID-19 pandemic. We currently intend to continue to make investments in sales and marketing resources, which are critical to support our future growth, and expect sales and marketing expense to increase in absolute dollars in 2021.</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5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$17.4 million, or 17%, in 2020 compared to 2019, primarily due to an increase in personnel-related costs of $9.3 million, an increase in legal-related costs of $2.5 million, an increase in professional services fee of $2.2 million and an increase in the provision for expected credit losses of $2.0 million. We currently expect general and administrative expense to increase in absolute dollars in 2021.</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Gain on IP matter</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2020, we entered into an agreement with a competitor in the network security industry, whereby, in February 2020, the competitor party paid us a lump sum of $50.0 million for a mutual covenant-not-to-sue for patent claims. In 2020 we recorded a $40.2 million gain on intellectual property matter in our consolidated statements of income. See Note 12 of the notes to consolidated financial statements included in Part II, Item 8 of this Annual Report on Form 10-K for additional information regarding the gain on IP matter.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54" w:lineRule="exact"/>
        <w:rPr>
          <w:sz w:val="20"/>
          <w:szCs w:val="20"/>
          <w:color w:val="auto"/>
        </w:rPr>
      </w:pPr>
    </w:p>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We generated operating income of $531.8 million in 2020, an increase of $180.8 million, or 52%, compared to $351.0 million in 2019. Operating income as a percentage of revenue increased to 20% in 2020 compared to 16% in 2019. The increase in operating margin is primarily due to the</w:t>
      </w:r>
    </w:p>
    <w:p>
      <w:pPr>
        <w:spacing w:after="0" w:line="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$40.2 million gain on IP matter, the 1.4 percentage point improvement in gross margin and the 1.6 percentage point decrease in sales and marketing expense as a percentage of revenue.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income—net and 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4"/>
        </w:trPr>
        <w:tc>
          <w:tcPr>
            <w:tcW w:w="35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9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3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40" w:type="dxa"/>
            <w:vAlign w:val="bottom"/>
          </w:tcPr>
          <w:p>
            <w:pPr>
              <w:spacing w:after="0"/>
              <w:rPr>
                <w:sz w:val="21"/>
                <w:szCs w:val="2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income—net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301"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Interest income—net decreased in 2020 as compared to 2019, primarily due to lower interest rates and, to a lesser extent, lower invested balances of cash, cash equivalents and investments. Interest income—net varies depending on our average investment balances during the period, types and mix of investments, and market interest rates. The change in other expense—net in 2020 as compared to 2019 was the result of a $4.3 million impairment charge on an investment in a privately held company during 2020 compared to a $3.8 million impairment charge on an investment in a privately held company in the same period last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7"/>
        </w:trPr>
        <w:tc>
          <w:tcPr>
            <w:tcW w:w="3480" w:type="dxa"/>
            <w:vAlign w:val="bottom"/>
          </w:tcPr>
          <w:p>
            <w:pPr>
              <w:spacing w:after="0"/>
              <w:rPr>
                <w:sz w:val="20"/>
                <w:szCs w:val="20"/>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90"/>
        </w:trPr>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w:t>
            </w:r>
          </w:p>
        </w:tc>
        <w:tc>
          <w:tcPr>
            <w:tcW w:w="1360" w:type="dxa"/>
            <w:vAlign w:val="bottom"/>
            <w:gridSpan w:val="2"/>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314"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Our provision for income taxes for 2020 reflects an effective tax rate of 10%, compared to an effective tax rate of 14% for 2019. The provision for income taxes for 2020 was comprised primarily of a $146.8 million tax expense related to U.S. federal and state taxes, other foreign income taxes, foreign withholding taxes and unrecognized tax benefits. The provision was partially offset by a tax benefit of $44.3 million from the FDII deduction, excess tax benefits of $42.0 million from stock-based compensation expense and tax benefits of $7.5 million from federal research and development tax credits.</w:t>
      </w:r>
    </w:p>
    <w:p>
      <w:pPr>
        <w:spacing w:after="0" w:line="19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provision for income taxes for 2019 reflects an effective tax rate of 14%, compared to an effective tax rate benefit of 32% for 2018. The provision for income taxes for 2019 was comprised primarily of a $90.3 million tax expense related to U.S. federal and state taxes, other foreign income taxes and foreign withholding taxes and a $10.1 million tax expense for an unrecognized tax benefit related to the Ninth Circuit’s opinion in Altera Corporation and Subsidiaries vs. Commissioner of Internal Revenue (“Altera”). The provision was partially offset by excess tax benefits of $39.3 million from stock-based compensation expense and tax benefits of $6.8 million from federal research and development tax credits.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Quarterly Results of Operations</w:t>
      </w:r>
    </w:p>
    <w:p>
      <w:pPr>
        <w:spacing w:after="0" w:line="25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unaudited quarterly statements of income for the last eight quarters. The quarterly results of operations for the four quarters of 2019 were adjusted for an immaterial error related to the commencement of revenue recognition for certain FortiCare support service contracts, which resulted in an understatement of revenue. See Note 2 of the notes to consolidated financial statements included in Part II, Item 8 of this Annual Report on Form 10-K for further detail. Additionally, the quarterly results of operations for the first two quarters of 2020 were also adjusted to reflect the correction of the immaterial error related to the commencement of revenue recognition for certain FortiCare support service contracts, which resulted in an understatement of revenue.</w:t>
      </w:r>
    </w:p>
    <w:p>
      <w:pPr>
        <w:spacing w:after="0" w:line="2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Jun 30,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Mar 31,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1"/>
                <w:szCs w:val="11"/>
                <w:color w:val="auto"/>
              </w:rPr>
            </w:pPr>
          </w:p>
        </w:tc>
        <w:tc>
          <w:tcPr>
            <w:tcW w:w="11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1"/>
                <w:szCs w:val="11"/>
                <w:color w:val="auto"/>
              </w:rPr>
            </w:pPr>
          </w:p>
        </w:tc>
        <w:tc>
          <w:tcPr>
            <w:tcW w:w="11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gridSpan w:val="7"/>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Product </w:t>
            </w:r>
            <w:r>
              <w:rPr>
                <w:rFonts w:ascii="Times New Roman" w:cs="Times New Roman" w:eastAsia="Times New Roman" w:hAnsi="Times New Roman"/>
                <w:sz w:val="9"/>
                <w:szCs w:val="9"/>
                <w:color w:val="auto"/>
              </w:rPr>
              <w:t>(1)(2)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Service </w:t>
            </w:r>
            <w:r>
              <w:rPr>
                <w:rFonts w:ascii="Times New Roman" w:cs="Times New Roman" w:eastAsia="Times New Roman" w:hAnsi="Times New Roman"/>
                <w:sz w:val="9"/>
                <w:szCs w:val="9"/>
                <w:color w:val="auto"/>
              </w:rPr>
              <w:t>(1)(2)</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9"/>
                <w:szCs w:val="9"/>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9"/>
                <w:szCs w:val="9"/>
                <w:color w:val="auto"/>
              </w:rPr>
              <w:t>(1)(2)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9"/>
                <w:szCs w:val="9"/>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3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w:t>
            </w: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 31, 2019</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 30, 2019</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 30, 2019</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 31, 2019</w:t>
            </w:r>
          </w:p>
        </w:tc>
        <w:tc>
          <w:tcPr>
            <w:tcW w:w="5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10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120" w:type="dxa"/>
            <w:vAlign w:val="bottom"/>
            <w:vMerge w:val="restart"/>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100" w:type="dxa"/>
            <w:vAlign w:val="bottom"/>
            <w:vMerge w:val="restart"/>
          </w:tcPr>
          <w:p>
            <w:pPr>
              <w:spacing w:after="0"/>
              <w:rPr>
                <w:sz w:val="11"/>
                <w:szCs w:val="11"/>
                <w:color w:val="auto"/>
              </w:rPr>
            </w:pPr>
          </w:p>
        </w:tc>
        <w:tc>
          <w:tcPr>
            <w:tcW w:w="10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100" w:type="dxa"/>
            <w:vAlign w:val="bottom"/>
            <w:vMerge w:val="restart"/>
          </w:tcPr>
          <w:p>
            <w:pPr>
              <w:spacing w:after="0"/>
              <w:rPr>
                <w:sz w:val="11"/>
                <w:szCs w:val="11"/>
                <w:color w:val="auto"/>
              </w:rPr>
            </w:pPr>
          </w:p>
        </w:tc>
        <w:tc>
          <w:tcPr>
            <w:tcW w:w="10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gridSpan w:val="9"/>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Product </w:t>
            </w:r>
            <w:r>
              <w:rPr>
                <w:rFonts w:ascii="Times New Roman" w:cs="Times New Roman" w:eastAsia="Times New Roman" w:hAnsi="Times New Roman"/>
                <w:sz w:val="9"/>
                <w:szCs w:val="9"/>
                <w:color w:val="auto"/>
              </w:rPr>
              <w:t>(1)(2)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Service </w:t>
            </w:r>
            <w:r>
              <w:rPr>
                <w:rFonts w:ascii="Times New Roman" w:cs="Times New Roman" w:eastAsia="Times New Roman" w:hAnsi="Times New Roman"/>
                <w:sz w:val="9"/>
                <w:szCs w:val="9"/>
                <w:color w:val="auto"/>
              </w:rPr>
              <w:t>(1)(2)</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gross profit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9"/>
                <w:szCs w:val="9"/>
                <w:color w:val="auto"/>
              </w:rPr>
              <w:t>(1)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9"/>
                <w:szCs w:val="9"/>
                <w:color w:val="auto"/>
              </w:rPr>
              <w:t>(1)(2)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9"/>
                <w:szCs w:val="9"/>
                <w:color w:val="auto"/>
              </w:rPr>
              <w:t>(1)</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income—net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4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4"/>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4"/>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20" w:hanging="147"/>
        <w:spacing w:after="0"/>
        <w:tabs>
          <w:tab w:leader="none" w:pos="220"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stock-based compensation as follows: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 31,</w:t>
            </w:r>
          </w:p>
        </w:tc>
        <w:tc>
          <w:tcPr>
            <w:tcW w:w="160" w:type="dxa"/>
            <w:vAlign w:val="bottom"/>
          </w:tcPr>
          <w:p>
            <w:pPr>
              <w:spacing w:after="0"/>
              <w:rPr>
                <w:sz w:val="13"/>
                <w:szCs w:val="13"/>
                <w:color w:val="auto"/>
              </w:rPr>
            </w:pPr>
          </w:p>
        </w:tc>
        <w:tc>
          <w:tcPr>
            <w:tcW w:w="9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 30,</w:t>
            </w:r>
          </w:p>
        </w:tc>
        <w:tc>
          <w:tcPr>
            <w:tcW w:w="16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Jun 30,</w:t>
            </w:r>
          </w:p>
        </w:tc>
        <w:tc>
          <w:tcPr>
            <w:tcW w:w="160" w:type="dxa"/>
            <w:vAlign w:val="bottom"/>
          </w:tcPr>
          <w:p>
            <w:pPr>
              <w:spacing w:after="0"/>
              <w:rPr>
                <w:sz w:val="13"/>
                <w:szCs w:val="13"/>
                <w:color w:val="auto"/>
              </w:rPr>
            </w:pPr>
          </w:p>
        </w:tc>
        <w:tc>
          <w:tcPr>
            <w:tcW w:w="9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 31,</w:t>
            </w:r>
          </w:p>
        </w:tc>
        <w:tc>
          <w:tcPr>
            <w:tcW w:w="18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 31,</w:t>
            </w:r>
          </w:p>
        </w:tc>
        <w:tc>
          <w:tcPr>
            <w:tcW w:w="140" w:type="dxa"/>
            <w:vAlign w:val="bottom"/>
          </w:tcPr>
          <w:p>
            <w:pPr>
              <w:spacing w:after="0"/>
              <w:rPr>
                <w:sz w:val="13"/>
                <w:szCs w:val="13"/>
                <w:color w:val="auto"/>
              </w:rPr>
            </w:pPr>
          </w:p>
        </w:tc>
        <w:tc>
          <w:tcPr>
            <w:tcW w:w="9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 30,</w:t>
            </w:r>
          </w:p>
        </w:tc>
        <w:tc>
          <w:tcPr>
            <w:tcW w:w="16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Jun 30,</w:t>
            </w:r>
          </w:p>
        </w:tc>
        <w:tc>
          <w:tcPr>
            <w:tcW w:w="160" w:type="dxa"/>
            <w:vAlign w:val="bottom"/>
          </w:tcPr>
          <w:p>
            <w:pPr>
              <w:spacing w:after="0"/>
              <w:rPr>
                <w:sz w:val="13"/>
                <w:szCs w:val="13"/>
                <w:color w:val="auto"/>
              </w:rPr>
            </w:pPr>
          </w:p>
        </w:tc>
        <w:tc>
          <w:tcPr>
            <w:tcW w:w="80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Mar 31,</w:t>
            </w:r>
          </w:p>
        </w:tc>
        <w:tc>
          <w:tcPr>
            <w:tcW w:w="0" w:type="dxa"/>
            <w:vAlign w:val="bottom"/>
          </w:tcPr>
          <w:p>
            <w:pPr>
              <w:spacing w:after="0"/>
              <w:rPr>
                <w:sz w:val="1"/>
                <w:szCs w:val="1"/>
                <w:color w:val="auto"/>
              </w:rPr>
            </w:pPr>
          </w:p>
        </w:tc>
      </w:tr>
      <w:tr>
        <w:trPr>
          <w:trHeight w:val="214"/>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 revenue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42"/>
        </w:trPr>
        <w:tc>
          <w:tcPr>
            <w:tcW w:w="2780" w:type="dxa"/>
            <w:vAlign w:val="bottom"/>
          </w:tcPr>
          <w:p>
            <w:pPr>
              <w:ind w:left="340"/>
              <w:spacing w:after="0" w:line="142" w:lineRule="exact"/>
              <w:rPr>
                <w:sz w:val="20"/>
                <w:szCs w:val="20"/>
                <w:color w:val="auto"/>
              </w:rPr>
            </w:pPr>
            <w:r>
              <w:rPr>
                <w:rFonts w:ascii="Times New Roman" w:cs="Times New Roman" w:eastAsia="Times New Roman" w:hAnsi="Times New Roman"/>
                <w:sz w:val="16"/>
                <w:szCs w:val="16"/>
                <w:color w:val="auto"/>
              </w:rPr>
              <w:t>Total stock-based compensation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194"/>
        </w:trPr>
        <w:tc>
          <w:tcPr>
            <w:tcW w:w="2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expense</w:t>
            </w: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hanging="152"/>
        <w:spacing w:after="0"/>
        <w:tabs>
          <w:tab w:leader="none" w:pos="16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Total amortization included in product costs, service costs, and sales and marketing expense are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58"/>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 31,</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Sept 30,</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Jun 30,</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Mar 31,</w:t>
            </w:r>
          </w:p>
        </w:tc>
        <w:tc>
          <w:tcPr>
            <w:tcW w:w="180" w:type="dxa"/>
            <w:vAlign w:val="bottom"/>
          </w:tcPr>
          <w:p>
            <w:pPr>
              <w:spacing w:after="0"/>
              <w:rPr>
                <w:sz w:val="13"/>
                <w:szCs w:val="13"/>
                <w:color w:val="auto"/>
              </w:rPr>
            </w:pPr>
          </w:p>
        </w:tc>
        <w:tc>
          <w:tcPr>
            <w:tcW w:w="9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Dec 31,</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Sept 30,</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Jun 30,</w:t>
            </w:r>
          </w:p>
        </w:tc>
        <w:tc>
          <w:tcPr>
            <w:tcW w:w="160" w:type="dxa"/>
            <w:vAlign w:val="bottom"/>
          </w:tcPr>
          <w:p>
            <w:pPr>
              <w:spacing w:after="0"/>
              <w:rPr>
                <w:sz w:val="13"/>
                <w:szCs w:val="13"/>
                <w:color w:val="auto"/>
              </w:rPr>
            </w:pPr>
          </w:p>
        </w:tc>
        <w:tc>
          <w:tcPr>
            <w:tcW w:w="80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 31,</w:t>
            </w:r>
          </w:p>
        </w:tc>
      </w:tr>
      <w:tr>
        <w:trPr>
          <w:trHeight w:val="214"/>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65"/>
        </w:trPr>
        <w:tc>
          <w:tcPr>
            <w:tcW w:w="2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Cyclicality and Quarterly Revenue Trends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quarterly results reflect a pattern of increased customer buying at year-end, which has positively impacted billings and product revenue activity in the fourth quarter. In the first quarter, we generally experience lower sequential customer buying, followed by an increase in buying in the second quarter. In 2020, seasonality was impacted by the COVID-19 pandemic. Although these seasonal factors are common in the technology sector, historical patterns should not be considered a reliable indicator of our future sales activity or performance. On a quarterly basis, we have usually generated the majority of our revenue in the final month of each quarter and a significant amount in the last two weeks of each quarter. We believe this is due to customer buying patterns typical in this industry.</w:t>
      </w:r>
    </w:p>
    <w:p>
      <w:pPr>
        <w:spacing w:after="0" w:line="21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 seasonality note above, our total quarterly revenue over the past two years has generally increased sequentially each year. Product revenue increased year-over-year as compared to 2019, as we have continued product innovation and successfully launched new product models, expanded our solution sales, with focus on SD-WAN and work from home solutions and continued our investments in our sales and marketing organizations. Due to our growing customer base, we continue to see a relative shift from product revenue to higher-margin, recurring service revenue.</w:t>
      </w:r>
    </w:p>
    <w:p>
      <w:pPr>
        <w:spacing w:after="0" w:line="20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Total gross margin has fluctuated on a quarterly basis primarily due to the relative service and product mix as well as the seasonality of cost increases. Product gross margin varies based on the types of products sold, their cost profile and the average selling prices of our products. In 2020, product gross margin was impacted by new product introductions and the mix of high-end, mid-range and entry-level products and other Fabric appliances as well as increasing software sales. We have been able to improve our direct cost of appliances with newer generations, and our product gross margin continuously benefits from increasing software sales. Service gross margin is impacted by revenue growth and our personnel-related costs, third-party repair and contract fulfillment, data center and cloud hosting, supplies and facility-related costs.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5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910.9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1,313.2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975.5</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36"/>
        </w:trPr>
        <w:tc>
          <w:tcPr>
            <w:tcW w:w="6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r>
      <w:tr>
        <w:trPr>
          <w:trHeight w:val="211"/>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Liquidity and capital resources is impacted by our operating activities, as well as by our stock repurchases, proceeds from the issuances of common stock under our the Amended and Restated Fortinet, Inc. 2009 Equity Incentive Plan (the “2009 Plan”) and payment of taxes in connection with the net settlement of equity awards, real estate and other capital expenditures and business acquisitions.</w:t>
      </w:r>
    </w:p>
    <w:p>
      <w:pPr>
        <w:spacing w:after="0" w:line="204"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and, to some extent, from the exercise of stock options by our employees. Additional increases in billings may depend on a number of factors, including demand for our products and services, competition, market or industry changes, macroeconomic events such as the COVID-19 pandemic and our ability to execute. We expect proceeds from the exercise of stock options in future years to be impacted by the increased mix of restricted stock units versus stock options granted to our employees and to vary based on our share price.</w:t>
      </w:r>
    </w:p>
    <w:p>
      <w:pPr>
        <w:spacing w:after="0" w:line="21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February 2020, we received a cash payment of $50.0 million pursuant to a mutual covenant-not-to-sue and release agreement with a competitor in the network security industry.</w:t>
      </w:r>
    </w:p>
    <w:p>
      <w:pPr>
        <w:spacing w:after="0" w:line="189"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In 2020, we repurchased 11.7 million shares of common stock under the Repurchase Program for an aggregate purchase price of $1.08 billion. As of December 31, 2020, $1.01 billion remained available for future share repurchases under the Repurchase Program.</w:t>
      </w:r>
    </w:p>
    <w:p>
      <w:pPr>
        <w:spacing w:after="0" w:line="208"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Construction of a second building at our headquarters campus started in the fourth quarter of 2018 and related spending will continue until project completion. We estimate 2021 spending on the second building of our headquarters campus project to be between $50.0 million and $60.0 million, which was moved from 2020 due to a delay to the project schedule as a result of the COVID-19 pandemic. We estimate construction to be completed in the first half of 2021.</w:t>
      </w:r>
    </w:p>
    <w:p>
      <w:pPr>
        <w:spacing w:after="0" w:line="20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2020, our cash, cash equivalents and investments of $1.96 billion were invested primarily in deposit accounts, money market funds, corporate debt securities, commercial paper, certificates of deposit and term deposits and U.S. government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207"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$119.8 million and $109.3 million as of December 31, 2020 and as of December 31, 2019, respectively.</w:t>
      </w:r>
    </w:p>
    <w:p>
      <w:pPr>
        <w:spacing w:after="0" w:line="189"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share repurchases, the expansion of sales and marketing activities, the introduction of new and enhanced products and services offerings, the continuing market acceptance of our products, the timing and extent of spending to support development efforts,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amortization of deferred contract costs and depreciation and amortization. Changes in operating assets and liabilities consist primarily of changes in deferred revenue, deferred contract costs and accounts receivable.</w:t>
      </w:r>
    </w:p>
    <w:p>
      <w:pPr>
        <w:spacing w:after="0" w:line="20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Our operating activities during 2020 provided $1.08 billion in cash as a result of the continued growth of our business and our ability to successfully manage our working capital. Changes in operating assets and liabilities primarily resulted from an increase in sales of our FortiGuard and other security services subscription and FortiCare technical support services to new and existing customers, as reflected by an increase in our deferred revenue, and proceeds from the mutual covenant-not-to-sue and release agreement. Our total deferred revenue balance grew $496.2 million, or 24%,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and purchases of property and equipment. Historically, in making a lease versus ownership decision related to our larger facilities, we have considered various factors</w:t>
      </w: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including financial metrics and the impact on our engineers and other employees. In certain cases, we have elected to own the facility if we believed that ownership rather than leasing is more in line with our long-term strategy. We may make similar decisions in the future. We may also make cash payments in connection with future business combinations.</w:t>
      </w:r>
    </w:p>
    <w:p>
      <w:pPr>
        <w:spacing w:after="0" w:line="19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During 2020, cash used in investing activities was primarily driven by $125.9 million spent on purchases of property and equipment, a large portion of which relates to our headquarters building construction, and $40.2 million used for the OPAQ and Panopta acquisitions, net of cash acquired, and partially offset by $92.0 million provided by sales and maturities of investments, net of purchases of investments.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the 2009 Plan.</w:t>
      </w:r>
    </w:p>
    <w:p>
      <w:pPr>
        <w:spacing w:after="0" w:line="18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2020, cash used in financing activities was $1.17 billion, primarily due to $1.08 billion used to repurchase shares of our common stock, $86.1 million used to pay tax withholding, net of proceeds from the issuance of common stock, and $4.1 million used to pay debt assumed in connection with the OPAQ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inventory purchase commitments as of December 31,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left="535"/>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vMerge w:val="restart"/>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1 - 3 years</w:t>
            </w:r>
          </w:p>
        </w:tc>
        <w:tc>
          <w:tcPr>
            <w:tcW w:w="12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12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100" w:type="dxa"/>
            <w:vAlign w:val="bottom"/>
          </w:tcPr>
          <w:p>
            <w:pPr>
              <w:jc w:val="center"/>
              <w:ind w:right="76"/>
              <w:spacing w:after="0" w:line="158" w:lineRule="exact"/>
              <w:rPr>
                <w:sz w:val="20"/>
                <w:szCs w:val="20"/>
                <w:color w:val="auto"/>
              </w:rPr>
            </w:pPr>
            <w:r>
              <w:rPr>
                <w:rFonts w:ascii="Times New Roman" w:cs="Times New Roman" w:eastAsia="Times New Roman" w:hAnsi="Times New Roman"/>
                <w:sz w:val="16"/>
                <w:szCs w:val="16"/>
                <w:b w:val="1"/>
                <w:bCs w:val="1"/>
                <w:color w:val="auto"/>
              </w:rPr>
              <w:t>More than 5</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0" w:type="dxa"/>
            <w:vAlign w:val="bottom"/>
          </w:tcPr>
          <w:p>
            <w:pPr>
              <w:spacing w:after="0"/>
              <w:rPr>
                <w:sz w:val="1"/>
                <w:szCs w:val="1"/>
                <w:color w:val="auto"/>
              </w:rPr>
            </w:pPr>
          </w:p>
        </w:tc>
      </w:tr>
      <w:tr>
        <w:trPr>
          <w:trHeight w:val="249"/>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Inventory purchase commitments </w:t>
            </w:r>
            <w:r>
              <w:rPr>
                <w:rFonts w:ascii="Times New Roman" w:cs="Times New Roman" w:eastAsia="Times New Roman" w:hAnsi="Times New Roman"/>
                <w:sz w:val="9"/>
                <w:szCs w:val="9"/>
                <w:color w:val="auto"/>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20" w:hanging="168"/>
        <w:spacing w:after="0"/>
        <w:tabs>
          <w:tab w:leader="none" w:pos="2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minimum purchase commitments with independent contract manufacturers.</w:t>
      </w:r>
    </w:p>
    <w:p>
      <w:pPr>
        <w:spacing w:after="0" w:line="31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addition to commitments with contract manufacturers, we have open purchase orders and contractual obligations in the ordinary course of business for which we have not received goods or services. As of December 31, 2020, we had $28.9 million in other contractual commitments having a remaining term in excess of one year that may not be cancelable.</w:t>
      </w:r>
    </w:p>
    <w:p>
      <w:pPr>
        <w:spacing w:after="0" w:line="203" w:lineRule="exact"/>
        <w:rPr>
          <w:sz w:val="20"/>
          <w:szCs w:val="20"/>
          <w:color w:val="auto"/>
        </w:rPr>
      </w:pPr>
    </w:p>
    <w:p>
      <w:pPr>
        <w:jc w:val="both"/>
        <w:ind w:right="120" w:firstLine="648"/>
        <w:spacing w:after="0" w:line="312" w:lineRule="auto"/>
        <w:rPr>
          <w:sz w:val="20"/>
          <w:szCs w:val="20"/>
          <w:color w:val="auto"/>
        </w:rPr>
      </w:pPr>
      <w:r>
        <w:rPr>
          <w:rFonts w:ascii="Times New Roman" w:cs="Times New Roman" w:eastAsia="Times New Roman" w:hAnsi="Times New Roman"/>
          <w:sz w:val="17"/>
          <w:szCs w:val="17"/>
          <w:color w:val="auto"/>
        </w:rPr>
        <w:t>As of December 31, 2020, we had $90.3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During 2020, 2019 and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our consolidated financial statements in Part II, Item 8 of this Annual Report on Form 10-K for a full description of 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investments in a variety of securities, including corporate debt securities, certificates of deposit and term deposits, commercial paper, money market funds, and U.S. government and agency securities. The risk associated with fluctuating interest rates is limited to our investment portfolio. A 10% decrease in interest rates in 2020, 2019 and 2018 would have resulted in an insignificant decrease in our interest income in each of these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Canadian dollar (“CAD”), the Euro (“EUR”) and the British pound (“GBP”). To help protect against significant fluctuations in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 worthiness of these parties. These contracts typically have a maturity of one month and settle on the last day of each month. We record changes in the fair value of forward exchange contracts related to balance sheet accounts in other expense—net in the consolidated statements of income. We recognized an expense of $5.5 million in 2020 due to foreign currency transaction losses.</w:t>
      </w:r>
    </w:p>
    <w:p>
      <w:pPr>
        <w:spacing w:after="0" w:line="21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use of forward exchange contracts is intended to reduce, but not eliminate, the impact of currency exchange rate movements. Our forward exchange contracts are relatively short-term in nature and are focused on the CAD. Long-term material changes in the value of the U.S. dollar against other foreign currencies, such as the EUR and GBP,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$5.9 million change in the value of our foreign currency cash balances as of December 31, 2020.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monetary assets, consisting primarily of cash, cash equivalents and short-term investments, are not affected significantly by inflation because they are predominantly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0540" w:type="dxa"/>
            <w:vAlign w:val="bottom"/>
          </w:tcPr>
          <w:p>
            <w:pPr>
              <w:spacing w:after="0"/>
              <w:rPr>
                <w:sz w:val="18"/>
                <w:szCs w:val="18"/>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8"/>
        </w:trPr>
        <w:tc>
          <w:tcPr>
            <w:tcW w:w="10540" w:type="dxa"/>
            <w:vAlign w:val="bottom"/>
          </w:tcPr>
          <w:p>
            <w:pPr>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Report of Independent Registered Public Accounting Firm</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71</w:t>
              </w:r>
            </w:hyperlink>
          </w:p>
        </w:tc>
      </w:tr>
      <w:tr>
        <w:trPr>
          <w:trHeight w:val="229"/>
        </w:trPr>
        <w:tc>
          <w:tcPr>
            <w:tcW w:w="10540" w:type="dxa"/>
            <w:vAlign w:val="bottom"/>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Consolidated Balance Sheets as of December 31, 2020 and 2019</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73</w:t>
              </w:r>
            </w:hyperlink>
          </w:p>
        </w:tc>
      </w:tr>
      <w:tr>
        <w:trPr>
          <w:trHeight w:val="229"/>
        </w:trPr>
        <w:tc>
          <w:tcPr>
            <w:tcW w:w="10540" w:type="dxa"/>
            <w:vAlign w:val="bottom"/>
          </w:tcPr>
          <w:p>
            <w:pPr>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Consolidated Statements of Income for the year ended December 31, 2020, 2019 and 2018</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74</w:t>
              </w:r>
            </w:hyperlink>
          </w:p>
        </w:tc>
      </w:tr>
      <w:tr>
        <w:trPr>
          <w:trHeight w:val="230"/>
        </w:trPr>
        <w:tc>
          <w:tcPr>
            <w:tcW w:w="10540" w:type="dxa"/>
            <w:vAlign w:val="bottom"/>
          </w:tcPr>
          <w:p>
            <w:pPr>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Consolidated Statements of Comprehensive Income for the year ended December 31, 2020, 2019 and 2018</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75</w:t>
              </w:r>
            </w:hyperlink>
          </w:p>
        </w:tc>
      </w:tr>
      <w:tr>
        <w:trPr>
          <w:trHeight w:val="229"/>
        </w:trPr>
        <w:tc>
          <w:tcPr>
            <w:tcW w:w="10540" w:type="dxa"/>
            <w:vAlign w:val="bottom"/>
          </w:tcPr>
          <w:p>
            <w:pPr>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Consolidated Statements of Consolidated Statements of Stockholders’ Equity for the year ended December 31, 2020, 2019 and 2018</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76</w:t>
              </w:r>
            </w:hyperlink>
          </w:p>
        </w:tc>
      </w:tr>
      <w:tr>
        <w:trPr>
          <w:trHeight w:val="229"/>
        </w:trPr>
        <w:tc>
          <w:tcPr>
            <w:tcW w:w="10540" w:type="dxa"/>
            <w:vAlign w:val="bottom"/>
          </w:tcPr>
          <w:p>
            <w:pPr>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Consolidated Statements of Cash Flows for the year ended December 31, 2020, 2019 and 2018</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77</w:t>
              </w:r>
            </w:hyperlink>
          </w:p>
        </w:tc>
      </w:tr>
      <w:tr>
        <w:trPr>
          <w:trHeight w:val="234"/>
        </w:trPr>
        <w:tc>
          <w:tcPr>
            <w:tcW w:w="10540" w:type="dxa"/>
            <w:vAlign w:val="bottom"/>
          </w:tcPr>
          <w:p>
            <w:pPr>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Notes to Consolidated Financial Statements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78</w:t>
              </w:r>
            </w:hyperlink>
          </w:p>
        </w:tc>
      </w:tr>
    </w:tbl>
    <w:p>
      <w:pPr>
        <w:spacing w:after="0" w:line="14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supplementary financial information required by this Item 8 is included in Part II, Item 7 of this Annual Report on Form 10-K under the caption “Management’s Discussion and Analysis of Financial Condition and Results of Operations—Unaudited Quarterly Results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Fortinet,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Fortinet, Inc. and subsidiaries (the “Company”) as of December 31, 2020 and 2019, the related consolidated statements of income, comprehensive income, stockholders’ equity, and cash flows, for each of the three years in the period ended December 31, 2020, and the related notes and the schedule listed in the Index at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19, 2021,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Contingencies–Refer to Note 13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involved in disputes, litigation and other legal actions in the normal course of business. Claims from third parties may result in a requirement to pay substantial damages and could prevent the Company from selling certain of their products. An estimated loss from a loss contingency is accrued by a charge to income if it is probable that a liability has been incurred and the amount of the loss can be reasonably estimated. Where a range of loss can be reasonably estimated with no best estimate in the range, management records the minimum estimated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determination of litigation contingency accruals is subject to significant management judgement in assessing the likelihood of a loss being incurred and when determining whether a reasonable estimate of the loss or range of loss can be made.</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Given the inherent uncertainty of the outcome of identified current matters, auditing the valuation assertion of litigation contingencies required a high degree of auditor judgment and an increased extent of effort when performing audit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litigation contingencies included the following, among others:</w:t>
      </w:r>
    </w:p>
    <w:p>
      <w:pPr>
        <w:spacing w:after="0" w:line="171" w:lineRule="exact"/>
        <w:rPr>
          <w:sz w:val="20"/>
          <w:szCs w:val="20"/>
          <w:color w:val="auto"/>
        </w:rPr>
      </w:pPr>
    </w:p>
    <w:p>
      <w:pPr>
        <w:ind w:left="240" w:hanging="232"/>
        <w:spacing w:after="0"/>
        <w:tabs>
          <w:tab w:leader="none" w:pos="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litigation contingency accrual analysis and assessment of matters with potential impact.</w:t>
      </w:r>
    </w:p>
    <w:p>
      <w:pPr>
        <w:spacing w:after="0" w:line="171" w:lineRule="exact"/>
        <w:rPr>
          <w:rFonts w:ascii="Times New Roman" w:cs="Times New Roman" w:eastAsia="Times New Roman" w:hAnsi="Times New Roman"/>
          <w:sz w:val="18"/>
          <w:szCs w:val="18"/>
          <w:color w:val="auto"/>
        </w:rPr>
      </w:pPr>
    </w:p>
    <w:p>
      <w:pPr>
        <w:ind w:left="260" w:right="400" w:hanging="252"/>
        <w:spacing w:after="0" w:line="282"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evaluated legal letters from internal and external legal counsel, and we discussed with internal legal counsel the pending litigation matters.</w:t>
      </w:r>
    </w:p>
    <w:p>
      <w:pPr>
        <w:spacing w:after="0" w:line="10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inquiries with management to obtain an understanding of litigation matters that the Company is currently undergoing.</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available court filings for litigation matters to search for contradictory information.</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Board of Directors meeting minutes to search for contradictory information.</w:t>
      </w:r>
    </w:p>
    <w:p>
      <w:pPr>
        <w:spacing w:after="0" w:line="171" w:lineRule="exact"/>
        <w:rPr>
          <w:rFonts w:ascii="Times New Roman" w:cs="Times New Roman" w:eastAsia="Times New Roman" w:hAnsi="Times New Roman"/>
          <w:sz w:val="18"/>
          <w:szCs w:val="18"/>
          <w:color w:val="auto"/>
        </w:rPr>
      </w:pPr>
    </w:p>
    <w:p>
      <w:pPr>
        <w:ind w:left="260" w:right="160" w:hanging="252"/>
        <w:spacing w:after="0" w:line="282"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assumptions used by the Company to estimate the litigation contingency, including corroborating the assumptions with internal legal counsel.</w:t>
      </w:r>
    </w:p>
    <w:p>
      <w:pPr>
        <w:spacing w:after="0" w:line="10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litigation contingencies disclosure for consistency with our knowledge of the Company’s litigation matters.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176"/>
        </w:trPr>
        <w:tc>
          <w:tcPr>
            <w:tcW w:w="80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w w:val="99"/>
              </w:rPr>
              <w:t>Accounts receivable—Net of allowance for credit losses of $2.5 million at December 31, 2020 and net of</w:t>
            </w: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allowance for doubtful accounts of $1.2 million at December 31, 2019</w:t>
            </w: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3,879.2</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Common stock, $0.001 par value—300 shares authorized; 162.5 shares and 171.7 shares issued and</w:t>
            </w: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outstanding at December 31, 2020 and 2019, respectively</w:t>
            </w: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3,879.2</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INCOME—NET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(Note 10):</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1"/>
        </w:trPr>
        <w:tc>
          <w:tcPr>
            <w:tcW w:w="69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tax provision related to change in unrealized gains (losses) on investments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1"/>
        </w:trPr>
        <w:tc>
          <w:tcPr>
            <w:tcW w:w="6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0" w:type="dxa"/>
            <w:vAlign w:val="bottom"/>
          </w:tcPr>
          <w:p>
            <w:pPr>
              <w:spacing w:after="0"/>
              <w:rPr>
                <w:sz w:val="16"/>
                <w:szCs w:val="16"/>
                <w:color w:val="auto"/>
              </w:rPr>
            </w:pPr>
          </w:p>
        </w:tc>
        <w:tc>
          <w:tcPr>
            <w:tcW w:w="19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2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602.0</w:t>
            </w:r>
          </w:p>
        </w:tc>
        <w:tc>
          <w:tcPr>
            <w:tcW w:w="0" w:type="dxa"/>
            <w:vAlign w:val="bottom"/>
          </w:tcPr>
          <w:p>
            <w:pPr>
              <w:spacing w:after="0"/>
              <w:rPr>
                <w:sz w:val="1"/>
                <w:szCs w:val="1"/>
                <w:color w:val="auto"/>
              </w:rPr>
            </w:pPr>
          </w:p>
        </w:tc>
      </w:tr>
      <w:tr>
        <w:trPr>
          <w:trHeight w:val="135"/>
        </w:trPr>
        <w:tc>
          <w:tcPr>
            <w:tcW w:w="52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equity incentive plans - net of tax</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9"/>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withholding</w:t>
            </w: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0" w:type="dxa"/>
            <w:vAlign w:val="bottom"/>
          </w:tcPr>
          <w:p>
            <w:pPr>
              <w:spacing w:after="0"/>
              <w:rPr>
                <w:sz w:val="1"/>
                <w:szCs w:val="1"/>
                <w:color w:val="auto"/>
              </w:rPr>
            </w:pPr>
          </w:p>
        </w:tc>
      </w:tr>
      <w:tr>
        <w:trPr>
          <w:trHeight w:val="189"/>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162.9</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Cumulative effect adjustments from adoption of Topic 606</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117.3</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334.9</w:t>
            </w: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1,025.5</w:t>
            </w:r>
          </w:p>
        </w:tc>
        <w:tc>
          <w:tcPr>
            <w:tcW w:w="0" w:type="dxa"/>
            <w:vAlign w:val="bottom"/>
          </w:tcPr>
          <w:p>
            <w:pPr>
              <w:spacing w:after="0"/>
              <w:rPr>
                <w:sz w:val="1"/>
                <w:szCs w:val="1"/>
                <w:color w:val="auto"/>
              </w:rPr>
            </w:pPr>
          </w:p>
        </w:tc>
      </w:tr>
      <w:tr>
        <w:trPr>
          <w:trHeight w:val="135"/>
        </w:trPr>
        <w:tc>
          <w:tcPr>
            <w:tcW w:w="52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equity incentive plans - net of tax</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189"/>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withholding</w:t>
            </w: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0" w:type="dxa"/>
            <w:vAlign w:val="bottom"/>
          </w:tcPr>
          <w:p>
            <w:pPr>
              <w:spacing w:after="0"/>
              <w:rPr>
                <w:sz w:val="1"/>
                <w:szCs w:val="1"/>
                <w:color w:val="auto"/>
              </w:rPr>
            </w:pPr>
          </w:p>
        </w:tc>
      </w:tr>
      <w:tr>
        <w:trPr>
          <w:trHeight w:val="189"/>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173.0</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Cumulative-effect adjustment from adoption of ASU 2018-02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unrealized gain on investments -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331.7</w:t>
            </w:r>
          </w:p>
        </w:tc>
        <w:tc>
          <w:tcPr>
            <w:tcW w:w="0" w:type="dxa"/>
            <w:vAlign w:val="bottom"/>
          </w:tcPr>
          <w:p>
            <w:pPr>
              <w:spacing w:after="0"/>
              <w:rPr>
                <w:sz w:val="1"/>
                <w:szCs w:val="1"/>
                <w:color w:val="auto"/>
              </w:rPr>
            </w:pPr>
          </w:p>
        </w:tc>
      </w:tr>
      <w:tr>
        <w:trPr>
          <w:trHeight w:val="182"/>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31, 2019</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1,342.4</w:t>
            </w:r>
          </w:p>
        </w:tc>
        <w:tc>
          <w:tcPr>
            <w:tcW w:w="0" w:type="dxa"/>
            <w:vAlign w:val="bottom"/>
          </w:tcPr>
          <w:p>
            <w:pPr>
              <w:spacing w:after="0"/>
              <w:rPr>
                <w:sz w:val="1"/>
                <w:szCs w:val="1"/>
                <w:color w:val="auto"/>
              </w:rPr>
            </w:pPr>
          </w:p>
        </w:tc>
      </w:tr>
      <w:tr>
        <w:trPr>
          <w:trHeight w:val="135"/>
        </w:trPr>
        <w:tc>
          <w:tcPr>
            <w:tcW w:w="52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equity incentive plans - net of tax</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withholding</w:t>
            </w: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(1,080.1)</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191.7</w:t>
            </w:r>
          </w:p>
        </w:tc>
        <w:tc>
          <w:tcPr>
            <w:tcW w:w="0" w:type="dxa"/>
            <w:vAlign w:val="bottom"/>
          </w:tcPr>
          <w:p>
            <w:pPr>
              <w:spacing w:after="0"/>
              <w:rPr>
                <w:sz w:val="1"/>
                <w:szCs w:val="1"/>
                <w:color w:val="auto"/>
              </w:rPr>
            </w:pPr>
          </w:p>
        </w:tc>
      </w:tr>
      <w:tr>
        <w:trPr>
          <w:trHeight w:val="189"/>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unrealized gain on investments -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488.5</w:t>
            </w:r>
          </w:p>
        </w:tc>
        <w:tc>
          <w:tcPr>
            <w:tcW w:w="0" w:type="dxa"/>
            <w:vAlign w:val="bottom"/>
          </w:tcPr>
          <w:p>
            <w:pPr>
              <w:spacing w:after="0"/>
              <w:rPr>
                <w:sz w:val="1"/>
                <w:szCs w:val="1"/>
                <w:color w:val="auto"/>
              </w:rPr>
            </w:pPr>
          </w:p>
        </w:tc>
      </w:tr>
      <w:tr>
        <w:trPr>
          <w:trHeight w:val="18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856.0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8"/>
        </w:trPr>
        <w:tc>
          <w:tcPr>
            <w:tcW w:w="7040" w:type="dxa"/>
            <w:vAlign w:val="bottom"/>
            <w:gridSpan w:val="2"/>
          </w:tcPr>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40" w:type="dxa"/>
            <w:vAlign w:val="bottom"/>
          </w:tcPr>
          <w:p>
            <w:pPr>
              <w:spacing w:after="0"/>
              <w:rPr>
                <w:sz w:val="24"/>
                <w:szCs w:val="24"/>
                <w:color w:val="auto"/>
              </w:rPr>
            </w:pPr>
          </w:p>
        </w:tc>
        <w:tc>
          <w:tcPr>
            <w:tcW w:w="7000" w:type="dxa"/>
            <w:vAlign w:val="bottom"/>
          </w:tcPr>
          <w:p>
            <w:pPr>
              <w:jc w:val="center"/>
              <w:ind w:left="4108"/>
              <w:spacing w:after="0"/>
              <w:rPr>
                <w:sz w:val="20"/>
                <w:szCs w:val="20"/>
                <w:color w:val="auto"/>
              </w:rPr>
            </w:pPr>
            <w:r>
              <w:rPr>
                <w:rFonts w:ascii="Times New Roman" w:cs="Times New Roman" w:eastAsia="Times New Roman" w:hAnsi="Times New Roman"/>
                <w:sz w:val="14"/>
                <w:szCs w:val="14"/>
                <w:b w:val="1"/>
                <w:bCs w:val="1"/>
                <w:color w:val="auto"/>
              </w:rPr>
              <w:t>FORTINET, INC.</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400" w:type="dxa"/>
            <w:vAlign w:val="bottom"/>
            <w:gridSpan w:val="2"/>
          </w:tcPr>
          <w:p>
            <w:pPr>
              <w:jc w:val="center"/>
              <w:ind w:left="3708"/>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000" w:type="dxa"/>
            <w:vAlign w:val="bottom"/>
          </w:tcPr>
          <w:p>
            <w:pPr>
              <w:jc w:val="center"/>
              <w:ind w:left="41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Amortization of investment premiums (discounts)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000" w:type="dxa"/>
            <w:vAlign w:val="bottom"/>
            <w:shd w:val="clear" w:color="auto" w:fill="CCEEFF"/>
          </w:tcPr>
          <w:p>
            <w:pPr>
              <w:ind w:left="860"/>
              <w:spacing w:after="0" w:line="135" w:lineRule="exact"/>
              <w:rPr>
                <w:sz w:val="20"/>
                <w:szCs w:val="20"/>
                <w:color w:val="auto"/>
              </w:rPr>
            </w:pPr>
            <w:r>
              <w:rPr>
                <w:rFonts w:ascii="Times New Roman" w:cs="Times New Roman" w:eastAsia="Times New Roman" w:hAnsi="Times New Roman"/>
                <w:sz w:val="14"/>
                <w:szCs w:val="14"/>
                <w:color w:val="auto"/>
              </w:rPr>
              <w:t>Changes in operating assets and liabilities, net of assets acquired and liabilities assumed in business</w:t>
            </w: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combinations: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Accounts receivable—net</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Inventory</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Deferred contract costs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Deferred tax assets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Accrued liabilities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Other liabilities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Borders>
              <w:bottom w:val="single" w:sz="8" w:color="CCEEFF"/>
            </w:tcBorders>
          </w:tcPr>
          <w:p>
            <w:pPr>
              <w:ind w:left="1420"/>
              <w:spacing w:after="0"/>
              <w:rPr>
                <w:sz w:val="20"/>
                <w:szCs w:val="20"/>
                <w:color w:val="auto"/>
              </w:rPr>
            </w:pPr>
            <w:r>
              <w:rPr>
                <w:rFonts w:ascii="Times New Roman" w:cs="Times New Roman" w:eastAsia="Times New Roman" w:hAnsi="Times New Roman"/>
                <w:sz w:val="14"/>
                <w:szCs w:val="14"/>
                <w:color w:val="auto"/>
              </w:rPr>
              <w:t>Deferred revenue</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439.9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348.7</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Sales of investments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925.5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Payments made in connection with business combinations, net of cash acquired</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top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Payments of debt assumed in connection with business combinations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tcBorders>
              <w:bottom w:val="single" w:sz="8" w:color="CCEEFF"/>
            </w:tcBorders>
          </w:tcPr>
          <w:p>
            <w:pPr>
              <w:ind w:left="18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EQUIVALENTS—Beginning of year</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EQUIVALENTS—End of year</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1,222.5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7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7"/>
                <w:szCs w:val="17"/>
                <w:color w:val="auto"/>
              </w:rPr>
            </w:pPr>
          </w:p>
        </w:tc>
        <w:tc>
          <w:tcPr>
            <w:tcW w:w="7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Finance lease liabilities arising from obtaining right-of-use assets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paid to settle liability incurred for repurchase of common stock</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7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Transfers of evaluation units from inventory to property and equipment</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7"/>
                <w:szCs w:val="17"/>
                <w:color w:val="auto"/>
              </w:rPr>
            </w:pPr>
          </w:p>
        </w:tc>
        <w:tc>
          <w:tcPr>
            <w:tcW w:w="7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Liability incurred for repurchase of common stock</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7"/>
                <w:szCs w:val="17"/>
                <w:color w:val="auto"/>
              </w:rPr>
            </w:pPr>
          </w:p>
        </w:tc>
        <w:tc>
          <w:tcPr>
            <w:tcW w:w="7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Liability incurred in connection with business combination</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SUMMARY OF SIGNIFICANT ACCOUNTING POLICIES</w:t>
      </w:r>
    </w:p>
    <w:p>
      <w:pPr>
        <w:spacing w:after="0" w:line="25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—Fortinet, Inc. (“Fortinet”) was incorporated in Delaware in 2000 and is a global leader in broad, integrated and automated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solutions. Fortinet provides high performance cybersecurity solutions to a wide variety of businesses, such as large enterprises, communication service providers, government organizations and small to medium-sized enterprises. Fortinet’s cybersecurity solutions are designed to provide broad visibility and segmentation of the digital attack surface, through our integrated Security Fabric Platform with automated protection, detection and responses.</w:t>
      </w:r>
    </w:p>
    <w:p>
      <w:pPr>
        <w:spacing w:after="0" w:line="206"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consolidated financial statements of Fortinet and its wholly owned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“we,” “us” or “our”) have been prepared in accordance with generally accepted accounting principles in the United States (“GAAP”). All intercompany transactions and balances have been eliminated in consolidation.</w:t>
      </w:r>
    </w:p>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accordance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amounts reported in the consolidated financial statements and accompanying notes. Such management estimates include, but are not limited to, the standalone selling price for our products and services, the period of benefit for deferred contract costs for commissions, stock-based compensation, inventory valuation, the fair value of assets acquired and liabilities assumed in business combinations, the measurement of liabilities for uncertain tax positions and deferred tax assets and liabilities, the assessment of recoverability of our goodwill and other long-lived assets, the determination of sales returns reserves and contingent liabilities. We base our estimates on historical experience and also on assumptions that we believe are reasonable. Actual results could differ materially from those estimates.</w:t>
      </w:r>
    </w:p>
    <w:p>
      <w:pPr>
        <w:spacing w:after="0" w:line="210"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Concentration Risk</w:t>
      </w:r>
      <w:r>
        <w:rPr>
          <w:rFonts w:ascii="Times New Roman" w:cs="Times New Roman" w:eastAsia="Times New Roman" w:hAnsi="Times New Roman"/>
          <w:sz w:val="18"/>
          <w:szCs w:val="18"/>
          <w:color w:val="auto"/>
        </w:rPr>
        <w:t>—Financial instruments that subject us to concentrations of credit risk consist primarily of cash, cash equivalents, short-term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long-term investments and accounts receivable. Our cash balances are maintained as deposits with various large financial institutions in the United States and around the world. Balances in the United States typically exceed the amount of insurance provided on such deposits. We maintain our cash equivalents and investments in money market funds, commercial paper and fixed income debt securities with major financial institutions that our management believes are financially sound.</w:t>
      </w:r>
    </w:p>
    <w:p>
      <w:pPr>
        <w:spacing w:after="0" w:line="210"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Our accounts receivables are primarily derived from our distributor customers in various geographic locations. We perform ongoing credit evaluations of our customers. We generally do not require collateral on accounts receivable, and we maintain reserves for estimated potential credit losses. As of December 31, 2020 and 2019, Exclusive Networks Group (“Exclusive”) accounted for 34% and 36% of total net accounts receivable, respectively. As of December 31, 2020 and 2019, Ingram Micro Inc. (“Ingram Micro”) accounted for 11% and 10% of total net accounts receivable, respectively.</w:t>
      </w:r>
    </w:p>
    <w:p>
      <w:pPr>
        <w:spacing w:after="0" w:line="19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2020, Exclusive and Ingram Micro accounted for 30% and 10% of total revenue, respectively. During 2019, Exclusive and Ingram Micro accounted for 31% and 11% of total revenue, respectively. During 2018, Exclusive and Ingram Micro accounted for 30% and 10% of total revenue, respectively.</w:t>
      </w:r>
    </w:p>
    <w:p>
      <w:pPr>
        <w:spacing w:after="0" w:line="203"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We rely on a small number of manufacturing partners, primarily in Taiwan, to manufacture our products, and some of the components of our products are available from limited or sole sources of supply. Each of our proprietary Application-Specific Integrated Circuits is built by contract manufacturers located in Japan.</w:t>
      </w:r>
    </w:p>
    <w:p>
      <w:pPr>
        <w:spacing w:after="0" w:line="199"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Financial Instruments and Fair Value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333333"/>
        </w:rPr>
        <w:t>We define fair value as the price that would be received from selling an asset, or paid to transfer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333333"/>
        </w:rPr>
        <w:t xml:space="preserve">liability, in an orderly transaction between market participants at the measurement date. </w:t>
      </w:r>
      <w:r>
        <w:rPr>
          <w:rFonts w:ascii="Times New Roman" w:cs="Times New Roman" w:eastAsia="Times New Roman" w:hAnsi="Times New Roman"/>
          <w:sz w:val="18"/>
          <w:szCs w:val="18"/>
          <w:color w:val="000000"/>
        </w:rPr>
        <w:t>When determining the fair value measurements for assets and</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liabilities which are required to be recorded at fair value, we consider the principal or most advantageous market in which to transact and the market-based risk. We apply fair value accounting for all financial assets and liabilities and non-financial assets and liabilities that are recognized or disclosed at fair value in the financial statements on a recurring basis. Due to their short-term nature, the carrying amounts reported in the consolidated financial statements approximate the fair value for cash and cash equivalents, accounts receivable, accounts payable, accrued liabilities, and accrued payroll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—Comprehensive income includes certain changes in equity from non-owner sources that are excluded from net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specifically, unrealized gains and losses on available-for-sale investments and the related tax impact.</w:t>
      </w:r>
    </w:p>
    <w:p>
      <w:pPr>
        <w:spacing w:after="0" w:line="182"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Foreign Currency and Transaction Gains and Losses</w:t>
      </w:r>
      <w:r>
        <w:rPr>
          <w:rFonts w:ascii="Times New Roman" w:cs="Times New Roman" w:eastAsia="Times New Roman" w:hAnsi="Times New Roman"/>
          <w:sz w:val="18"/>
          <w:szCs w:val="18"/>
          <w:color w:val="auto"/>
        </w:rPr>
        <w:t>—The functional currency of our foreign subsidiaries is the U.S. dollar. Accordingly,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monetary assets and liabilities denominated in foreign currencies have been remeasured into U.S. dollars using the exchange rates in effect at the balance sheet dates. Foreign currency remeasurement losses of $5.5 million, $4.7 million and $8.2 million, which are related to changes in foreign currency rates, are included in other expense—net for 2020, 2019, and 2018, respectively.</w:t>
      </w:r>
    </w:p>
    <w:p>
      <w:pPr>
        <w:spacing w:after="0" w:line="203"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Cash, Cash Equivalents and Available-for-Sale Investments</w:t>
      </w:r>
      <w:r>
        <w:rPr>
          <w:rFonts w:ascii="Times New Roman" w:cs="Times New Roman" w:eastAsia="Times New Roman" w:hAnsi="Times New Roman"/>
          <w:sz w:val="18"/>
          <w:szCs w:val="18"/>
          <w:color w:val="auto"/>
        </w:rPr>
        <w:t>—We consider all highly liquid investments, purchased with original maturities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or less, to be cash equivalents. Cash and cash equivalents consist of balances with banks and highly liquid investments in money market funds, commercial paper, term deposits and corporate debt.</w:t>
      </w:r>
    </w:p>
    <w:p>
      <w:pPr>
        <w:spacing w:after="0" w:line="188" w:lineRule="exact"/>
        <w:rPr>
          <w:sz w:val="20"/>
          <w:szCs w:val="20"/>
          <w:color w:val="auto"/>
        </w:rPr>
      </w:pPr>
    </w:p>
    <w:p>
      <w:pPr>
        <w:ind w:right="60" w:firstLine="648"/>
        <w:spacing w:after="0" w:line="229" w:lineRule="auto"/>
        <w:rPr>
          <w:sz w:val="20"/>
          <w:szCs w:val="20"/>
          <w:color w:val="auto"/>
        </w:rPr>
      </w:pPr>
      <w:r>
        <w:rPr>
          <w:rFonts w:ascii="Times New Roman" w:cs="Times New Roman" w:eastAsia="Times New Roman" w:hAnsi="Times New Roman"/>
          <w:sz w:val="18"/>
          <w:szCs w:val="18"/>
          <w:color w:val="auto"/>
        </w:rPr>
        <w:t>We hold investment grade securities consisting of money market funds, corporate debt securities, U.S. government securities, commercial paper, certificates of deposit and term deposits that our management believes are financially sound. We classify our investments as available-for-sale (“AFS”) at the time of purchase, since it is our intent that these investments are available for current operations. Investments with original maturities greater than three months with a remaining maturity less than one year from the consolidated balance sheet date are classified as short-term investments. Investments with remaining maturities greater than one year from the consolidated balance sheet date are classified as long-term investments.</w:t>
      </w:r>
    </w:p>
    <w:p>
      <w:pPr>
        <w:spacing w:after="0" w:line="21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AFS investments in debt securities are carried at estimated fair value with any unrealized gains and losses, net of taxes, included in accumulated other comprehensive income (loss) in consolidated statements of stockholders’ equity. AFS debt securities with an amortized cost basis in excess of estimated fair value are assessed to determine what amount of that difference, if any, is caused by expected credit losses. An investment is impaired if the fair value of the investment is less than its cost. If the fair value of an investment is less than its amortized cost basis at the balance sheet date and if we do not intend to sell the investment, we consider available evidence to assess whether it is more likely than not that we will be required to sell the investment before the recovery of its amortized cost basis. We consult with our investment managers and consider available quantitative and qualitative evidence in evaluating, among other factors, general market conditions, the duration and extent to which the fair value is less than cost, and our ability to hold the investment. Once an impairment is determined to be attributable to credit-related factors, allowance for credit losses (i.e., the credit loss component) on AFS debt securities is recognized as credit loss expense, a charge in other expense—net, on our consolidated statements of income, and any remaining unrealized losses (i.e., the non-credit loss component), net of taxes, are included in accumulated other comprehensive income (loss) on our consolidated statements of stockholders’ equity.</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Prior to 2020, we followed the guidance in Accounting Standards Codification (“ASC”) 320 Investments—Debt and Equity Securities in determining whether unrealized losses were other than temporary. In June 2016, the Financial Accounting Standards Board (the “FASB”) issued Accounting Standards Update (“ASU”) 2016-13—Financial Instruments—Credit Losses (Topic 326): Measurement of Credit Losses on Financial Instruments (“Topic 326”). We adopted Topic 326 on January 1, 2020, and now consider whether unrealized losses have resulted from a credit loss or other factors. The unrealized losses on our AFS debt securities as of December 31, 2020 and December 31, 2019 were caused by fluctuations in market value and interest rates as a result of the market conditions. We concluded that an allowance for credit losses was unnecessary as of December 31, 2020 and that the impairments as of December 31, 2019 were not other than temporary because (i) the decline in market value was attributable to changes in market conditions and not credit quality, and (ii) we concluded that neither do we intend to sell nor is it more likely than not that we will be required to sell these investments prior to recovery of their amortized cost basis. As a result, we had no credit losses recorded for the year ended December 31, 2020, and there was no impairment charge for any unrealized losses in 2019 and 2018.</w:t>
      </w:r>
    </w:p>
    <w:p>
      <w:pPr>
        <w:spacing w:after="0" w:line="221"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determine realized gains or losses on sale of AFS debt securities using specific identification method to determine the cost basis of investments sold and record such gains or losses as other expense-net on the consolidated statements of income. We have elected to not record an allowance for credit losses for accrued interest for AFS investments in debt securities and will reverse the accrued interest against interest income in the period in which we determine the accrued interest to be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b w:val="1"/>
          <w:bCs w:val="1"/>
          <w:color w:val="auto"/>
        </w:rPr>
        <w:t>Accounts receivable</w:t>
      </w:r>
      <w:r>
        <w:rPr>
          <w:rFonts w:ascii="Times New Roman" w:cs="Times New Roman" w:eastAsia="Times New Roman" w:hAnsi="Times New Roman"/>
          <w:sz w:val="17"/>
          <w:szCs w:val="17"/>
          <w:color w:val="auto"/>
        </w:rPr>
        <w:t>—Trade accounts receivable are recorded at the invoiced amount. On January 1, 2020, we adopted Topic 326,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provides guidance on how to measure credit losses on financial instruments, including accounts receivable. Prior to our adoption of Topic 326, our accounts receivable balance was reduced by an allowance for doubtful accounts that we determined based on our assessment of the collectability of customer accounts. Under Topic 326, our accounts receivable balance is reduced by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w:t>
      </w:r>
    </w:p>
    <w:p>
      <w:pPr>
        <w:spacing w:after="0" w:line="20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further consider collectibility trends for the allowance for credit losses based on our assessment of various factors, including credit quality of our customers, current economic conditions, reasonable and supportable forecasts of future economic conditions, and other factors that may affect our ability to collect from our customers. The COVID-19 pandemic and the recent economic downturn prompted us to perform additional credit reviews of our existing customers, including obtaining recent credit reports and reviewing their latest available statements of financial position. In addition, we have seen an increase in requests for extended payment terms. After performing our additional reviews, we increased the allowance for credit losses for certain accounts receivable. Expected credit losses are recorded as general and administrative expenses on our consolidated statements of income. The allowance for credit losses was $2.5 million as of December 31, 2020, and the allowance for doubtful accounts was $1.2 million as of December 31, 2019. Provisions, write-offs and recoveries were not material during the year ended December 31, 2020.</w:t>
      </w:r>
    </w:p>
    <w:p>
      <w:pPr>
        <w:spacing w:after="0" w:line="215"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—Inventory is recorded at the lower of cost or net realizable value. Cost is computed using the first-in, first-out method. In assessing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ultimate recoverability of inventory, we make estimates regarding future customer demand, the timing of new product introductions, economic trends and market conditions. If the actual product demand is significantly lower than forecasted, we could be required to record inventory write-downs which would be charged to cost of product revenue.</w:t>
      </w:r>
    </w:p>
    <w:p>
      <w:pPr>
        <w:spacing w:after="0" w:line="203"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We do not depreciate the allocated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 Depreciation is computed using the straight-line method over the estimated useful lives of the assets as follows: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4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22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30 years</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to 7 years</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useful life or lease term</w:t>
            </w:r>
          </w:p>
        </w:tc>
      </w:tr>
    </w:tbl>
    <w:p>
      <w:pPr>
        <w:spacing w:after="0" w:line="3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Other Investments</w:t>
      </w:r>
      <w:r>
        <w:rPr>
          <w:rFonts w:ascii="Times New Roman" w:cs="Times New Roman" w:eastAsia="Times New Roman" w:hAnsi="Times New Roman"/>
          <w:sz w:val="18"/>
          <w:szCs w:val="18"/>
          <w:color w:val="auto"/>
        </w:rPr>
        <w:t>—Other investments are investments in equity securities of privately held companies without readily determinable fair values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included in other assets in the consolidated balance sheets. We elected to account for these equity investments using the measurement alternative, which is at cost, less any impairment, adjusted for changes in fair value resulting from observable price changes in orderly transactions for the identical or similar investments of the same issuer. For these non-quoted investments, we regularly review the assumptions underlying the operating performance and cash flow forecasts as well as current fundraising activities and valuations based on information provided by these privately held companies. If it is determined that a decline or increase in value exists in an investment without readily determinable fair value, we adjust the carrying value of the investment to its fair value and record the related impairment or increase in value as an investment loss or gain. The change in carrying value, if any, is recognized in other income (expense)—net on our consolidated statements of income. In addition, as of December 31, 2020, we also held equity investments with readily determinable fair values accounted for at fair value through net income, which were immaterial as of December 31, 2020.</w:t>
      </w:r>
    </w:p>
    <w:p>
      <w:pPr>
        <w:spacing w:after="0" w:line="21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—We include the results of operations of the businesses that we acquire as of the respective dates of acquisition.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Our estimates and assumptions are subject to change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we often continue to gather additional information throughout the measurement period, which is up to 12 months after the acquisition date, and if we make changes to the amounts recorded, such amounts are recorded in the period in which they are identified.</w:t>
      </w:r>
    </w:p>
    <w:p>
      <w:pPr>
        <w:spacing w:after="0" w:line="18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—We evaluate events and changes in circumstances that could indicate carrying amounts of long-lived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 There was no material impairment in 2020, 2019 and 2018.</w:t>
      </w:r>
    </w:p>
    <w:p>
      <w:pPr>
        <w:spacing w:after="0" w:line="20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—Goodwill represents the excess of purchase consideration over the estimated fair value of net assets of businesses acquired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Goodwill acquired in a business combination is not amortized, but instead tested for impairment at least annually during the fourth quarter, or sooner when circumstances indicate an impairment may exist. We perform a qualitative assessment in the fourth quarter of each year, or more frequently if indicators of potential impairment exist, to determine if any events or circumstances exist, such as an adverse change in business climate or a decline in the overall industry that would indicate that it would more likely than not reduce the fair value of a reporting unit below its carrying amount, including goodwill. Then we perform a quantitative impairment test by comparing the fair value of a reporting unit with its carrying amount. Any excess in the carrying value of a reporting unit’s goodwill over its fair value is recognized as an impairment loss, limited to the total amount of goodwill allocated to that reporting unit.</w:t>
      </w:r>
    </w:p>
    <w:p>
      <w:pPr>
        <w:spacing w:after="0" w:line="21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performed our annual goodwill impairment analysis and did not identify any impairment indicators as a result of the review. As of December 31, 2020, we had one reporting unit.</w:t>
      </w:r>
    </w:p>
    <w:p>
      <w:pPr>
        <w:spacing w:after="0" w:line="18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Other Intangible Assets</w:t>
      </w:r>
      <w:r>
        <w:rPr>
          <w:rFonts w:ascii="Times New Roman" w:cs="Times New Roman" w:eastAsia="Times New Roman" w:hAnsi="Times New Roman"/>
          <w:sz w:val="18"/>
          <w:szCs w:val="18"/>
          <w:color w:val="auto"/>
        </w:rPr>
        <w:t>—Intangible assets with finite lives are carried at cost, less accumulated amortization. Amortization is computed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straight-line or accelerated method over the estimated economic lives of the assets, which range from three to five years.</w:t>
      </w:r>
    </w:p>
    <w:p>
      <w:pPr>
        <w:spacing w:after="0" w:line="182"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21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20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Effective January 1, 2018, the 2017 Tax Cuts and Jobs Act (the “2017 Tax Act”) reduced the federal corporate income tax rate from 35% to 21% and created a territorial tax system with a one-time transition tax on foreign earnings of U.S. subsidiaries not previously subject to U.S. income tax. Our selection of an accounting policy for 2018 with respect to the Global Intangible Low-Taxed Income (“GILTI”) tax rules was to treat GILTI tax as a current period expense under the period cost method. For 2019 and 2020, we were not subject to GILTI. We will continue to monitor and assess the impact of the 2017 Tax Act and ongoing guidance and accounting interpretations issued in response to the 2017 Tax Act.</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fair value of restricted stock units (“RSUs”) is based on the closing market price of our common stock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grant. We have elected to use the Black-Scholes-Merton (“Black-Scholes”) pricing model to determine the fair value of our employee stock options and our equity incentive plans. Stock-based compensation expense is amortized on a straight-line basis over the service period. We account for forfeitures of all stock-based payment awards when they occur.</w:t>
      </w:r>
    </w:p>
    <w:p>
      <w:pPr>
        <w:spacing w:after="0" w:line="20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—We rent certain facilities under operating lease agreements. On January 1, 2019, we adopted FASB Topic 842, Leases (“Topic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requires the recognition of right-of-use (“ROU”) assets and lease liabilities for operating leases on the consolidated balance sheet. Under Topic 842, we determine if an arrangement is a lease at inception. The ROU assets and the short and long-term lease liabilities from our operating leases are included in other assets, accrued liabilities and other liabilities in our consolidated balance sheets, respectively. The corresponding assets, the short and long-term lease liabilities from our finance leases are included in property and equipment, accrued liabilities and other liabilities in our consolidated balance sheets, respectively.</w:t>
      </w:r>
    </w:p>
    <w:p>
      <w:pPr>
        <w:spacing w:after="0" w:line="21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ROU assets represent our right to use an underlying asset for the lease term.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therefore we use our incremental borrowing rate at the lease commencement date to determine the present value of lease payments. The determination of our incremental borrowing rate requires judgment. We determine our incremental borrowing rate for each lease using indicative bank borrowing rates, adjusted for various factors including level of collateralization, term and currency to align with the terms of a lease. The operating lease ROU asset also includes any lease prepayments, net of lease incentives. Certain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1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Lease expense for lease payments for our operating leases is recognized on a straight-line basis over the term of the lease. We begin recognizing rent expense on the date that a lessor makes an underlying asset that is subject to the lease available for our use. For our finance leases, we recognize amortization expense from the amortization of the corresponding assets and interest expense on the related lease liabilities.</w:t>
      </w:r>
    </w:p>
    <w:p>
      <w:pPr>
        <w:spacing w:after="0" w:line="203"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Prior to 2019, leases were recognized under FASB Topic 840, Leases (“Topic 840”). Under Topic 840, related rent expense was recognized on a straight-line basis over the term of the lease. Rent holidays and scheduled rent increases were included in the determination of rent expense to be recorded over the lease term. Lease incentives were recognized as a reduction of rent expense on a straight-line basis over the term of the lease. Renewals were not assumed in the determination of the lease term unless they were deemed to be reasonably assured at the inception of the lease. We began recognizing rent expense on the date that we obtained the legal right to use and control the leased space.</w:t>
      </w:r>
    </w:p>
    <w:p>
      <w:pPr>
        <w:spacing w:after="0" w:line="206"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Advertising Expense</w:t>
      </w:r>
      <w:r>
        <w:rPr>
          <w:rFonts w:ascii="Times New Roman" w:cs="Times New Roman" w:eastAsia="Times New Roman" w:hAnsi="Times New Roman"/>
          <w:sz w:val="18"/>
          <w:szCs w:val="18"/>
          <w:color w:val="auto"/>
        </w:rPr>
        <w:t>—Advertising costs are expensed when incurred and are included in operating expenses in the accompanying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income. Our advertising expenses were not significant for any periods presented.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r>
        <w:rPr>
          <w:rFonts w:ascii="Times New Roman" w:cs="Times New Roman" w:eastAsia="Times New Roman" w:hAnsi="Times New Roman"/>
          <w:sz w:val="18"/>
          <w:szCs w:val="18"/>
          <w:color w:val="auto"/>
        </w:rPr>
        <w:t>—Research and development costs are expensed as incurred.</w:t>
      </w:r>
    </w:p>
    <w:p>
      <w:pPr>
        <w:spacing w:after="0" w:line="252" w:lineRule="exact"/>
        <w:rPr>
          <w:sz w:val="20"/>
          <w:szCs w:val="20"/>
          <w:color w:val="auto"/>
        </w:rPr>
      </w:pPr>
    </w:p>
    <w:p>
      <w:pPr>
        <w:jc w:val="both"/>
        <w:ind w:right="3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Software Development Costs</w:t>
      </w:r>
      <w:r>
        <w:rPr>
          <w:rFonts w:ascii="Times New Roman" w:cs="Times New Roman" w:eastAsia="Times New Roman" w:hAnsi="Times New Roman"/>
          <w:sz w:val="18"/>
          <w:szCs w:val="18"/>
          <w:color w:val="auto"/>
        </w:rPr>
        <w:t>—The costs to develop software that is marketed have not been capitalized as we believe our current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process is essentially completed concurrently with the establishment of technological feasibility. Such costs are expensed as incurred and included in research and development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costs to obtain or develop software for internal use are capitalized based on qualifying criteria, which includes a determination of whether such costs are incurred during the application development stage. Such costs are amortized over the software’s estimated useful life.</w:t>
      </w:r>
    </w:p>
    <w:p>
      <w:pPr>
        <w:spacing w:after="0" w:line="11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7"/>
          <w:szCs w:val="17"/>
          <w:b w:val="1"/>
          <w:bCs w:val="1"/>
          <w:color w:val="auto"/>
        </w:rPr>
        <w:t>Deferred Contract Costs and Commission Expense</w:t>
      </w:r>
      <w:r>
        <w:rPr>
          <w:rFonts w:ascii="Times New Roman" w:cs="Times New Roman" w:eastAsia="Times New Roman" w:hAnsi="Times New Roman"/>
          <w:sz w:val="17"/>
          <w:szCs w:val="17"/>
          <w:color w:val="auto"/>
        </w:rPr>
        <w:t>—Sales commissions earned by our sales force are considered incremental and recoverable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costs of obtaining a contract with a customer. We recognize sales commissions expenses related to product sales upfront while sales commissions expenses for service contracts are deferred as deferred contract costs in the consolidated balance sheets and amortized over the applicable amortization period.</w:t>
      </w:r>
    </w:p>
    <w:p>
      <w:pPr>
        <w:spacing w:after="0" w:line="1"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Commission costs for initial contracts that are not commensurate with renewal commissions are amortized on a straight-line basis over the period of benefit, which we have determined to be five years and which is typically longer than the initial contract term. The amortization of deferred contract costs is included in sales and marketing expense in our consolidated statements of income. Amortization of deferred contract costs during 2020, 2019 and 2018 was $137.4 million, $107.9 million and $90.9 million, respectively. No impairment loss was recognized during 2020, 2019 and 2018.</w:t>
      </w:r>
    </w:p>
    <w:p>
      <w:pPr>
        <w:spacing w:after="0" w:line="208" w:lineRule="exact"/>
        <w:rPr>
          <w:sz w:val="20"/>
          <w:szCs w:val="20"/>
          <w:color w:val="auto"/>
        </w:rPr>
      </w:pPr>
    </w:p>
    <w:p>
      <w:pPr>
        <w:jc w:val="both"/>
        <w:ind w:right="220" w:firstLine="648"/>
        <w:spacing w:after="0" w:line="246" w:lineRule="auto"/>
        <w:rPr>
          <w:sz w:val="20"/>
          <w:szCs w:val="20"/>
          <w:color w:val="auto"/>
        </w:rPr>
      </w:pPr>
      <w:r>
        <w:rPr>
          <w:rFonts w:ascii="Times New Roman" w:cs="Times New Roman" w:eastAsia="Times New Roman" w:hAnsi="Times New Roman"/>
          <w:sz w:val="18"/>
          <w:szCs w:val="18"/>
          <w:b w:val="1"/>
          <w:bCs w:val="1"/>
          <w:color w:val="auto"/>
        </w:rPr>
        <w:t>Deferred Revenue</w:t>
      </w:r>
      <w:r>
        <w:rPr>
          <w:rFonts w:ascii="Times New Roman" w:cs="Times New Roman" w:eastAsia="Times New Roman" w:hAnsi="Times New Roman"/>
          <w:sz w:val="18"/>
          <w:szCs w:val="18"/>
          <w:color w:val="auto"/>
        </w:rPr>
        <w:t>—Deferred revenue consists of amounts that have been invoiced but that have not yet been recognized as revenue.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that will be recognized during the succeeding 12-month period is recorded as current deferred revenue and the remaining portion is recorded as non-current deferred revenue. The majority of deferred revenue is comprised of security subscription and technical support services which are invoiced upfront and delivered over 12 months or longer.</w:t>
      </w:r>
    </w:p>
    <w:p>
      <w:pPr>
        <w:spacing w:after="0" w:line="20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—Our revenue consists of product and service revenue. Revenues are recognized when control of these goods or services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to our customers, in an amount that reflects the consideration we expect to be entitled to in exchange for those goods or services. We determine revenue recognition through the following steps:</w:t>
      </w:r>
    </w:p>
    <w:p>
      <w:pPr>
        <w:spacing w:after="0" w:line="202" w:lineRule="exact"/>
        <w:rPr>
          <w:sz w:val="20"/>
          <w:szCs w:val="20"/>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or contracts with a customer;</w:t>
      </w:r>
    </w:p>
    <w:p>
      <w:pPr>
        <w:spacing w:after="0" w:line="27" w:lineRule="exact"/>
        <w:rPr>
          <w:rFonts w:ascii="Times New Roman" w:cs="Times New Roman" w:eastAsia="Times New Roman" w:hAnsi="Times New Roman"/>
          <w:sz w:val="18"/>
          <w:szCs w:val="18"/>
          <w:color w:val="auto"/>
        </w:rPr>
      </w:pPr>
    </w:p>
    <w:p>
      <w:pPr>
        <w:ind w:left="1300" w:right="240" w:hanging="320"/>
        <w:spacing w:after="0" w:line="250" w:lineRule="auto"/>
        <w:tabs>
          <w:tab w:leader="none" w:pos="12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a contract, including evaluation of performance obligations and evaluating the distinct goods or services in a contract;</w:t>
      </w: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a transaction price;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a transaction price to the performance obligations in a contract;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3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derive a majority of product sales from our FortiGate hardware and virtual machine products which include a broad set of built-in security and networking features and functionalities, including firewall, next-generation firewall, secure web gateway, secure sockets layer (“SSL”) inspection, software-defined wide-area network, intrusion prevention, SSL data leak prevention, virtual private network, switch and wireless controller and wide area network edge.</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recognize product revenue upon shipment when control of the promised goods is transferred to the customer. Our term software licenses represent multiple performance obligations, which include software licenses and software support services where the term licenses are recognized upfront upon transfer of control, with the associated software support services recognized ratably over the contract term as services and software updates are provided.</w:t>
      </w:r>
    </w:p>
    <w:p>
      <w:pPr>
        <w:spacing w:after="0" w:line="207"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Service revenue relates to sales of our FortiGuard security subscription, FortiCare technical support services and other services. Our typical subscription and contractual support term is one to three years, and to a lesser extent, five years. We generally recognize revenue from these services ratably over the support period because of continuous transfer of control to the customer. Revenue related to subsequent renewals of these services are recognized over the support term of the renewal agreement. We also generate a small portion of our revenue from other services consisting of professional services, training and software-as-a-service (“SaaS”) which is either hosted by us or provided through cloud-providers. We recognize revenue from professional and training services as the services are provided. We recognize revenue from SaaS as the subscription service is delivered over the term, which is typically one year, or on a monthly usage basis. To date, SaaS revenue has not represented a significant percentage of our total revenue.</w:t>
      </w:r>
    </w:p>
    <w:p>
      <w:pPr>
        <w:spacing w:after="0" w:line="198" w:lineRule="exact"/>
        <w:rPr>
          <w:sz w:val="20"/>
          <w:szCs w:val="20"/>
          <w:color w:val="auto"/>
        </w:rPr>
      </w:pPr>
    </w:p>
    <w:p>
      <w:pPr>
        <w:ind w:right="240" w:firstLine="648"/>
        <w:spacing w:after="0" w:line="260" w:lineRule="auto"/>
        <w:rPr>
          <w:sz w:val="20"/>
          <w:szCs w:val="20"/>
          <w:color w:val="auto"/>
        </w:rPr>
      </w:pPr>
      <w:r>
        <w:rPr>
          <w:rFonts w:ascii="Times New Roman" w:cs="Times New Roman" w:eastAsia="Times New Roman" w:hAnsi="Times New Roman"/>
          <w:sz w:val="17"/>
          <w:szCs w:val="17"/>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 Revenue is reported net of sales tax.</w:t>
      </w:r>
    </w:p>
    <w:p>
      <w:pPr>
        <w:spacing w:after="0" w:line="20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certain circumstances, our contracts include provisions for sales rebates and other customer incentive programs. Additionally, in limited circumstances, we may permit end-customers, distributors and resellers to return our products, subject to varying limitations, for a refund within a reasonably short period from the date of purchase. These amounts are accounted for as variable consideration that can decrease the transaction price. We estimate variable consideration using the expected-value method based on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refund liabilities, which include sales returns reserve and customer rebates, was $43.0 million and $27.6 million as of December 31, 2020 and 2019, respectively, and is included in current liabilities in our consolidated balance sheet.</w:t>
      </w:r>
    </w:p>
    <w:p>
      <w:pPr>
        <w:spacing w:after="0" w:line="219"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generally invoice at the time of our sale for the total price of the hardware, software licenses, security and technical support and other services. Standard payment terms are generally no more than 60 days, but we have accepted more requests for non-standard payment terms since the first quarter of 2021. We also invoice certain services on a monthly basis. Amounts billed and due from our customers are classified as receivables on the balance sheet and do not bear interest. Our deferred revenue primarily consists of amounts that have been invoiced but have not been recognized as revenue as of period end.</w:t>
      </w:r>
    </w:p>
    <w:p>
      <w:pPr>
        <w:spacing w:after="0" w:line="21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fees charged to our customers are recognized as revenue in the period shipped and the related costs for providing these services are recorded in cost of revenue. Shipping and handling fees recognized were not significant during 2020, 2019 and 2018.</w:t>
      </w:r>
    </w:p>
    <w:p>
      <w:pPr>
        <w:spacing w:after="0" w:line="185"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7"/>
          <w:szCs w:val="17"/>
          <w:b w:val="1"/>
          <w:bCs w:val="1"/>
          <w:color w:val="auto"/>
        </w:rPr>
        <w:t>Warranties</w:t>
      </w:r>
      <w:r>
        <w:rPr>
          <w:rFonts w:ascii="Times New Roman" w:cs="Times New Roman" w:eastAsia="Times New Roman" w:hAnsi="Times New Roman"/>
          <w:sz w:val="17"/>
          <w:szCs w:val="17"/>
          <w:color w:val="auto"/>
        </w:rPr>
        <w:t>—We generally provide a one-year warranty on most hardware products and a 90-day warranty on software. We also provide extended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warranties under the terms of our support agreements. A provision for estimated future costs related to warranty activities in the first year after product sale is recorded as a component of cost of product revenues when the product revenue is recognized, based upon historical product failure rates and historical costs incurred in correcting product failures. Warranty costs related to extended warranties sold under support agreements are recognized as cost of service revenue as incurred. In the event we change our warranty reserve estimates, the resulting charge against future cost of revenue or reversal of previously recorded charges may materially affect our gross margins and operating results. Accrued warranty was not significant as of December 31, 2020 and 2019.</w:t>
      </w:r>
    </w:p>
    <w:p>
      <w:pPr>
        <w:spacing w:after="0" w:line="19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Contingent Liabilities</w:t>
      </w:r>
      <w:r>
        <w:rPr>
          <w:rFonts w:ascii="Times New Roman" w:cs="Times New Roman" w:eastAsia="Times New Roman" w:hAnsi="Times New Roman"/>
          <w:sz w:val="18"/>
          <w:szCs w:val="18"/>
          <w:color w:val="auto"/>
        </w:rPr>
        <w:t>—From time to time, we are involved in disputes, litigation, and other legal actions. There are many uncertainties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any disputes, litigation and other legal actions, and these actions or other third-party claims against us may cause us to incur costly litigation fees, costs and substantial settlement charges, and possibly subject us to damages and other penalties, which are inherently difficult to estimate and could adversely affect our results of operations. In addition, the resolution of any IP litigation may require us to make royalty payments, which could adversely affect our gross margins in future periods. We review significant new claims and litigation for the probability of an adverse outcome. Estimates can change as individual claims develop. The actual liability in any such matters may be materially different from our estimates, which could result in the need to adjust our liability and record additional expenses, which may be 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2016-13—Financial Instruments—Credit Losses (Topic 326): Measurement of Credit Losses on Financial Instruments, which provides guidance on how an entity should measure credit losses on financial instruments. The standard replaces the existing incurred loss model with an expected credit loss model for financial assets measured at amortized cost, including trade receivables, and requires that credit losses on available-for-sale debt securities be presented as an allowance rather than as a write-down. The new approach to estimating credit losses (referred to as the current expected credit losses model) generally accelerates recognition of credit losses. We adopted Topic 326 on January 1, 2020 using the modified retrospective method. The adoption of this standard did not have a material impact on our consolidated financial statements. We continue to monitor the financial implications of the COVID-19 pandemic on expected credit losses.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w:t>
      </w:r>
    </w:p>
    <w:p>
      <w:pPr>
        <w:spacing w:after="0" w:line="254"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2018-15—Intangibles—Goodwill and Other—Internal-Use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ASC Topic 350, Intangibles—Goodwill and Other, to determine which implementation costs to capitalize as assets or expense as incurred. We adopted ASU 2018-15 on January 1, 2020. The adoption of this standard did not have a material impact on our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5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2018-13—Fair Value Measurement (Topic 820): Disclosure Framework—Changes to the Disclosure Requirements for Fair Value Measurement, which eliminates, adds and modifies certain disclosure requirements for fair value measurements in ASC 820, Fair Value Measurement, as part of its disclosure framework project. We adopted ASU 2018-13 on January 1, 2020. The adoption of this standard did not have a material impact on our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December 2019, the FASB issued ASU 2019-12—Income Taxes (Topic 740): Simplifying the Accounting for Income Taxes.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ASU 2019-12 is effective for us beginning on January 1, 2021. We do not expect that ASC 2019-12 will have a material impact on our consolidated financial statements.</w:t>
      </w:r>
    </w:p>
    <w:p>
      <w:pPr>
        <w:spacing w:after="0" w:line="200" w:lineRule="exact"/>
        <w:rPr>
          <w:sz w:val="20"/>
          <w:szCs w:val="20"/>
          <w:color w:val="auto"/>
        </w:rPr>
      </w:pPr>
    </w:p>
    <w:p>
      <w:pPr>
        <w:spacing w:after="0" w:line="247"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IMMATERIAL CORRECTION OF PRIOR PERIOD FINANCIAL STATEMENTS</w:t>
      </w:r>
    </w:p>
    <w:p>
      <w:pPr>
        <w:spacing w:after="0" w:line="25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Subsequent to the issuance of our consolidated financial statements for the period ended December 31, 2019, we identified an immaterial error related to the commencement of revenue recognition for certain FortiCare support service contracts. Rather than commencing recognition upon end user registration, we should have commenced recognition when control had passed to the distributor, which we have determined is our customer. We assessed the effect of this correction, individually and in the aggregate, on prior periods’ financial statements in accordance with the SEC’s Staff Accounting Bulletin Nos. 99 and 108 and, based on an analysis of quantitative and qualitative factors, determined that the correction was not individually material to any of our prior interim or annual consolidated financial statements.</w:t>
      </w:r>
    </w:p>
    <w:p>
      <w:pPr>
        <w:spacing w:after="0" w:line="21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financial information contained in the accompanying notes to these consolidated financial statements has been revised to reflect the correction of this error.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corrections to our consolidated balance sheet as of December 31, 2019 were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1"/>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Previously Reported</w:t>
            </w:r>
          </w:p>
        </w:tc>
        <w:tc>
          <w:tcPr>
            <w:tcW w:w="2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Corrections</w:t>
            </w:r>
          </w:p>
        </w:tc>
        <w:tc>
          <w:tcPr>
            <w:tcW w:w="280" w:type="dxa"/>
            <w:vAlign w:val="bottom"/>
          </w:tcPr>
          <w:p>
            <w:pPr>
              <w:spacing w:after="0"/>
              <w:rPr>
                <w:sz w:val="18"/>
                <w:szCs w:val="18"/>
                <w:color w:val="auto"/>
              </w:rPr>
            </w:pPr>
          </w:p>
        </w:tc>
        <w:tc>
          <w:tcPr>
            <w:tcW w:w="15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As Corrected</w:t>
            </w:r>
          </w:p>
        </w:tc>
      </w:tr>
      <w:tr>
        <w:trPr>
          <w:trHeight w:val="211"/>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3,879.2</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r>
      <w:tr>
        <w:trPr>
          <w:trHeight w:val="229"/>
        </w:trPr>
        <w:tc>
          <w:tcPr>
            <w:tcW w:w="5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w:t>
            </w:r>
          </w:p>
        </w:tc>
      </w:tr>
      <w:tr>
        <w:trPr>
          <w:trHeight w:val="230"/>
        </w:trPr>
        <w:tc>
          <w:tcPr>
            <w:tcW w:w="5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29"/>
        </w:trPr>
        <w:tc>
          <w:tcPr>
            <w:tcW w:w="5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3,879.2</w:t>
            </w:r>
          </w:p>
        </w:tc>
      </w:tr>
    </w:tbl>
    <w:p>
      <w:pPr>
        <w:spacing w:after="0" w:line="30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corrections to our consolidated statements of income for the year ended December 31, 2019 and December 31, 2018 were as follows (in millions,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Corrections</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Corrected</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6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Corrections</w:t>
            </w:r>
          </w:p>
        </w:tc>
        <w:tc>
          <w:tcPr>
            <w:tcW w:w="120" w:type="dxa"/>
            <w:vAlign w:val="bottom"/>
          </w:tcPr>
          <w:p>
            <w:pPr>
              <w:spacing w:after="0"/>
              <w:rPr>
                <w:sz w:val="13"/>
                <w:szCs w:val="13"/>
                <w:color w:val="auto"/>
              </w:rPr>
            </w:pP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8"/>
              </w:rPr>
              <w:t>As Corrected</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0" w:type="dxa"/>
            <w:vAlign w:val="bottom"/>
          </w:tcPr>
          <w:p>
            <w:pPr>
              <w:spacing w:after="0"/>
              <w:rPr>
                <w:sz w:val="1"/>
                <w:szCs w:val="1"/>
                <w:color w:val="auto"/>
              </w:rPr>
            </w:pPr>
          </w:p>
        </w:tc>
      </w:tr>
      <w:tr>
        <w:trPr>
          <w:trHeight w:val="230"/>
        </w:trPr>
        <w:tc>
          <w:tcPr>
            <w:tcW w:w="3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(Note 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878"/>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corrections to our consolidated statements of cash flows for the year ended December 31, 2019 and December 31, 2018 were as follows (in millions):</w:t>
      </w:r>
    </w:p>
    <w:p>
      <w:pPr>
        <w:spacing w:after="0" w:line="8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Corrections</w:t>
            </w:r>
          </w:p>
        </w:tc>
        <w:tc>
          <w:tcPr>
            <w:tcW w:w="10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Corrected</w:t>
            </w:r>
          </w:p>
        </w:tc>
        <w:tc>
          <w:tcPr>
            <w:tcW w:w="120" w:type="dxa"/>
            <w:vAlign w:val="bottom"/>
          </w:tcPr>
          <w:p>
            <w:pPr>
              <w:spacing w:after="0"/>
              <w:rPr>
                <w:sz w:val="13"/>
                <w:szCs w:val="13"/>
                <w:color w:val="auto"/>
              </w:rPr>
            </w:pPr>
          </w:p>
        </w:tc>
        <w:tc>
          <w:tcPr>
            <w:tcW w:w="11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Corrections</w:t>
            </w:r>
          </w:p>
        </w:tc>
        <w:tc>
          <w:tcPr>
            <w:tcW w:w="120" w:type="dxa"/>
            <w:vAlign w:val="bottom"/>
          </w:tcPr>
          <w:p>
            <w:pPr>
              <w:spacing w:after="0"/>
              <w:rPr>
                <w:sz w:val="13"/>
                <w:szCs w:val="13"/>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Corrected</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CASH FLOWS FROM OPERATING</w:t>
            </w: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434"/>
              <w:spacing w:after="0"/>
              <w:rPr>
                <w:sz w:val="20"/>
                <w:szCs w:val="20"/>
                <w:color w:val="auto"/>
              </w:rPr>
            </w:pPr>
            <w:r>
              <w:rPr>
                <w:rFonts w:ascii="Times New Roman" w:cs="Times New Roman" w:eastAsia="Times New Roman" w:hAnsi="Times New Roman"/>
                <w:sz w:val="18"/>
                <w:szCs w:val="18"/>
                <w:color w:val="auto"/>
                <w:w w:val="98"/>
              </w:rPr>
              <w:t>332.2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334.9</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880"/>
              <w:spacing w:after="0" w:line="176" w:lineRule="exact"/>
              <w:rPr>
                <w:sz w:val="20"/>
                <w:szCs w:val="20"/>
                <w:color w:val="auto"/>
              </w:rPr>
            </w:pPr>
            <w:r>
              <w:rPr>
                <w:rFonts w:ascii="Times New Roman" w:cs="Times New Roman" w:eastAsia="Times New Roman" w:hAnsi="Times New Roman"/>
                <w:sz w:val="18"/>
                <w:szCs w:val="18"/>
                <w:color w:val="auto"/>
              </w:rPr>
              <w:t>Changes in operating assets and</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8"/>
              </w:rPr>
              <w:t>(127.8)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8"/>
              </w:rPr>
              <w:t>352.1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8"/>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8"/>
              </w:rPr>
              <w:t>348.7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For all periods in which we corrected net income, we made corresponding corrections to net income and comprehensive income in our consolidated statements of comprehensive income and to net income, retained earnings (accumulated deficit) and total stockholders’ equity in our consolidated statements of stockholders’ equity.</w:t>
      </w:r>
    </w:p>
    <w:p>
      <w:pPr>
        <w:spacing w:after="0" w:line="199"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We sell cybersecurity solutions to a variety of organizations, such as enterprises, communication service providers, government organizations and small to medium-sized enterprises. Our revenue consists of product and service revenue. Product revenue is generated by our FortiGate network security products, our Fortinet Security Fabric platform products and other products. Service revenue relates to sales of our security subscription services, which mainly consist of our FortiGuard security solutions, as well as our FortiCare technical support services and other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Disaggregation of Revenue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58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r>
      <w:tr>
        <w:trPr>
          <w:trHeight w:val="229"/>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w:t>
            </w:r>
          </w:p>
        </w:tc>
      </w:tr>
      <w:tr>
        <w:trPr>
          <w:trHeight w:val="223"/>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service revenue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1,804.6</w:t>
            </w:r>
          </w:p>
        </w:tc>
      </w:tr>
      <w:tr>
        <w:trPr>
          <w:trHeight w:val="20"/>
        </w:trPr>
        <w:tc>
          <w:tcPr>
            <w:tcW w:w="5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54"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Our deferred revenue consists of amounts that have been invoiced but have not been recognized as revenue as of period end. During 2020, we recognized $1.15 billion in revenue that was included in the deferred revenue balance as of December 31, 2019. During 2019, we recognized $935.0 million in revenue that was included in the deferred revenue balance as of December 31, 2018.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5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the aggregate amount of the transaction price allocated to remaining performance obligations was $2.61 billion, which was substantially comprised of deferred security subscription and technical support services. We expect to recognize approximately $1.39 billion as revenue over the next 12 months and the remainder thereafter.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investments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8"/>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13"/>
                <w:szCs w:val="13"/>
                <w:color w:val="auto"/>
              </w:rPr>
            </w:pPr>
          </w:p>
        </w:tc>
        <w:tc>
          <w:tcPr>
            <w:tcW w:w="1160" w:type="dxa"/>
            <w:vAlign w:val="bottom"/>
          </w:tcPr>
          <w:p>
            <w:pPr>
              <w:jc w:val="center"/>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8"/>
                <w:szCs w:val="18"/>
                <w:color w:val="auto"/>
              </w:rPr>
            </w:pPr>
          </w:p>
        </w:tc>
        <w:tc>
          <w:tcPr>
            <w:tcW w:w="116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29"/>
        </w:trPr>
        <w:tc>
          <w:tcPr>
            <w:tcW w:w="4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Certificates of deposit and term deposits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48"/>
        </w:trPr>
        <w:tc>
          <w:tcPr>
            <w:tcW w:w="49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8"/>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13"/>
                <w:szCs w:val="13"/>
                <w:color w:val="auto"/>
              </w:rPr>
            </w:pPr>
          </w:p>
        </w:tc>
        <w:tc>
          <w:tcPr>
            <w:tcW w:w="1160" w:type="dxa"/>
            <w:vAlign w:val="bottom"/>
          </w:tcPr>
          <w:p>
            <w:pPr>
              <w:jc w:val="center"/>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8"/>
                <w:szCs w:val="18"/>
                <w:color w:val="auto"/>
              </w:rPr>
            </w:pPr>
          </w:p>
        </w:tc>
        <w:tc>
          <w:tcPr>
            <w:tcW w:w="116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30"/>
        </w:trPr>
        <w:tc>
          <w:tcPr>
            <w:tcW w:w="4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Certificates of deposit and term deposits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48"/>
        </w:trPr>
        <w:tc>
          <w:tcPr>
            <w:tcW w:w="49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220" w:hanging="160"/>
        <w:spacing w:after="0"/>
        <w:tabs>
          <w:tab w:leader="none" w:pos="220" w:val="left"/>
        </w:tabs>
        <w:numPr>
          <w:ilvl w:val="0"/>
          <w:numId w:val="4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majority of our certificates of deposit and term deposits are foreign deposits.</w:t>
      </w:r>
    </w:p>
    <w:p>
      <w:pPr>
        <w:spacing w:after="0" w:line="31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investments that have been in a continuous unrealized loss position (in millions):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08"/>
        </w:trPr>
        <w:tc>
          <w:tcPr>
            <w:tcW w:w="4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1"/>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(0.1)</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(0.1)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our investments were as follows (in millions):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r>
      <w:tr>
        <w:trPr>
          <w:trHeight w:val="229"/>
        </w:trPr>
        <w:tc>
          <w:tcPr>
            <w:tcW w:w="7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48"/>
        </w:trPr>
        <w:tc>
          <w:tcPr>
            <w:tcW w:w="7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Available-for-sale securities are reported at fair value, with unrealized gains and losses and the related tax impact included as a separate component of stockholders’ equity and in comprehensive income. Accrued interest of $2.8 million as of December 31, 2020 was excluded from both the fair value and the amortized cost of our available-for-sale securities and was recorded in prepaid expenses and other current assets in our consolidated balance sheet.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securities were insignificant in the periods presented.</w:t>
      </w:r>
    </w:p>
    <w:p>
      <w:pPr>
        <w:spacing w:after="0" w:line="23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89" w:lineRule="exact"/>
        <w:rPr>
          <w:sz w:val="20"/>
          <w:szCs w:val="20"/>
          <w:color w:val="auto"/>
        </w:rPr>
      </w:pPr>
    </w:p>
    <w:p>
      <w:pPr>
        <w:ind w:left="1300" w:right="30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measure the fair value of money market funds and certain U.S. government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Recurring Basis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of our financial assets measured at fair value on a recurring basis (in millions):</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0"/>
                <w:szCs w:val="10"/>
                <w:color w:val="auto"/>
              </w:rPr>
            </w:pPr>
          </w:p>
        </w:tc>
        <w:tc>
          <w:tcPr>
            <w:tcW w:w="920" w:type="dxa"/>
            <w:vAlign w:val="bottom"/>
            <w:vMerge w:val="restart"/>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78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920" w:type="dxa"/>
            <w:vAlign w:val="bottom"/>
          </w:tcPr>
          <w:p>
            <w:pPr>
              <w:jc w:val="center"/>
              <w:ind w:right="82"/>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76"/>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40" w:type="dxa"/>
            <w:vAlign w:val="bottom"/>
          </w:tcPr>
          <w:p>
            <w:pPr>
              <w:spacing w:after="0"/>
              <w:rPr>
                <w:sz w:val="10"/>
                <w:szCs w:val="10"/>
                <w:color w:val="auto"/>
              </w:rPr>
            </w:pPr>
          </w:p>
        </w:tc>
        <w:tc>
          <w:tcPr>
            <w:tcW w:w="780" w:type="dxa"/>
            <w:vAlign w:val="bottom"/>
          </w:tcPr>
          <w:p>
            <w:pPr>
              <w:jc w:val="center"/>
              <w:ind w:right="76"/>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40" w:type="dxa"/>
            <w:vAlign w:val="bottom"/>
          </w:tcPr>
          <w:p>
            <w:pPr>
              <w:spacing w:after="0"/>
              <w:rPr>
                <w:sz w:val="14"/>
                <w:szCs w:val="14"/>
                <w:color w:val="auto"/>
              </w:rPr>
            </w:pPr>
          </w:p>
        </w:tc>
        <w:tc>
          <w:tcPr>
            <w:tcW w:w="78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4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0" w:type="dxa"/>
            <w:vAlign w:val="bottom"/>
          </w:tcPr>
          <w:p>
            <w:pPr>
              <w:spacing w:after="0"/>
              <w:rPr>
                <w:sz w:val="1"/>
                <w:szCs w:val="1"/>
                <w:color w:val="auto"/>
              </w:rPr>
            </w:pPr>
          </w:p>
        </w:tc>
      </w:tr>
      <w:tr>
        <w:trPr>
          <w:trHeight w:val="212"/>
        </w:trPr>
        <w:tc>
          <w:tcPr>
            <w:tcW w:w="26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Certificates of deposit and</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deposits</w:t>
            </w: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year ended December 31, 2020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3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consisted of the following (in millions):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58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48"/>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the following (in millions):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Construction-in-progress consists primarily of costs incurred in connection with the construction of a second building at our headquarters campus.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$55.5 million, $50.7 million and $46.7 million in 2020, 2019 and 2018, respectively.</w:t>
      </w:r>
    </w:p>
    <w:p>
      <w:pPr>
        <w:spacing w:after="0" w:line="248"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PRIVATELY HELD COMPANIES</w:t>
      </w:r>
    </w:p>
    <w:p>
      <w:pPr>
        <w:spacing w:after="0" w:line="25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7"/>
          <w:szCs w:val="17"/>
          <w:color w:val="auto"/>
        </w:rPr>
        <w:t>Our investments in the equity securities of privately held companies without readily determinable fair values totaled $1.0 million and $5.3 million as of December 31, 2020 and 2019, respectively. These investments are accounted for at cost, adjusted for changes in observable prices minus impairment. These investments are recorded as other assets in our consolidated balance sheets and would be measured at fair value if indicators of an increase in value</w:t>
      </w:r>
    </w:p>
    <w:p>
      <w:pPr>
        <w:spacing w:after="0" w:line="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or impairment existed. In the first quarter of 2020 and in the third quarter of 2019, we recognized non-cash impairment charges of $4.3 million and $3.8 million in other expense—net in our consolidated statements of income, respectively. Cumulative impairment adjustments to all equity securities without readily determinable fair values totaled $8.1 million since their respective acquisitions. During the third quarter of 2018, we sold equity securities of a privately held company for $5.2 million and recognized a gain of $2.2 million to other expense—net in our consolidated statements of income. As of December 31, 2020, no other events have occurred that would affect the carrying value of these investments.</w:t>
      </w:r>
    </w:p>
    <w:p>
      <w:pPr>
        <w:spacing w:after="0" w:line="204"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30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2020 Acquisitions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Panopta Holdings LLC</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December 9, 2020, we acquired all outstanding shares of Panopta Holdings LLC (“Panopta”), a privately held SaaS platform innovator that provides visibility, automated management and alerting, and remediation for enterprise networks and infrastructure.</w:t>
      </w:r>
    </w:p>
    <w:p>
      <w:pPr>
        <w:spacing w:after="0" w:line="18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Under the acquisition method of accounting in accordance with ASC 805, the total preliminary purchase price was allocated to Panopta’s identifiable tangible and intangible assets acquired and liabilities assumed based on their estimated fair values using management’s best estimates and assumptions to assign fair value as of the acquisition date. The preliminary purchase price for Panopta was $31.9 million in cash, of which $24.8 million was allocated to goodwill and $9.0 million was allocated to identifiable intangible assets, the majority of which was developed technology, offset by $1.9 million of net liabilities assumed, which predominantly included cash and accounts payable. Goodwill recorded in connection with this acquisition represents the value we expect to be created through expansion into markets within our existing business, and potential cost savings and synergies, and $16.9 million of goodwill is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for this acquisition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OPAQ Networks, Inc.</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20, 2020, we acquired all outstanding shares of OPAQ Networks, Inc. (“OPAQ”), a privately held Secure Access Service Edge cloud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w:t>
      </w:r>
    </w:p>
    <w:p>
      <w:pPr>
        <w:spacing w:after="0" w:line="234"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Under the acquisition method of accounting in accordance with ASC 805, the total preliminary purchase price was allocated to OPAQ’s identifiable tangible and intangible assets acquired and liabilities assumed based on their estimated fair values using management’s best estimates and assumptions to assign fair value as of the acquisition date. The preliminary purchase price for OPAQ was $8.0 million in cash, of which $1.0 million was allocated to goodwill, $4.7 million was allocated to identifiable intangible assets, the majority of which was developed technology, and $2.3 million was allocated to other net assets acquired, which predominantly included cash, deferred tax assets, operating lease right-of-use assets and lease liabilities, accounts payable, accrued liabilities and assumed debt. The preliminary purchase price included a $1.3 million indemnity fund held in escrow for 12 months after the transaction closing date. Goodwill recorded in connection with this acquisition represents the value we expect to be created through expansion into markets within our existing business, and potential cost savings and synergies, and goodwill is non-deductible for tax purposes.</w:t>
      </w:r>
    </w:p>
    <w:p>
      <w:pPr>
        <w:spacing w:after="0" w:line="21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for this acquisition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Acquisitions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CyberSponse, Inc.</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December 12, 2019, we acquired all outstanding shares of CyberSponse, Inc. (“CyberSponse”), a provider of security orchestration, automation and response products and services. The purchase price for CyberSponse was $26.1 million, of which $18.6 million was allocated to goodwill that was non-deductible for tax purposes and $9.1 million was allocated to identifiable intangible assets, the majority of which was developed technology, offset by $1.6 million of net liabilities assumed. We incurred a $4.1 million liability in connection with this business combination, the majority of which related to the settlement of CyberSponse’s equity awards in cash, which we included in accrued liabilities in our consolidated balance sheet as of December 31, 2019, and paid during the year ended December 31, 2020. The purchase price included $3.0 million of this liability and the remaining $1.1 million was recognized as compensation cost in the consolidated statements of income for the year ended December 31, 2019. The purchase price also included $3.8 million held in indemnity escrow, of which $2.8 million was held for 12 months and released to CyberSponse shareholders during the year ended December 31, 2020, and the remaining $1.0 million will be held for 36 months after the transaction closing date.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enSilo Limited</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October 28, 2019, we acquired all outstanding shares of enSilo Limited (“enSilo”), a provider of endpoint detection and response products and services. The purchase price for enSilo was $15.8 million, of which $10.4 million was allocated to goodwill, $10.8 million was allocated to identifiable intangible assets, the majority of which was developed technology, offset by $5.4 million of net liabilities assumed. The purchase price included $2.0 million held in indemnity escrow for 12 months after the transaction closing date, of which $1.7 million was received by Fortinet and the remainder was released to enSilo shareholders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ZoneFox Holdings Limited</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October 22, 2018, we acquired all outstanding shares of ZoneFox Holdings Limited (“ZoneFox”), a privately held cloud-based company providing insider threat detection and response. The purchase price for ZoneFox was $16.1 million, of which $12.5 million was allocated to goodwill that was non-deductible for tax purposes and $6.8 million was allocated to identifiable intangible assets, the majority of which was developed technology, offset by $3.2 million of net liabilities assumed. The acquisition included a $2.0 million cash earn-out that was subject in full to satisfaction of certain performance conditions. The performance conditions were not met and the cash earn-out was not paid.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Bradford Networks, Inc.</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June 4, 2018, we acquired all outstanding shares of Bradford Networks, Inc. (“Bradford”), a provider of network access control security products and services. The purchase price for Bradford was $6.8 million, of which $11.1 million was allocated to goodwill that was non-deductible for tax purposes and $8.0 million was allocated to identifiable intangible assets, the majority of which was developed technology, offset by $12.3 million of net liabilities assumed. The acquisition included a $2.0 million cash earn-out that was subject in full to satisfaction of certain performance conditions. The performance conditions were not met and the cash earn-out was not paid.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Acquisition-Related Information</w:t>
      </w:r>
    </w:p>
    <w:p>
      <w:pPr>
        <w:spacing w:after="0" w:line="25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operating results of the acquired companies are included in our consolidated statements of income from the respective dates of acquisition. Acquisition-related costs related to each acquisition were not material. Pro forma information has not been presented as the impact of these acquisitions, individually and in the aggregate, in each year were not material to our consolidated financial statements.</w:t>
      </w:r>
    </w:p>
    <w:p>
      <w:pPr>
        <w:spacing w:after="0" w:line="19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GOODWILL AND OTHER INTANGIBLE ASSETS—Net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2019</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Additions due to business combinations</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2020</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impairments to goodwill during 2020, 2019, and 2018, or any previous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2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2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gridSpan w:val="2"/>
            <w:vMerge w:val="restart"/>
          </w:tcPr>
          <w:p>
            <w:pPr>
              <w:jc w:val="right"/>
              <w:ind w:right="1179"/>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of finite-lived intangible assets was $13.3 million, $10.9 million and $9.0 million in 2020, 2019, and 2018,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3"/>
        </w:trPr>
        <w:tc>
          <w:tcPr>
            <w:tcW w:w="9000" w:type="dxa"/>
            <w:vAlign w:val="bottom"/>
            <w:shd w:val="clear" w:color="auto" w:fill="CCEEFF"/>
          </w:tcPr>
          <w:p>
            <w:pPr>
              <w:jc w:val="right"/>
              <w:ind w:right="821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9000" w:type="dxa"/>
            <w:vAlign w:val="bottom"/>
          </w:tcPr>
          <w:p>
            <w:pPr>
              <w:jc w:val="right"/>
              <w:ind w:right="821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9000" w:type="dxa"/>
            <w:vAlign w:val="bottom"/>
            <w:shd w:val="clear" w:color="auto" w:fill="CCEEFF"/>
          </w:tcPr>
          <w:p>
            <w:pPr>
              <w:jc w:val="right"/>
              <w:ind w:right="821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9000" w:type="dxa"/>
            <w:vAlign w:val="bottom"/>
            <w:tcBorders>
              <w:bottom w:val="single" w:sz="8" w:color="CCEEFF"/>
            </w:tcBorders>
          </w:tcPr>
          <w:p>
            <w:pPr>
              <w:jc w:val="right"/>
              <w:ind w:right="82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our Employee Stock Purchase Plan (“ESPP”), which was terminated in February 2019 at the completion of the prior offering period. Dilutive shares of common stock are determined by applying the treasury stock method.</w:t>
      </w:r>
    </w:p>
    <w:p>
      <w:pPr>
        <w:spacing w:after="0" w:line="21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as follows (in millions, except per share amounts):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RSUs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ESPP</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per share</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9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0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860" w:type="dxa"/>
            <w:vAlign w:val="bottom"/>
            <w:tcBorders>
              <w:bottom w:val="single" w:sz="8" w:color="auto"/>
            </w:tcBorders>
          </w:tcPr>
          <w:p>
            <w:pPr>
              <w:jc w:val="right"/>
              <w:ind w:right="67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8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380" w:type="dxa"/>
            <w:vAlign w:val="bottom"/>
          </w:tcPr>
          <w:p>
            <w:pPr>
              <w:spacing w:after="0"/>
              <w:rPr>
                <w:sz w:val="18"/>
                <w:szCs w:val="18"/>
                <w:color w:val="auto"/>
              </w:rPr>
            </w:pPr>
          </w:p>
        </w:tc>
        <w:tc>
          <w:tcPr>
            <w:tcW w:w="10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4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6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40" w:hanging="432"/>
        <w:spacing w:after="0"/>
        <w:tabs>
          <w:tab w:leader="none" w:pos="4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have operating leases for offices, research and development facilities and data centers. Our leases have remaining terms that range from less than one year to approximately seven years, some of which include one or more options to renew, with renewal terms of up to six years. Unless and until we are reasonably certain we will exercise these renewal options, we do not include renewal options in our lease terms for calculating our lease liability, as the renewal options allow us to maintain operational flexibility.</w:t>
      </w:r>
    </w:p>
    <w:p>
      <w:pPr>
        <w:spacing w:after="0" w:line="208"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we entered into a finance lease with $3.6 million lease liabilities arising from obtaining right-of-use assets with a lease term of approximately two years. Our remaining finance leases were not material to our consolidated financial statements. The related assumptions and further disclosures for finance leases are not material.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r>
      <w:tr>
        <w:trPr>
          <w:trHeight w:val="211"/>
        </w:trPr>
        <w:tc>
          <w:tcPr>
            <w:tcW w:w="80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8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
        </w:trPr>
        <w:tc>
          <w:tcPr>
            <w:tcW w:w="8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80" w:hanging="154"/>
        <w:spacing w:after="0"/>
        <w:tabs>
          <w:tab w:leader="none" w:pos="180"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Variable lease expense for the year ended December 31, 2020 and December 31, 2019 predominantly included common area maintenance charges and parking expense.</w:t>
      </w:r>
    </w:p>
    <w:p>
      <w:pPr>
        <w:spacing w:after="0" w:line="3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Rent expense was $17.1 million for 2018. Rent expense was recognized in accordance with Topic 840 using the straight-line method over the term of a lease.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was as follows (in millions, except lease term and discount rate):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0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420" w:type="dxa"/>
            <w:vAlign w:val="bottom"/>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0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 – non-current</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17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46.1</w:t>
            </w:r>
          </w:p>
        </w:tc>
      </w:tr>
      <w:tr>
        <w:trPr>
          <w:trHeight w:val="21"/>
        </w:trPr>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-479425</wp:posOffset>
            </wp:positionV>
            <wp:extent cx="708914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-187960</wp:posOffset>
            </wp:positionV>
            <wp:extent cx="708914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180"/>
          </w:cols>
          <w:pgMar w:left="320" w:top="121" w:right="35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31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31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1"/>
        </w:trPr>
        <w:tc>
          <w:tcPr>
            <w:tcW w:w="8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0"/>
                <w:szCs w:val="20"/>
                <w:color w:val="auto"/>
              </w:rPr>
            </w:pP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0"/>
                <w:szCs w:val="20"/>
                <w:color w:val="auto"/>
              </w:rPr>
            </w:pPr>
          </w:p>
        </w:tc>
      </w:tr>
      <w:tr>
        <w:trPr>
          <w:trHeight w:val="535"/>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2020 were as follows (in millions):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19"/>
                <w:szCs w:val="19"/>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8"/>
              </w:rPr>
              <w:t>(3.0)</w:t>
            </w:r>
          </w:p>
        </w:tc>
        <w:tc>
          <w:tcPr>
            <w:tcW w:w="20" w:type="dxa"/>
            <w:vAlign w:val="bottom"/>
          </w:tcPr>
          <w:p>
            <w:pPr>
              <w:spacing w:after="0"/>
              <w:rPr>
                <w:sz w:val="19"/>
                <w:szCs w:val="19"/>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Pr>
          <w:p>
            <w:pPr>
              <w:spacing w:after="0"/>
              <w:rPr>
                <w:sz w:val="21"/>
                <w:szCs w:val="2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we had additional minimum lease payments of $4.7 million relating to the operating leases, primarily for colocation space, that had been signed but had not yet commenced. These leases will commence during 2021 and will have lease terms of approximately three to four years.</w:t>
      </w:r>
    </w:p>
    <w:p>
      <w:pPr>
        <w:spacing w:after="0" w:line="199"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MUTUAL COVENANT-NOT-TO-SUE AND RELEASE AGREEMENT</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2020, we entered into an agreement with a competitor in the network security industry whereby, in February 2020, the competitor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This agreement arose after expiration of previous agreements between the parties whereby the competitor had paid us sums for a limited term license to certain of our intellectual property (“IP”) and a limited term mutual covenant-not-to-sue.</w:t>
      </w:r>
    </w:p>
    <w:p>
      <w:pPr>
        <w:spacing w:after="0" w:line="210" w:lineRule="exact"/>
        <w:rPr>
          <w:sz w:val="20"/>
          <w:szCs w:val="20"/>
          <w:color w:val="auto"/>
        </w:rPr>
      </w:pPr>
    </w:p>
    <w:p>
      <w:pPr>
        <w:ind w:right="60" w:firstLine="177"/>
        <w:spacing w:after="0" w:line="255" w:lineRule="auto"/>
        <w:rPr>
          <w:sz w:val="20"/>
          <w:szCs w:val="20"/>
          <w:color w:val="auto"/>
        </w:rPr>
      </w:pPr>
      <w:r>
        <w:rPr>
          <w:rFonts w:ascii="Times New Roman" w:cs="Times New Roman" w:eastAsia="Times New Roman" w:hAnsi="Times New Roman"/>
          <w:sz w:val="18"/>
          <w:szCs w:val="18"/>
          <w:color w:val="auto"/>
        </w:rPr>
        <w:t>We concluded that the agreement was a 14-year contract with a total transaction price of $100.0 million, and that it contained two material distinct performance obligations: (1) the right to use our existing patents, and (2) the right to use any patents that we develop over the term of the contract. We allocated $36.0 million to the functional patents, which was recognized upon commencement of the contract; the remaining $64.0 million, representing the right to utilize future patents, will be recognized over the contract term. We further concluded that our existing patents represent functional IP that should be recognized upon granting our competitor access. We also concluded that the right to receive additional functional IP that we will develop in the future represents a stand ready obligation. Therefore, the transaction price allocated to this obligation is recognized ratably over the 14-year contract term. We estimated the stand-alone selling price of each distinct performance obligation and allocated the $100.0 million transaction price.</w:t>
      </w:r>
    </w:p>
    <w:p>
      <w:pPr>
        <w:spacing w:after="0" w:line="21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we recorded a $40.2 million gain on IP matter in our consolidated statements of income. We recorded $9.8 million in accrued liabilities and other liabilities in our consolidated balance sheet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December 31, 2020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4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—Our independent contract manufacturers procure components and build our products based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2020 and 2019, we had $259.4 million and $231.9 million, respectively, of open purchase orders with our independent contract manufacturers that may not be cancelable.</w:t>
      </w:r>
    </w:p>
    <w:p>
      <w:pPr>
        <w:spacing w:after="0" w:line="209"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and contractual obligations in the ordinary course of business for which we have not received goods or services. As of December 31, 2020 and 2019, we had $28.9 million and $12.8 million, respectively, in other contractual commitments having a remaining term in excess of one year that may not be cancelable.</w:t>
      </w:r>
    </w:p>
    <w:p>
      <w:pPr>
        <w:spacing w:after="0" w:line="20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Litigation loss contingency accruals were not material as of December 31, 2020 and 2019.</w:t>
      </w:r>
    </w:p>
    <w:p>
      <w:pPr>
        <w:spacing w:after="0" w:line="21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—Under the indemnification provisions of our standard sales contracts, we agree to defend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16"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460" w:firstLine="8"/>
        <w:spacing w:after="0" w:line="534" w:lineRule="auto"/>
        <w:tabs>
          <w:tab w:leader="none" w:pos="45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Stock-Based Compensation Plans</w:t>
      </w:r>
    </w:p>
    <w:p>
      <w:pPr>
        <w:spacing w:after="0" w:line="1"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one primary stock incentive plan, the 2009 Equity Incentive Plan, under which we have granted RSUs and stock options. We also previously had an ESPP for eligible employees, which was terminated in February 2019.</w:t>
      </w:r>
    </w:p>
    <w:p>
      <w:pPr>
        <w:spacing w:after="0" w:line="18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2009 Equity Incentive Plan</w:t>
      </w:r>
      <w:r>
        <w:rPr>
          <w:rFonts w:ascii="Times New Roman" w:cs="Times New Roman" w:eastAsia="Times New Roman" w:hAnsi="Times New Roman"/>
          <w:sz w:val="18"/>
          <w:szCs w:val="18"/>
          <w:color w:val="auto"/>
        </w:rPr>
        <w:t>—Our board of directors approved the 2009 Equity Incentive Plan in 2009. On June 21, 2019, our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the Amended and Restated Fortinet, Inc. 2009 Equity Incentive Plan (the “2009 Plan”). Among other things, the 2009 Plan provided for a net decrease in the number of shares of common stock that were authorized and available for issuance pursuant to future awards granted on or following the effective date of the 2009 Plan. On June 28, 2019, we deregistered from various registration statements on Form S-8 an aggregate of 46.2 million shares of common stock that were originally registered for issuance under the 2009 Plan.</w:t>
      </w:r>
    </w:p>
    <w:p>
      <w:pPr>
        <w:spacing w:after="0" w:line="21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maximum aggregate number of shares that may be issued under the 2009 Plan is 47,873,531 shares; provided, however, that only 13,500,000 shares may be issued or transferred pursuant to new awards granted on or following the effective date of the 2009 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no more than five years from the date of grant, and options granted to any other employee, the per share exercise price shall be no less than 100% of the closing stock price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no more than ten years and options generally vest over four years.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there were a total of 12.3 million shares of common stock available for grant under the 2009 Plan.</w:t>
      </w:r>
    </w:p>
    <w:p>
      <w:pPr>
        <w:spacing w:after="0" w:line="24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2011 Employee Stock Purchase Plan</w:t>
      </w:r>
      <w:r>
        <w:rPr>
          <w:rFonts w:ascii="Times New Roman" w:cs="Times New Roman" w:eastAsia="Times New Roman" w:hAnsi="Times New Roman"/>
          <w:sz w:val="18"/>
          <w:szCs w:val="18"/>
          <w:color w:val="auto"/>
        </w:rPr>
        <w:t>—In June 2011, our stockholders approved the ESPP. The ESPP permitted eligible employees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through regular, systematic payroll deductions, up to a maximum of 15% of employees’ compensation for each purchase period at purchase prices equal to 85% of the lesser of the fair market value of our common stock at the first trading date of the applicable offering period or the purchase date, subject to purchase limits of 4,000 shares for each purchase period or $25,000 worth of stock for each calendar year. Our board of directors voluntarily determined to terminate the ESPP, effective February 2019 at the completion of the prior offering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1"/>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7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0" w:type="dxa"/>
            <w:vAlign w:val="bottom"/>
          </w:tcPr>
          <w:p>
            <w:pPr>
              <w:spacing w:after="0"/>
              <w:rPr>
                <w:sz w:val="1"/>
                <w:szCs w:val="1"/>
                <w:color w:val="auto"/>
              </w:rPr>
            </w:pPr>
          </w:p>
        </w:tc>
      </w:tr>
      <w:tr>
        <w:trPr>
          <w:trHeight w:val="214"/>
        </w:trPr>
        <w:tc>
          <w:tcPr>
            <w:tcW w:w="75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0" w:type="dxa"/>
            <w:vAlign w:val="bottom"/>
          </w:tcPr>
          <w:p>
            <w:pPr>
              <w:spacing w:after="0"/>
              <w:rPr>
                <w:sz w:val="1"/>
                <w:szCs w:val="1"/>
                <w:color w:val="auto"/>
              </w:rPr>
            </w:pPr>
          </w:p>
        </w:tc>
      </w:tr>
      <w:tr>
        <w:trPr>
          <w:trHeight w:val="225"/>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2017</w:t>
            </w:r>
          </w:p>
        </w:tc>
        <w:tc>
          <w:tcPr>
            <w:tcW w:w="1760" w:type="dxa"/>
            <w:vAlign w:val="bottom"/>
            <w:tcBorders>
              <w:top w:val="single" w:sz="8" w:color="auto"/>
            </w:tcBorders>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30"/>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center"/>
              <w:ind w:left="1291"/>
              <w:spacing w:after="0"/>
              <w:rPr>
                <w:sz w:val="20"/>
                <w:szCs w:val="20"/>
                <w:color w:val="auto"/>
              </w:rPr>
            </w:pPr>
            <w:r>
              <w:rPr>
                <w:rFonts w:ascii="Times New Roman" w:cs="Times New Roman" w:eastAsia="Times New Roman" w:hAnsi="Times New Roman"/>
                <w:sz w:val="18"/>
                <w:szCs w:val="18"/>
                <w:color w:val="auto"/>
                <w:w w:val="98"/>
              </w:rPr>
              <w:t>(0.9)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center"/>
              <w:ind w:left="1291"/>
              <w:spacing w:after="0"/>
              <w:rPr>
                <w:sz w:val="20"/>
                <w:szCs w:val="20"/>
                <w:color w:val="auto"/>
              </w:rPr>
            </w:pPr>
            <w:r>
              <w:rPr>
                <w:rFonts w:ascii="Times New Roman" w:cs="Times New Roman" w:eastAsia="Times New Roman" w:hAnsi="Times New Roman"/>
                <w:sz w:val="18"/>
                <w:szCs w:val="18"/>
                <w:color w:val="auto"/>
                <w:w w:val="98"/>
              </w:rPr>
              <w:t>(3.9)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2018</w:t>
            </w:r>
          </w:p>
        </w:tc>
        <w:tc>
          <w:tcPr>
            <w:tcW w:w="176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29"/>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center"/>
              <w:ind w:left="1291"/>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center"/>
              <w:ind w:left="1291"/>
              <w:spacing w:after="0"/>
              <w:rPr>
                <w:sz w:val="20"/>
                <w:szCs w:val="20"/>
                <w:color w:val="auto"/>
              </w:rPr>
            </w:pPr>
            <w:r>
              <w:rPr>
                <w:rFonts w:ascii="Times New Roman" w:cs="Times New Roman" w:eastAsia="Times New Roman" w:hAnsi="Times New Roman"/>
                <w:sz w:val="18"/>
                <w:szCs w:val="18"/>
                <w:color w:val="auto"/>
                <w:w w:val="98"/>
              </w:rPr>
              <w:t>(3.7)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2019</w:t>
            </w:r>
          </w:p>
        </w:tc>
        <w:tc>
          <w:tcPr>
            <w:tcW w:w="176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229"/>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center"/>
              <w:ind w:left="1291"/>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center"/>
              <w:ind w:left="1291"/>
              <w:spacing w:after="0"/>
              <w:rPr>
                <w:sz w:val="20"/>
                <w:szCs w:val="20"/>
                <w:color w:val="auto"/>
              </w:rPr>
            </w:pPr>
            <w:r>
              <w:rPr>
                <w:rFonts w:ascii="Times New Roman" w:cs="Times New Roman" w:eastAsia="Times New Roman" w:hAnsi="Times New Roman"/>
                <w:sz w:val="18"/>
                <w:szCs w:val="18"/>
                <w:color w:val="auto"/>
                <w:w w:val="98"/>
              </w:rPr>
              <w:t>(2.9)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2020</w:t>
            </w:r>
          </w:p>
        </w:tc>
        <w:tc>
          <w:tcPr>
            <w:tcW w:w="1760" w:type="dxa"/>
            <w:vAlign w:val="bottom"/>
            <w:tcBorders>
              <w:bottom w:val="single" w:sz="8" w:color="auto"/>
            </w:tcBorders>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December 31, 2020, total compensation expense related to unvested RSUs granted to employees and non-employees under the 2009 Plan, but not yet recognized, was $360.5 million, with a weighted-average remaining vesting period of 2.6 years.</w:t>
      </w:r>
    </w:p>
    <w:p>
      <w:pPr>
        <w:spacing w:after="0" w:line="20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consolidated statements of cash flows.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Amount withheld for taxes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fair value of our employee stock options, we use the Black-Scholes model, which employs the following assumptions.</w:t>
      </w:r>
    </w:p>
    <w:p>
      <w:pPr>
        <w:spacing w:after="0" w:line="250"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our stock-based awards are expected to be outstanding. We believe that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historical experience for determining the expected term of the stock option award, and therefore, we calculated our expected term based on historical experience instead of using the simplified method.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expected volatility of our common stock is based on our weighted-average implied and historical volatility.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our common stock is the closing sales price of the common stock effective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—We base the risk-free interest rate on the implied yield available on U.S. Treasury zero-coupon issues with an equivalent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term.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expected dividend weighted-average assumption is zero.</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14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1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r>
      <w:tr>
        <w:trPr>
          <w:trHeight w:val="229"/>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4"/>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4"/>
                <w:szCs w:val="14"/>
                <w:color w:val="auto"/>
              </w:rPr>
            </w:pPr>
          </w:p>
        </w:tc>
        <w:tc>
          <w:tcPr>
            <w:tcW w:w="94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2017</w:t>
            </w:r>
          </w:p>
        </w:tc>
        <w:tc>
          <w:tcPr>
            <w:tcW w:w="1100" w:type="dxa"/>
            <w:vAlign w:val="bottom"/>
            <w:tcBorders>
              <w:top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color w:val="auto"/>
                <w:w w:val="98"/>
              </w:rPr>
              <w:t>(1.9)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2018</w:t>
            </w:r>
          </w:p>
        </w:tc>
        <w:tc>
          <w:tcPr>
            <w:tcW w:w="1100" w:type="dxa"/>
            <w:vAlign w:val="bottom"/>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color w:val="auto"/>
                <w:w w:val="98"/>
              </w:rPr>
              <w:t>(0.9)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2019</w:t>
            </w:r>
          </w:p>
        </w:tc>
        <w:tc>
          <w:tcPr>
            <w:tcW w:w="1100" w:type="dxa"/>
            <w:vAlign w:val="bottom"/>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9"/>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2020</w:t>
            </w:r>
          </w:p>
        </w:tc>
        <w:tc>
          <w:tcPr>
            <w:tcW w:w="1100" w:type="dxa"/>
            <w:vAlign w:val="bottom"/>
            <w:tcBorders>
              <w:bottom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line="20" w:lineRule="exact"/>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vest—December 31, 2020</w:t>
            </w:r>
          </w:p>
        </w:tc>
        <w:tc>
          <w:tcPr>
            <w:tcW w:w="1100" w:type="dxa"/>
            <w:vAlign w:val="bottom"/>
            <w:tcBorders>
              <w:bottom w:val="single" w:sz="8" w:color="auto"/>
            </w:tcBorders>
          </w:tcPr>
          <w:p>
            <w:pPr>
              <w:jc w:val="center"/>
              <w:ind w:left="651"/>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exercisable—December 31, 2020</w:t>
            </w:r>
          </w:p>
        </w:tc>
        <w:tc>
          <w:tcPr>
            <w:tcW w:w="1100" w:type="dxa"/>
            <w:vAlign w:val="bottom"/>
            <w:tcBorders>
              <w:bottom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on December 31, 2020 for all in-the-money stock options. Stock compensation expense is recognized on a straight-line basis over the vesting period of each stock option. As of December 31, 2020, total compensation expense related to unvested stock options granted to employees but not yet recognized was $31.3 million, with a weighted-average remaining vesting period of 2.6 years.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70"/>
        </w:trPr>
        <w:tc>
          <w:tcPr>
            <w:tcW w:w="6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5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30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outstanding and exercisable stock options as of December 31, 2020, as follows (in millions, except exercise prices and contractual life):</w:t>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159"/>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300" w:type="dxa"/>
            <w:vAlign w:val="bottom"/>
          </w:tcPr>
          <w:p>
            <w:pPr>
              <w:spacing w:after="0"/>
              <w:rPr>
                <w:sz w:val="13"/>
                <w:szCs w:val="13"/>
                <w:color w:val="auto"/>
              </w:rPr>
            </w:pPr>
          </w:p>
        </w:tc>
        <w:tc>
          <w:tcPr>
            <w:tcW w:w="15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vMerge w:val="restart"/>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3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300" w:type="dxa"/>
            <w:vAlign w:val="bottom"/>
          </w:tcPr>
          <w:p>
            <w:pPr>
              <w:spacing w:after="0"/>
              <w:rPr>
                <w:sz w:val="14"/>
                <w:szCs w:val="14"/>
                <w:color w:val="auto"/>
              </w:rPr>
            </w:pPr>
          </w:p>
        </w:tc>
        <w:tc>
          <w:tcPr>
            <w:tcW w:w="15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6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35"/>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1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300" w:type="dxa"/>
            <w:vAlign w:val="bottom"/>
          </w:tcPr>
          <w:p>
            <w:pPr>
              <w:spacing w:after="0"/>
              <w:rPr>
                <w:sz w:val="14"/>
                <w:szCs w:val="14"/>
                <w:color w:val="auto"/>
              </w:rPr>
            </w:pPr>
          </w:p>
        </w:tc>
        <w:tc>
          <w:tcPr>
            <w:tcW w:w="15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35"/>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14"/>
        </w:trPr>
        <w:tc>
          <w:tcPr>
            <w:tcW w:w="1860" w:type="dxa"/>
            <w:vAlign w:val="bottom"/>
            <w:gridSpan w:val="2"/>
            <w:vMerge w:val="continue"/>
          </w:tcPr>
          <w:p>
            <w:pPr>
              <w:spacing w:after="0"/>
              <w:rPr>
                <w:sz w:val="18"/>
                <w:szCs w:val="18"/>
                <w:color w:val="auto"/>
              </w:rPr>
            </w:pPr>
          </w:p>
        </w:tc>
        <w:tc>
          <w:tcPr>
            <w:tcW w:w="17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3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7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25"/>
        </w:trPr>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$20.76-$24.51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29"/>
        </w:trPr>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$26.49-$39.49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$48.83-$72.75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0" w:type="dxa"/>
            <w:vAlign w:val="bottom"/>
          </w:tcPr>
          <w:p>
            <w:pPr>
              <w:spacing w:after="0"/>
              <w:rPr>
                <w:sz w:val="1"/>
                <w:szCs w:val="1"/>
                <w:color w:val="auto"/>
              </w:rPr>
            </w:pPr>
          </w:p>
        </w:tc>
      </w:tr>
      <w:tr>
        <w:trPr>
          <w:trHeight w:val="230"/>
        </w:trPr>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$76.22-$145.62</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0" w:type="dxa"/>
            <w:vAlign w:val="bottom"/>
          </w:tcPr>
          <w:p>
            <w:pPr>
              <w:spacing w:after="0"/>
              <w:rPr>
                <w:sz w:val="1"/>
                <w:szCs w:val="1"/>
                <w:color w:val="auto"/>
              </w:rPr>
            </w:pPr>
          </w:p>
        </w:tc>
      </w:tr>
      <w:tr>
        <w:trPr>
          <w:trHeight w:val="248"/>
        </w:trPr>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There were no grants under the ESPP during the year ended December 31, 2020 and December 31, 2019. In determining the grant date fair value of the ESPP, we used the Black-Scholes option pricing model. The following table summarizes the assumptions used and the resulting grant-date fair values of our ESPP:</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4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40" w:type="dxa"/>
            <w:vAlign w:val="bottom"/>
            <w:tcBorders>
              <w:bottom w:val="single" w:sz="8" w:color="auto"/>
            </w:tcBorders>
          </w:tcPr>
          <w:p>
            <w:pPr>
              <w:spacing w:after="0"/>
              <w:rPr>
                <w:sz w:val="18"/>
                <w:szCs w:val="18"/>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14.14</w:t>
            </w:r>
          </w:p>
        </w:tc>
      </w:tr>
      <w:tr>
        <w:trPr>
          <w:trHeight w:val="554"/>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the ESPP is provided below (in millions, except per share amounts):</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8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ESPP</w:t>
            </w: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price per share issued</w:t>
            </w: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Reserved for Future Issuances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common stock reserved for future issuance (in millions):</w:t>
      </w:r>
    </w:p>
    <w:p>
      <w:pPr>
        <w:spacing w:after="0" w:line="145"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6"/>
          <w:szCs w:val="16"/>
          <w:b w:val="1"/>
          <w:bCs w:val="1"/>
          <w:color w:val="auto"/>
        </w:rPr>
        <w:t>December 31,</w:t>
      </w:r>
    </w:p>
    <w:p>
      <w:pPr>
        <w:jc w:val="center"/>
        <w:ind w:left="9000"/>
        <w:spacing w:after="0"/>
        <w:rPr>
          <w:sz w:val="20"/>
          <w:szCs w:val="20"/>
          <w:color w:val="auto"/>
        </w:rPr>
      </w:pP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710628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Reserved for future equity award grants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Outstanding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8" w:lineRule="exact"/>
        <w:rPr>
          <w:sz w:val="20"/>
          <w:szCs w:val="20"/>
          <w:color w:val="auto"/>
        </w:rPr>
      </w:pPr>
    </w:p>
    <w:p>
      <w:pPr>
        <w:jc w:val="right"/>
        <w:ind w:right="6060"/>
        <w:spacing w:after="0"/>
        <w:rPr>
          <w:sz w:val="20"/>
          <w:szCs w:val="20"/>
          <w:color w:val="auto"/>
        </w:rPr>
      </w:pPr>
      <w:r>
        <w:rPr>
          <w:rFonts w:ascii="Times New Roman" w:cs="Times New Roman" w:eastAsia="Times New Roman" w:hAnsi="Times New Roman"/>
          <w:sz w:val="18"/>
          <w:szCs w:val="18"/>
          <w:color w:val="auto"/>
        </w:rPr>
        <w:t>Total common stock reserved for future issuances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12.3</w:t>
      </w:r>
    </w:p>
    <w:p>
      <w:pPr>
        <w:spacing w:after="0" w:line="3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50165</wp:posOffset>
            </wp:positionV>
            <wp:extent cx="13887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801" w:lineRule="exact"/>
        <w:rPr>
          <w:sz w:val="20"/>
          <w:szCs w:val="20"/>
          <w:color w:val="auto"/>
        </w:rPr>
      </w:pPr>
    </w:p>
    <w:p>
      <w:pPr>
        <w:sectPr>
          <w:pgSz w:w="11900" w:h="16838" w:orient="portrait"/>
          <w:cols w:equalWidth="0" w:num="2">
            <w:col w:w="10120" w:space="720"/>
            <w:col w:w="380"/>
          </w:cols>
          <w:pgMar w:left="320" w:top="121" w:right="359" w:bottom="1440" w:gutter="0" w:footer="0" w:header="0"/>
          <w:type w:val="continuous"/>
        </w:sectPr>
      </w:pPr>
    </w:p>
    <w:p>
      <w:pPr>
        <w:spacing w:after="0" w:line="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as follows (in millions):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3"/>
        </w:trPr>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0"/>
        </w:trPr>
        <w:tc>
          <w:tcPr>
            <w:tcW w:w="6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 liabilities, by award type (in millions):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0"/>
        </w:trPr>
        <w:tc>
          <w:tcPr>
            <w:tcW w:w="6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consolidated statements of income is as follows (in millions):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January 2016, our board of directors approved the Share Repurchase Program (the “Repurchase Program”), which authorized the repurchase of up to $200.0 million of our outstanding common stock through December 31, 2017. From 2016 through 2019, our board of directors approved increases to our Repurchase Program by various amounts, bringing the aggregated amount authorized to $2.5 billion. In July 2020, our board of directors approved a $500.0 million increase and extended the term to February 28, 2022, bringing the aggregate amount authorized to be repurchased to $3.0 billion.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In 2020, we repurchased 11.7 million shares of common stock under the Repurchase Program in open market transactions for an aggregate purchase price of $1.08 billion. As of December 31, 2020, $1.01 billion remained available for future share repurchases under the Repurchase Program.</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tab/>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consisted of the following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3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Due to the realignment of our tax structure, income before income taxes moved from foreign jurisdictions to domestic jurisdiction in the year ended December 31, 2019.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(benefit from) income taxes consisted of the following (in millions):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3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6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63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deferred</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foreign tax provision included the tax impacts from U.S. GAAP to local tax return book to tax differences and return to provision adjustments that create a permanent addback including but not limited to stock compensation, meals and entertainment, and settlement of prior year tax audits with foreign jurisdiction adjustments.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(benefit from) income taxes differs from the amount computed by applying the statutory federal income tax rate as follows (in millions):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3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tax rate</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taxes—net of federal benefit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distribution</w:t>
            </w: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the 2017 Tax Act:</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One-time transition tax</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0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Book-to-Tax Basis differences</w:t>
            </w:r>
          </w:p>
        </w:tc>
        <w:tc>
          <w:tcPr>
            <w:tcW w:w="10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0"/>
        </w:trPr>
        <w:tc>
          <w:tcPr>
            <w:tcW w:w="6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have realigned our tax structure in order to maximize the tax efficiency of our group structure and better align with our business operations as a result of the 2017 Tax Act. This realignment resulted in a book-to-tax basis difference for previously taxed off-shore deferred revenue as well as other book-to-tax difference. The basis differences resulted in a $164.0 million benefit to the 2018 tax provision.</w:t>
      </w:r>
    </w:p>
    <w:p>
      <w:pPr>
        <w:spacing w:after="0" w:line="204"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In 2018, we completed our analysis to determine the effect of the 2017 Tax Act within the measurement period under the SEC guidance, and reflected an additional $32.6 million increase related to the transition tax in the 2018 income tax expense. In 2019, we recorded a $2.1 million tax benefit related to the transition tax due to the adjustments on prior 2018 foreign tax amounts. The 2017 Tax Act also created a new requirement that GILTI earned by controlled foreign corporations (“CFCs”) must be included currently in the gross income of a CFC’s U.S. shareholder. In 2018, there was also a $20.5 million expense for the GILTI tax regime that was introduced by the 2017 Tax Act. In 2019 and 2020, we were not subject to GILTI. We will continue to monitor and assess the impact of the 2017 Tax Act and ongoing guidance and accounting interpretations issued in response to the 2017 Tax Act.</w:t>
      </w:r>
    </w:p>
    <w:p>
      <w:pPr>
        <w:spacing w:after="0" w:line="198"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 xml:space="preserve">On June 7, 2019, the Ninth Circuit overturned the U.S. Tax Court’s decision on </w:t>
      </w:r>
      <w:r>
        <w:rPr>
          <w:rFonts w:ascii="Times New Roman" w:cs="Times New Roman" w:eastAsia="Times New Roman" w:hAnsi="Times New Roman"/>
          <w:sz w:val="18"/>
          <w:szCs w:val="18"/>
          <w:i w:val="1"/>
          <w:iCs w:val="1"/>
          <w:color w:val="auto"/>
        </w:rPr>
        <w:t>Altera Corporation and Subsidiaries vs. Commissioner of 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and ruled in favor of the Commissioner, validating the regulations requiring stock-based compensation to be included in a cost sharing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A rehearing of the case was requested, but the rehearing request was denied by the Ninth Circuit on November 12, 2019. A petition was filed with the U.S. Supreme Court on February 10, 2020. On June 22, 2020, the Supreme Court of the United States issued an order declining the petition in Altera. As a result, the Ninth Circuit’s decision requiring that stock-based compensation be included in cost sharing arrangements is the controlling law at present. However, as we are no longer part of a cost sharing arrangement, this does not impact our future income tax provisions. The Ninth Circuit’s decision, together with Supreme Court’s order, did not have a material impact on our consolidated financial statements.</w:t>
      </w: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was signed into law on March 27, 2020.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We do not expect there to be a material tax impact on our consolidated financial statements at this time and will continue to assess the implications of the CARES Act and its continuing developments and interpretations.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July 9, 2020, the United States Department of the Treasury (the “U.S. Treasury”) and the Internal Revenue Service (the “IRS”) released final Section 250 regulations, providing guidance on the foreign-derived intangible income deduction and the global intangible low-taxed income. Generally, the final regulations are applicable for taxable years beginning on or after January 1, 2021. However, taxpayers may apply the final regulations for taxable years beginning on or after January 1, 2018. We have elected to apply the final regulations to the year ending December 31, 2020 and included the tax impact from the final regulations on our foreign-derived intangible income deduction calculation. In 2020, we recorded a $44.3 million tax benefit related to the foreign-derived intangible income deduction.</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29, 2020, the U.S. Treasury and the IRS released final regulations related to foreign tax credits that were the subject of proposed regulations issued in December 2019 and proposed certain provisions in proposed regulations issued in December 2019. The final and proposed regulations provide administrative guidance for the foreign tax credit regime, which was updated in the 2017 Tax Act. Generally, the provisions that were included in the 2019 proposed regulations apply to taxable years ending on or after December 16, 2019, except as otherwise specified. The final regulations did not have a material impact on our consolidated financial statements.</w:t>
      </w:r>
    </w:p>
    <w:p>
      <w:pPr>
        <w:spacing w:after="0" w:line="21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as of the years ended are presented below (in millions):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General business credit carryforward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Reserves and accruals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29"/>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contract costs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0"/>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2020, we recorded a deferred tax asset of $245.2 million and a deferred tax liability of $8.0 million. 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will be able to realize the benefits of our deferred tax assets in the future except for our California research and development (“R&amp;D”) credits carryforward, certain impairment losses in business investments, certain foreign tax credits from foreign disregarded entities and certain tax attributes from business acquisitions. We anticipate having sufficient current year generated California R&amp;D credits to cover the same year California tax liability for tax year 2019 and subsequent years. We also believe that it is more likely than not that the deferred tax assets for impairment losses, foreign tax credits from foreign disregarded entities and acquired foreign tax attributes will not be realized. As of December 31, 2020, we recorded a valuation allowance of $54.9 million against deferred tax assets for California R&amp;D credits carryforwards (net of the unrecognized tax benefits), impairment losses, certain foreign tax credits and certain acquired tax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our federal and California net operating loss carryforwards for income tax purpose were $83.5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 million, respectively. All the net operating loss carryforwards were from acquisitions which were limited by Section 382 of the Internal Revenue</w:t>
      </w:r>
    </w:p>
    <w:p>
      <w:pPr>
        <w:spacing w:after="0" w:line="234" w:lineRule="auto"/>
        <w:rPr>
          <w:sz w:val="20"/>
          <w:szCs w:val="20"/>
          <w:color w:val="auto"/>
        </w:rPr>
      </w:pPr>
      <w:r>
        <w:rPr>
          <w:rFonts w:ascii="Times New Roman" w:cs="Times New Roman" w:eastAsia="Times New Roman" w:hAnsi="Times New Roman"/>
          <w:sz w:val="18"/>
          <w:szCs w:val="18"/>
          <w:color w:val="auto"/>
        </w:rPr>
        <w:t>Code. If not utilized, the federal net operating loss carryforwards will begin to expire in 2022, and California net operating loss carryforwards will begin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 in 2034.</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we had state tax credit carryforwards of $33.3 million. The state credits can be carried forward indefinitely.</w:t>
      </w:r>
    </w:p>
    <w:p>
      <w:pPr>
        <w:spacing w:after="0" w:line="23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Under the 2017 Tax Act, starting on January 1, 2018, we are no longer subject to federal income tax on earnings remitted from our foreign subsidiaries. We have analyzed our global working capital and cash requirements and the potential tax liabilities attributable to repatriation, and have determined that we will be repatriating certain unremitted foreign earnings which was previously deemed indefinitely reinvested. For those investments from which we were able to make a reasonable estimate of the tax effects of such repatriation, we have recorded a provisional estimate for withholding and state taxes. For those investments from which we were not able to make a reasonable estimate, we have not recorded any deferred taxes.</w:t>
      </w:r>
    </w:p>
    <w:p>
      <w:pPr>
        <w:spacing w:after="0" w:line="21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We operate under a tax incentive agreement in Singapore, which is effective through December 31, 2020. The tax incentive agreement is conditional upon our meeting certain employment and investment thresholds.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we had $77.3 million of unrecognized tax benefits, of which, if recognized, $70.5 million would favorably affect our effective tax rate. Our policy is to include accrued interest and penalties related to uncertain tax benefits in income tax expense. As of December 31, 2020, 2019 and 2018, accrued interest and penalties were $14.5 million, $14.1 million and $11.6 million, respectively.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changes in the balance of unrecognized tax benefits are as follows (in millions):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Gross increases for tax positions related to the current year</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decreases for tax positions related to the current year</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Gross increases for tax positions related to the prior year</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decreases for tax positions related to prior year</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Gross decreases for tax positions related to prior year audit settlements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decreases for tax positions related to expiration of statute of limitations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2019 and 2018, $90.3 million, $82.8 million and $77.5 million, respectively, of the amounts reflected above were recorded as income tax liabilities—non-current in our consolidated balance sheets.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a net increase of gross unrecognized tax benefits of approximately $9.8 million during the year ended December 31, 2020. The net increase was primarily due to the increase in benefits related to the foreign taxes, offset by the reversal of gross unrecognized tax benefits in connection with the lapse of statutes of limitations and the settlement of tax audits in foreign jurisdictions.</w:t>
      </w:r>
    </w:p>
    <w:p>
      <w:pPr>
        <w:spacing w:after="0" w:line="20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It is reasonably possible that our gross unrecognized tax benefits will decrease by up to $4.2 million in the next 12 months, primarily due to the lapse of the statute of limitations. These adjustments, if recognized, would positively impact our effective tax rate, and would be recognized as additional tax benefits.</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U.S. state and foreign income tax examinations by tax authorities for tax years prior to 2010. We are no longer subject to examination by U.S federal income tax authorities for tax years prior to 2015. We currently have ongoing tax audits in the United Kingdom, Canada and several other foreign jurisdictions. The focus of these audits is the inter-company profit allocation.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5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tax-deductible contributions. Our board of directors approved 50% matching contributions on employee contributions up to 4% of each employee’s eligible earnings. Our matching contributions to our 401(k) Plan and the RRSP for 2020, 2019 and 2018 were $8.3 million, $6.6 million and $5.7 million, respectively.</w:t>
      </w:r>
    </w:p>
    <w:p>
      <w:pPr>
        <w:spacing w:after="0" w:line="203"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30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9"/>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Revenue</w:t>
            </w:r>
          </w:p>
        </w:tc>
        <w:tc>
          <w:tcPr>
            <w:tcW w:w="360" w:type="dxa"/>
            <w:vAlign w:val="bottom"/>
          </w:tcPr>
          <w:p>
            <w:pPr>
              <w:spacing w:after="0"/>
              <w:rPr>
                <w:sz w:val="15"/>
                <w:szCs w:val="15"/>
                <w:color w:val="auto"/>
              </w:rPr>
            </w:pPr>
          </w:p>
        </w:tc>
        <w:tc>
          <w:tcPr>
            <w:tcW w:w="1120" w:type="dxa"/>
            <w:vAlign w:val="bottom"/>
          </w:tcPr>
          <w:p>
            <w:pPr>
              <w:jc w:val="right"/>
              <w:ind w:right="471"/>
              <w:spacing w:after="0" w:line="175" w:lineRule="exact"/>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1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36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Americas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Americas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3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638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1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Americas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29"/>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gridSpan w:val="3"/>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right="8880" w:firstLine="8"/>
        <w:spacing w:after="0" w:line="526" w:lineRule="auto"/>
        <w:tabs>
          <w:tab w:leader="none" w:pos="45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 Building Purchase</w:t>
      </w:r>
    </w:p>
    <w:p>
      <w:pPr>
        <w:spacing w:after="0" w:line="1"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In February 2021, we purchased two properties in California totaling approximately 97,000 square feet for an aggregate cash payment of $15.5 million.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Securities Exchange Act of 1934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December 31, 2020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Report on Internal Control over Financial Reporting</w:t>
      </w:r>
    </w:p>
    <w:p>
      <w:pPr>
        <w:spacing w:after="0" w:line="256"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set forth by the Committee of Sponsoring Organizations of the Treadway Commission.</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Based on this evaluation, management concluded that our internal control over financial reporting was effective as of December 31, 2020. Management reviewed the results of its assessment with our Audit Committee. The effectiveness of our internal control over financial reporting as of December 31, 2020 has been audited by Deloitte &amp; Touche LLP, an independent registered public accounting firm, as stated in its report, which appears in this Item under the heading “Report of Independent Registered Public Accounting Firm.”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January 2019, we implemented certain internal controls over financial reporting in connection with our adoption of Topic 842. There were no other changes in our internal control over financial reporting (as defined in Rules 13a-15(f) or 15d-15(f) under the Exchange Act) during 2020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11" w:name="page112"/>
    <w:bookmarkEnd w:id="11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Fortinet,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Fortinet, Inc. and subsidiaries (the “Company”) as of December 31, 2020,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19, 2021, expressed an unqualified opinion on those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2" w:name="page113"/>
    <w:bookmarkEnd w:id="11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3" w:name="page114"/>
    <w:bookmarkEnd w:id="11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2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4" w:name="page115"/>
    <w:bookmarkEnd w:id="11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250" w:lineRule="exact"/>
        <w:rPr>
          <w:sz w:val="20"/>
          <w:szCs w:val="20"/>
          <w:color w:val="auto"/>
        </w:rPr>
      </w:pPr>
    </w:p>
    <w:p>
      <w:pPr>
        <w:ind w:left="1300" w:right="80" w:hanging="644"/>
        <w:spacing w:after="0" w:line="267"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information concerning Fortinet’s financial statements and the Report of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200"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Statement Schedule: </w:t>
      </w:r>
      <w:r>
        <w:rPr>
          <w:rFonts w:ascii="Times New Roman" w:cs="Times New Roman" w:eastAsia="Times New Roman" w:hAnsi="Times New Roman"/>
          <w:sz w:val="18"/>
          <w:szCs w:val="18"/>
          <w:color w:val="auto"/>
        </w:rPr>
        <w:t>The following financial statement schedule of Fortinet, Inc., for the fiscal years ended December 31,</w:t>
      </w:r>
    </w:p>
    <w:p>
      <w:pPr>
        <w:spacing w:after="0" w:line="29" w:lineRule="exact"/>
        <w:rPr>
          <w:sz w:val="20"/>
          <w:szCs w:val="20"/>
          <w:color w:val="auto"/>
        </w:rPr>
      </w:pPr>
    </w:p>
    <w:p>
      <w:pPr>
        <w:ind w:left="1300" w:right="520"/>
        <w:spacing w:after="0" w:line="260" w:lineRule="auto"/>
        <w:rPr>
          <w:sz w:val="20"/>
          <w:szCs w:val="20"/>
          <w:color w:val="auto"/>
        </w:rPr>
      </w:pPr>
      <w:r>
        <w:rPr>
          <w:rFonts w:ascii="Times New Roman" w:cs="Times New Roman" w:eastAsia="Times New Roman" w:hAnsi="Times New Roman"/>
          <w:sz w:val="18"/>
          <w:szCs w:val="18"/>
          <w:color w:val="auto"/>
        </w:rPr>
        <w:t>2020, 2019 and 2018, is filed as part of this Annual Report on Form 10-K and should be read in conjunction with our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20" w:type="dxa"/>
            <w:vAlign w:val="bottom"/>
            <w:tcBorders>
              <w:bottom w:val="single" w:sz="8" w:color="auto"/>
            </w:tcBorders>
          </w:tcPr>
          <w:p>
            <w:pPr>
              <w:spacing w:after="0"/>
              <w:rPr>
                <w:sz w:val="18"/>
                <w:szCs w:val="18"/>
                <w:color w:val="auto"/>
              </w:rPr>
            </w:pPr>
          </w:p>
        </w:tc>
      </w:tr>
      <w:tr>
        <w:trPr>
          <w:trHeight w:val="212"/>
        </w:trPr>
        <w:tc>
          <w:tcPr>
            <w:tcW w:w="6380" w:type="dxa"/>
            <w:vAlign w:val="bottom"/>
          </w:tcPr>
          <w:p>
            <w:pPr>
              <w:spacing w:after="0"/>
              <w:rPr>
                <w:sz w:val="18"/>
                <w:szCs w:val="18"/>
                <w:color w:val="auto"/>
              </w:rPr>
            </w:pPr>
          </w:p>
        </w:tc>
        <w:tc>
          <w:tcPr>
            <w:tcW w:w="1120" w:type="dxa"/>
            <w:vAlign w:val="bottom"/>
            <w:tcBorders>
              <w:bottom w:val="single" w:sz="8" w:color="auto"/>
            </w:tcBorders>
          </w:tcPr>
          <w:p>
            <w:pPr>
              <w:jc w:val="right"/>
              <w:ind w:right="33"/>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2020 </w:t>
            </w:r>
            <w:r>
              <w:rPr>
                <w:rFonts w:ascii="Times New Roman" w:cs="Times New Roman" w:eastAsia="Times New Roman" w:hAnsi="Times New Roman"/>
                <w:sz w:val="21"/>
                <w:szCs w:val="21"/>
                <w:b w:val="1"/>
                <w:bCs w:val="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line="213" w:lineRule="exact"/>
              <w:rPr>
                <w:sz w:val="20"/>
                <w:szCs w:val="20"/>
                <w:color w:val="auto"/>
              </w:rPr>
            </w:pPr>
            <w:r>
              <w:rPr>
                <w:rFonts w:ascii="Times New Roman" w:cs="Times New Roman" w:eastAsia="Times New Roman" w:hAnsi="Times New Roman"/>
                <w:sz w:val="16"/>
                <w:szCs w:val="16"/>
                <w:b w:val="1"/>
                <w:bCs w:val="1"/>
                <w:color w:val="auto"/>
                <w:w w:val="91"/>
              </w:rPr>
              <w:t xml:space="preserve">2019 </w:t>
            </w:r>
            <w:r>
              <w:rPr>
                <w:rFonts w:ascii="Times New Roman" w:cs="Times New Roman" w:eastAsia="Times New Roman" w:hAnsi="Times New Roman"/>
                <w:sz w:val="21"/>
                <w:szCs w:val="21"/>
                <w:b w:val="1"/>
                <w:bCs w:val="1"/>
                <w:color w:val="auto"/>
                <w:w w:val="91"/>
                <w:vertAlign w:val="superscript"/>
              </w:rPr>
              <w:t>(1)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2018 </w:t>
            </w:r>
            <w:r>
              <w:rPr>
                <w:rFonts w:ascii="Times New Roman" w:cs="Times New Roman" w:eastAsia="Times New Roman" w:hAnsi="Times New Roman"/>
                <w:sz w:val="21"/>
                <w:szCs w:val="21"/>
                <w:b w:val="1"/>
                <w:bCs w:val="1"/>
                <w:color w:val="auto"/>
                <w:vertAlign w:val="superscript"/>
              </w:rPr>
              <w:t>(1)</w:t>
            </w:r>
          </w:p>
        </w:tc>
      </w:tr>
      <w:tr>
        <w:trPr>
          <w:trHeight w:val="208"/>
        </w:trPr>
        <w:tc>
          <w:tcPr>
            <w:tcW w:w="6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Returns Reserve and Allowance for Credit Losses/Doubtful Accounts</w:t>
            </w: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Charged to expenses, net of deductions</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Reclassification due to adoption of Topic 606 </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8"/>
        </w:trPr>
        <w:tc>
          <w:tcPr>
            <w:tcW w:w="63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60" w:right="120" w:hanging="7"/>
        <w:spacing w:after="0" w:line="210" w:lineRule="auto"/>
        <w:tabs>
          <w:tab w:leader="none" w:pos="223" w:val="left"/>
        </w:tabs>
        <w:numPr>
          <w:ilvl w:val="0"/>
          <w:numId w:val="6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January 1, 2018, we reclassified our sales returns reserve in the amount of $13.6 million from accounts receivable to accrued liabilities, in connection with the adoption of Topic 606. The ending balances for the years ended December 31, 2020 and 2019 consist only of the allowance for credit losses or doubtful accounts.</w:t>
      </w:r>
    </w:p>
    <w:p>
      <w:pPr>
        <w:spacing w:after="0" w:line="31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87" w:lineRule="exact"/>
        <w:rPr>
          <w:sz w:val="20"/>
          <w:szCs w:val="20"/>
          <w:color w:val="auto"/>
        </w:rPr>
      </w:pPr>
    </w:p>
    <w:p>
      <w:pPr>
        <w:ind w:left="1300" w:right="20" w:hanging="644"/>
        <w:spacing w:after="0" w:line="284" w:lineRule="auto"/>
        <w:tabs>
          <w:tab w:leader="none" w:pos="13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Item 15(b) below. We have filed, or incorporated into this Annual Report on Form 10-K by reference, the exhibits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accompanying Exhibit Index immediately preceding the signature page of this Annual Report on Form 10-K.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Exhibits:</w:t>
      </w:r>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exhibits listed on the Exhibit Index immediately preceding the signature page of this Annual Report on Form 10-K is incorporated herein by reference as the list of exhibits required by this Item 15(b).</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Financial Statement Schedules: See Item 15(a)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5" w:name="page116"/>
    <w:bookmarkEnd w:id="11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8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22"/>
                <w:szCs w:val="22"/>
                <w:color w:val="auto"/>
              </w:rPr>
            </w:pPr>
          </w:p>
        </w:tc>
        <w:tc>
          <w:tcPr>
            <w:tcW w:w="37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Form Incorporated by reference herein</w:t>
            </w:r>
          </w:p>
        </w:tc>
        <w:tc>
          <w:tcPr>
            <w:tcW w:w="0" w:type="dxa"/>
            <w:vAlign w:val="bottom"/>
          </w:tcPr>
          <w:p>
            <w:pPr>
              <w:spacing w:after="0"/>
              <w:rPr>
                <w:sz w:val="1"/>
                <w:szCs w:val="1"/>
                <w:color w:val="auto"/>
              </w:rPr>
            </w:pPr>
          </w:p>
        </w:tc>
      </w:tr>
      <w:tr>
        <w:trPr>
          <w:trHeight w:val="189"/>
        </w:trPr>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0" w:type="dxa"/>
            <w:vAlign w:val="bottom"/>
          </w:tcPr>
          <w:p>
            <w:pPr>
              <w:ind w:left="20"/>
              <w:spacing w:after="0"/>
              <w:rPr>
                <w:rFonts w:ascii="Times New Roman" w:cs="Times New Roman" w:eastAsia="Times New Roman" w:hAnsi="Times New Roman"/>
                <w:sz w:val="14"/>
                <w:szCs w:val="14"/>
                <w:u w:val="single" w:color="auto"/>
                <w:color w:val="0000FF"/>
              </w:rPr>
            </w:pPr>
            <w:hyperlink r:id="rId141">
              <w:r>
                <w:rPr>
                  <w:rFonts w:ascii="Times New Roman" w:cs="Times New Roman" w:eastAsia="Times New Roman" w:hAnsi="Times New Roman"/>
                  <w:sz w:val="14"/>
                  <w:szCs w:val="14"/>
                  <w:u w:val="single" w:color="auto"/>
                  <w:color w:val="0000FF"/>
                </w:rPr>
                <w:t>3.1</w:t>
              </w:r>
            </w:hyperlink>
          </w:p>
        </w:tc>
        <w:tc>
          <w:tcPr>
            <w:tcW w:w="10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Certificate of Incorporation</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243"/>
        </w:trPr>
        <w:tc>
          <w:tcPr>
            <w:tcW w:w="740" w:type="dxa"/>
            <w:vAlign w:val="bottom"/>
          </w:tcPr>
          <w:p>
            <w:pPr>
              <w:ind w:left="20"/>
              <w:spacing w:after="0"/>
              <w:rPr>
                <w:rFonts w:ascii="Times New Roman" w:cs="Times New Roman" w:eastAsia="Times New Roman" w:hAnsi="Times New Roman"/>
                <w:sz w:val="14"/>
                <w:szCs w:val="14"/>
                <w:u w:val="single" w:color="auto"/>
                <w:color w:val="0000FF"/>
              </w:rPr>
            </w:pPr>
            <w:hyperlink r:id="rId142">
              <w:r>
                <w:rPr>
                  <w:rFonts w:ascii="Times New Roman" w:cs="Times New Roman" w:eastAsia="Times New Roman" w:hAnsi="Times New Roman"/>
                  <w:sz w:val="14"/>
                  <w:szCs w:val="14"/>
                  <w:u w:val="single" w:color="auto"/>
                  <w:color w:val="0000FF"/>
                </w:rPr>
                <w:t>3.2</w:t>
              </w:r>
            </w:hyperlink>
          </w:p>
        </w:tc>
        <w:tc>
          <w:tcPr>
            <w:tcW w:w="100" w:type="dxa"/>
            <w:vAlign w:val="bottom"/>
          </w:tcPr>
          <w:p>
            <w:pPr>
              <w:spacing w:after="0"/>
              <w:rPr>
                <w:sz w:val="21"/>
                <w:szCs w:val="21"/>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Bylaws</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199"/>
        </w:trPr>
        <w:tc>
          <w:tcPr>
            <w:tcW w:w="740" w:type="dxa"/>
            <w:vAlign w:val="bottom"/>
          </w:tcPr>
          <w:p>
            <w:pPr>
              <w:ind w:left="20"/>
              <w:spacing w:after="0"/>
              <w:rPr>
                <w:rFonts w:ascii="Times New Roman" w:cs="Times New Roman" w:eastAsia="Times New Roman" w:hAnsi="Times New Roman"/>
                <w:sz w:val="14"/>
                <w:szCs w:val="14"/>
                <w:u w:val="single" w:color="auto"/>
                <w:color w:val="0000FF"/>
              </w:rPr>
            </w:pPr>
            <w:hyperlink r:id="rId143">
              <w:r>
                <w:rPr>
                  <w:rFonts w:ascii="Times New Roman" w:cs="Times New Roman" w:eastAsia="Times New Roman" w:hAnsi="Times New Roman"/>
                  <w:sz w:val="14"/>
                  <w:szCs w:val="14"/>
                  <w:u w:val="single" w:color="auto"/>
                  <w:color w:val="0000FF"/>
                </w:rPr>
                <w:t>4.1</w:t>
              </w:r>
            </w:hyperlink>
          </w:p>
        </w:tc>
        <w:tc>
          <w:tcPr>
            <w:tcW w:w="100" w:type="dxa"/>
            <w:vAlign w:val="bottom"/>
          </w:tcPr>
          <w:p>
            <w:pPr>
              <w:spacing w:after="0"/>
              <w:rPr>
                <w:sz w:val="17"/>
                <w:szCs w:val="17"/>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Specimen common stock certificate of the Company</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190"/>
        </w:trPr>
        <w:tc>
          <w:tcPr>
            <w:tcW w:w="740" w:type="dxa"/>
            <w:vAlign w:val="bottom"/>
          </w:tcPr>
          <w:p>
            <w:pPr>
              <w:ind w:left="20"/>
              <w:spacing w:after="0" w:line="190" w:lineRule="exact"/>
              <w:rPr>
                <w:rFonts w:ascii="Times New Roman" w:cs="Times New Roman" w:eastAsia="Times New Roman" w:hAnsi="Times New Roman"/>
                <w:sz w:val="14"/>
                <w:szCs w:val="14"/>
                <w:color w:val="0000FF"/>
              </w:rPr>
            </w:pPr>
            <w:hyperlink w:anchor="page120">
              <w:r>
                <w:rPr>
                  <w:rFonts w:ascii="Times New Roman" w:cs="Times New Roman" w:eastAsia="Times New Roman" w:hAnsi="Times New Roman"/>
                  <w:sz w:val="14"/>
                  <w:szCs w:val="14"/>
                  <w:u w:val="single" w:color="auto"/>
                  <w:color w:val="0000FF"/>
                </w:rPr>
                <w:t>4.2</w:t>
              </w:r>
            </w:hyperlink>
            <w:r>
              <w:rPr>
                <w:rFonts w:ascii="Times New Roman" w:cs="Times New Roman" w:eastAsia="Times New Roman" w:hAnsi="Times New Roman"/>
                <w:sz w:val="18"/>
                <w:szCs w:val="18"/>
                <w:color w:val="000000"/>
                <w:vertAlign w:val="superscript"/>
              </w:rPr>
              <w:t>*</w:t>
            </w: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Description of Securities Registered Pursuant to Section 12 of</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Exchange Act</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u w:val="single" w:color="auto"/>
                  <w:color w:val="0000FF"/>
                </w:rPr>
                <w:t>10.1</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Forms of Indemnification Agreement between the Company and</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(File No. 333-161190)</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its directors and officers</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840" w:type="dxa"/>
            <w:vAlign w:val="bottom"/>
            <w:gridSpan w:val="2"/>
          </w:tcPr>
          <w:p>
            <w:pPr>
              <w:ind w:left="20"/>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u w:val="single" w:color="auto"/>
                  <w:color w:val="0000FF"/>
                </w:rPr>
                <w:t>10.2</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2009 Equity Incentive Plan</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47"/>
        </w:trPr>
        <w:tc>
          <w:tcPr>
            <w:tcW w:w="840" w:type="dxa"/>
            <w:vAlign w:val="bottom"/>
            <w:gridSpan w:val="2"/>
          </w:tcPr>
          <w:p>
            <w:pPr>
              <w:ind w:left="20"/>
              <w:spacing w:after="0" w:line="147"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u w:val="single" w:color="auto"/>
                  <w:color w:val="0000FF"/>
                </w:rPr>
                <w:t>10.3</w:t>
              </w:r>
            </w:hyperlink>
            <w:r>
              <w:rPr>
                <w:rFonts w:ascii="Times New Roman" w:cs="Times New Roman" w:eastAsia="Times New Roman" w:hAnsi="Times New Roman"/>
                <w:sz w:val="17"/>
                <w:szCs w:val="17"/>
                <w:color w:val="000000"/>
                <w:vertAlign w:val="superscript"/>
              </w:rPr>
              <w:t>†</w:t>
            </w:r>
          </w:p>
        </w:tc>
        <w:tc>
          <w:tcPr>
            <w:tcW w:w="390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Forms of stock option agreement under Amended and Restated</w:t>
            </w:r>
          </w:p>
        </w:tc>
        <w:tc>
          <w:tcPr>
            <w:tcW w:w="374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2009 Equity Incentive Plan</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u w:val="single" w:color="auto"/>
                  <w:color w:val="0000FF"/>
                </w:rPr>
                <w:t>10.4</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of performance stock unit award agreement under</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2009 Equity Incentive Plan</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u w:val="single" w:color="auto"/>
                  <w:color w:val="0000FF"/>
                </w:rPr>
                <w:t>10.5</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Forms of restricted stock unit award and performance stock unit</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award agreement under Amended and Restated 2009 Equity</w:t>
            </w: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Incentive Plan (Additional Forms)</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u w:val="single" w:color="auto"/>
                  <w:color w:val="0000FF"/>
                </w:rPr>
                <w:t>10.6</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of restricted stock unit award agreement under Amended</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Restated 2009 Equity Incentive Plan (Additional Form)</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u w:val="single" w:color="auto"/>
                  <w:color w:val="0000FF"/>
                </w:rPr>
                <w:t>10.7</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of stock option award agreement under Amended and</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Restated 2009 Equity Incentive Plan (Additional Form)</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840" w:type="dxa"/>
            <w:vAlign w:val="bottom"/>
            <w:gridSpan w:val="2"/>
          </w:tcPr>
          <w:p>
            <w:pPr>
              <w:ind w:left="20"/>
              <w:spacing w:after="0"/>
              <w:rPr>
                <w:rFonts w:ascii="Times New Roman" w:cs="Times New Roman" w:eastAsia="Times New Roman" w:hAnsi="Times New Roman"/>
                <w:sz w:val="14"/>
                <w:szCs w:val="14"/>
                <w:color w:val="0000FF"/>
              </w:rPr>
            </w:pPr>
            <w:hyperlink w:anchor="page125">
              <w:r>
                <w:rPr>
                  <w:rFonts w:ascii="Times New Roman" w:cs="Times New Roman" w:eastAsia="Times New Roman" w:hAnsi="Times New Roman"/>
                  <w:sz w:val="14"/>
                  <w:szCs w:val="14"/>
                  <w:u w:val="single" w:color="auto"/>
                  <w:color w:val="0000FF"/>
                </w:rPr>
                <w:t>10.8</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Fortinet, Inc. Amended Bonus Plan</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gridSpan w:val="2"/>
          </w:tcPr>
          <w:p>
            <w:pPr>
              <w:ind w:left="20"/>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u w:val="single" w:color="auto"/>
                  <w:color w:val="0000FF"/>
                </w:rPr>
                <w:t>10.9</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Fortinet, Inc. Cash and Equity Incentive Plan</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47"/>
        </w:trPr>
        <w:tc>
          <w:tcPr>
            <w:tcW w:w="840" w:type="dxa"/>
            <w:vAlign w:val="bottom"/>
            <w:gridSpan w:val="2"/>
          </w:tcPr>
          <w:p>
            <w:pPr>
              <w:ind w:left="20"/>
              <w:spacing w:after="0" w:line="147"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u w:val="single" w:color="auto"/>
                  <w:color w:val="0000FF"/>
                </w:rPr>
                <w:t>10.10</w:t>
              </w:r>
            </w:hyperlink>
            <w:r>
              <w:rPr>
                <w:rFonts w:ascii="Times New Roman" w:cs="Times New Roman" w:eastAsia="Times New Roman" w:hAnsi="Times New Roman"/>
                <w:sz w:val="17"/>
                <w:szCs w:val="17"/>
                <w:color w:val="000000"/>
                <w:vertAlign w:val="superscript"/>
              </w:rPr>
              <w:t>†</w:t>
            </w:r>
          </w:p>
        </w:tc>
        <w:tc>
          <w:tcPr>
            <w:tcW w:w="390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Form of Change of Control Agreement between the Company</w:t>
            </w:r>
          </w:p>
        </w:tc>
        <w:tc>
          <w:tcPr>
            <w:tcW w:w="374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its directors</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u w:val="single" w:color="auto"/>
                  <w:color w:val="0000FF"/>
                </w:rPr>
                <w:t>10.11</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Agreement, effective as of August 7, 2019, between the</w:t>
            </w: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Ken Xie</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u w:val="single" w:color="auto"/>
                  <w:color w:val="0000FF"/>
                </w:rPr>
                <w:t>10.12</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Agreement, effective as of August 7, 2019, between the</w:t>
            </w: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Michael Xie</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u w:val="single" w:color="auto"/>
                  <w:color w:val="0000FF"/>
                </w:rPr>
                <w:t>10.13</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Agreement, effective as of August 7, 2019, between the</w:t>
            </w: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John Whittle</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u w:val="single" w:color="auto"/>
                  <w:color w:val="0000FF"/>
                </w:rPr>
                <w:t>10.14</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Offer Letter, dated as of October 23, 2006, by and between the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John Whittle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u w:val="single" w:color="auto"/>
                  <w:color w:val="0000FF"/>
                </w:rPr>
                <w:t>10.15</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Offer Letter, dated as of April 3, 2014, by and between the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Keith Jensen</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gridSpan w:val="2"/>
          </w:tcPr>
          <w:p>
            <w:pPr>
              <w:ind w:left="20"/>
              <w:spacing w:after="0" w:line="190"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u w:val="single" w:color="auto"/>
                  <w:color w:val="0000FF"/>
                </w:rPr>
                <w:t>10.16</w:t>
              </w:r>
            </w:hyperlink>
            <w:r>
              <w:rPr>
                <w:rFonts w:ascii="Times New Roman" w:cs="Times New Roman" w:eastAsia="Times New Roman" w:hAnsi="Times New Roman"/>
                <w:sz w:val="18"/>
                <w:szCs w:val="18"/>
                <w:color w:val="000000"/>
                <w:vertAlign w:val="superscript"/>
              </w:rPr>
              <w: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Agreement, effective as of August 7, 2019, between the</w:t>
            </w: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Keith Jensen</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740" w:type="dxa"/>
            <w:vAlign w:val="bottom"/>
          </w:tcPr>
          <w:p>
            <w:pPr>
              <w:ind w:left="20"/>
              <w:spacing w:after="0"/>
              <w:rPr>
                <w:rFonts w:ascii="Times New Roman" w:cs="Times New Roman" w:eastAsia="Times New Roman" w:hAnsi="Times New Roman"/>
                <w:sz w:val="14"/>
                <w:szCs w:val="14"/>
                <w:color w:val="0000FF"/>
              </w:rPr>
            </w:pPr>
            <w:hyperlink w:anchor="page129">
              <w:r>
                <w:rPr>
                  <w:rFonts w:ascii="Times New Roman" w:cs="Times New Roman" w:eastAsia="Times New Roman" w:hAnsi="Times New Roman"/>
                  <w:sz w:val="14"/>
                  <w:szCs w:val="14"/>
                  <w:u w:val="single" w:color="auto"/>
                  <w:color w:val="0000FF"/>
                </w:rPr>
                <w:t>21.1</w:t>
              </w:r>
            </w:hyperlink>
            <w:r>
              <w:rPr>
                <w:rFonts w:ascii="Times New Roman" w:cs="Times New Roman" w:eastAsia="Times New Roman" w:hAnsi="Times New Roman"/>
                <w:sz w:val="18"/>
                <w:szCs w:val="18"/>
                <w:color w:val="000000"/>
                <w:vertAlign w:val="superscript"/>
              </w:rPr>
              <w:t>*</w:t>
            </w:r>
          </w:p>
        </w:tc>
        <w:tc>
          <w:tcPr>
            <w:tcW w:w="100" w:type="dxa"/>
            <w:vAlign w:val="bottom"/>
          </w:tcPr>
          <w:p>
            <w:pPr>
              <w:spacing w:after="0"/>
              <w:rPr>
                <w:sz w:val="24"/>
                <w:szCs w:val="24"/>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List of subsidiaries</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 w:type="dxa"/>
            <w:vAlign w:val="bottom"/>
          </w:tcPr>
          <w:p>
            <w:pPr>
              <w:ind w:left="20"/>
              <w:spacing w:after="0"/>
              <w:rPr>
                <w:rFonts w:ascii="Times New Roman" w:cs="Times New Roman" w:eastAsia="Times New Roman" w:hAnsi="Times New Roman"/>
                <w:sz w:val="14"/>
                <w:szCs w:val="14"/>
                <w:color w:val="0000FF"/>
              </w:rPr>
            </w:pPr>
            <w:hyperlink w:anchor="page130">
              <w:r>
                <w:rPr>
                  <w:rFonts w:ascii="Times New Roman" w:cs="Times New Roman" w:eastAsia="Times New Roman" w:hAnsi="Times New Roman"/>
                  <w:sz w:val="14"/>
                  <w:szCs w:val="14"/>
                  <w:u w:val="single" w:color="auto"/>
                  <w:color w:val="0000FF"/>
                </w:rPr>
                <w:t>23.1</w:t>
              </w:r>
            </w:hyperlink>
            <w:r>
              <w:rPr>
                <w:rFonts w:ascii="Times New Roman" w:cs="Times New Roman" w:eastAsia="Times New Roman" w:hAnsi="Times New Roman"/>
                <w:sz w:val="18"/>
                <w:szCs w:val="18"/>
                <w:color w:val="000000"/>
                <w:vertAlign w:val="superscript"/>
              </w:rPr>
              <w:t>*</w:t>
            </w:r>
          </w:p>
        </w:tc>
        <w:tc>
          <w:tcPr>
            <w:tcW w:w="100" w:type="dxa"/>
            <w:vAlign w:val="bottom"/>
          </w:tcPr>
          <w:p>
            <w:pPr>
              <w:spacing w:after="0"/>
              <w:rPr>
                <w:sz w:val="21"/>
                <w:szCs w:val="21"/>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40" w:type="dxa"/>
            <w:vAlign w:val="bottom"/>
          </w:tcPr>
          <w:p>
            <w:pPr>
              <w:ind w:left="20"/>
              <w:spacing w:after="0"/>
              <w:rPr>
                <w:rFonts w:ascii="Times New Roman" w:cs="Times New Roman" w:eastAsia="Times New Roman" w:hAnsi="Times New Roman"/>
                <w:sz w:val="14"/>
                <w:szCs w:val="14"/>
                <w:color w:val="0000FF"/>
              </w:rPr>
            </w:pPr>
            <w:hyperlink w:anchor="page117">
              <w:r>
                <w:rPr>
                  <w:rFonts w:ascii="Times New Roman" w:cs="Times New Roman" w:eastAsia="Times New Roman" w:hAnsi="Times New Roman"/>
                  <w:sz w:val="14"/>
                  <w:szCs w:val="14"/>
                  <w:u w:val="single" w:color="auto"/>
                  <w:color w:val="0000FF"/>
                </w:rPr>
                <w:t>24.1</w:t>
              </w:r>
            </w:hyperlink>
            <w:r>
              <w:rPr>
                <w:rFonts w:ascii="Times New Roman" w:cs="Times New Roman" w:eastAsia="Times New Roman" w:hAnsi="Times New Roman"/>
                <w:sz w:val="18"/>
                <w:szCs w:val="18"/>
                <w:color w:val="000000"/>
                <w:vertAlign w:val="superscript"/>
              </w:rPr>
              <w:t>*</w:t>
            </w:r>
          </w:p>
        </w:tc>
        <w:tc>
          <w:tcPr>
            <w:tcW w:w="100" w:type="dxa"/>
            <w:vAlign w:val="bottom"/>
          </w:tcPr>
          <w:p>
            <w:pPr>
              <w:spacing w:after="0"/>
              <w:rPr>
                <w:sz w:val="21"/>
                <w:szCs w:val="21"/>
                <w:color w:val="auto"/>
              </w:rPr>
            </w:pPr>
          </w:p>
        </w:tc>
        <w:tc>
          <w:tcPr>
            <w:tcW w:w="7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Power of Attorney (incorporated by reference to the signature page of this Annual Report on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100" w:type="dxa"/>
            <w:vAlign w:val="bottom"/>
            <w:vMerge w:val="restart"/>
          </w:tcPr>
          <w:p>
            <w:pPr>
              <w:spacing w:after="0"/>
              <w:rPr>
                <w:sz w:val="13"/>
                <w:szCs w:val="13"/>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28, 2018</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4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July 21, 2020</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4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2, 2009</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756"/>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10, 2009</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4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28, 2012</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6, 2013</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 2015</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51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26, 2020</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26, 2020</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621"/>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5, 2013</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4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4, 2015</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51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51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51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10, 2009</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26, 2018</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bl>
    <w:p>
      <w:pPr>
        <w:spacing w:after="0" w:line="1254" w:lineRule="exact"/>
        <w:rPr>
          <w:sz w:val="20"/>
          <w:szCs w:val="20"/>
          <w:color w:val="auto"/>
        </w:rPr>
      </w:pPr>
    </w:p>
    <w:p>
      <w:pPr>
        <w:sectPr>
          <w:pgSz w:w="11900" w:h="16838" w:orient="portrait"/>
          <w:cols w:equalWidth="0" w:num="2">
            <w:col w:w="8480" w:space="100"/>
            <w:col w:w="2660"/>
          </w:cols>
          <w:pgMar w:left="320" w:top="118"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6" w:name="page117"/>
    <w:bookmarkEnd w:id="11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rFonts w:ascii="Times New Roman" w:cs="Times New Roman" w:eastAsia="Times New Roman" w:hAnsi="Times New Roman"/>
          <w:sz w:val="14"/>
          <w:szCs w:val="14"/>
          <w:color w:val="0000FF"/>
        </w:rPr>
      </w:pPr>
      <w:hyperlink w:anchor="page131">
        <w:r>
          <w:rPr>
            <w:rFonts w:ascii="Times New Roman" w:cs="Times New Roman" w:eastAsia="Times New Roman" w:hAnsi="Times New Roman"/>
            <w:sz w:val="14"/>
            <w:szCs w:val="14"/>
            <w:u w:val="single" w:color="auto"/>
            <w:color w:val="0000FF"/>
          </w:rPr>
          <w:t>31.1</w:t>
        </w:r>
      </w:hyperlink>
      <w:r>
        <w:rPr>
          <w:rFonts w:ascii="Times New Roman" w:cs="Times New Roman" w:eastAsia="Times New Roman" w:hAnsi="Times New Roman"/>
          <w:sz w:val="9"/>
          <w:szCs w:val="9"/>
          <w:color w:val="000000"/>
        </w:rPr>
        <w:t>*</w:t>
      </w:r>
    </w:p>
    <w:p>
      <w:pPr>
        <w:spacing w:after="0" w:line="82" w:lineRule="exact"/>
        <w:rPr>
          <w:sz w:val="20"/>
          <w:szCs w:val="20"/>
          <w:color w:val="auto"/>
        </w:rPr>
      </w:pPr>
    </w:p>
    <w:p>
      <w:pPr>
        <w:ind w:left="40"/>
        <w:spacing w:after="0"/>
        <w:rPr>
          <w:rFonts w:ascii="Times New Roman" w:cs="Times New Roman" w:eastAsia="Times New Roman" w:hAnsi="Times New Roman"/>
          <w:sz w:val="14"/>
          <w:szCs w:val="14"/>
          <w:color w:val="0000FF"/>
        </w:rPr>
      </w:pPr>
      <w:hyperlink w:anchor="page132">
        <w:r>
          <w:rPr>
            <w:rFonts w:ascii="Times New Roman" w:cs="Times New Roman" w:eastAsia="Times New Roman" w:hAnsi="Times New Roman"/>
            <w:sz w:val="14"/>
            <w:szCs w:val="14"/>
            <w:u w:val="single" w:color="auto"/>
            <w:color w:val="0000FF"/>
          </w:rPr>
          <w:t>31.2</w:t>
        </w:r>
      </w:hyperlink>
      <w:r>
        <w:rPr>
          <w:rFonts w:ascii="Times New Roman" w:cs="Times New Roman" w:eastAsia="Times New Roman" w:hAnsi="Times New Roman"/>
          <w:sz w:val="9"/>
          <w:szCs w:val="9"/>
          <w:color w:val="000000"/>
        </w:rPr>
        <w:t>*</w:t>
      </w:r>
    </w:p>
    <w:p>
      <w:pPr>
        <w:spacing w:after="0" w:line="82" w:lineRule="exact"/>
        <w:rPr>
          <w:sz w:val="20"/>
          <w:szCs w:val="20"/>
          <w:color w:val="auto"/>
        </w:rPr>
      </w:pPr>
    </w:p>
    <w:p>
      <w:pPr>
        <w:ind w:left="40"/>
        <w:spacing w:after="0"/>
        <w:rPr>
          <w:rFonts w:ascii="Times New Roman" w:cs="Times New Roman" w:eastAsia="Times New Roman" w:hAnsi="Times New Roman"/>
          <w:sz w:val="14"/>
          <w:szCs w:val="14"/>
          <w:color w:val="0000FF"/>
        </w:rPr>
      </w:pPr>
      <w:hyperlink w:anchor="page133">
        <w:r>
          <w:rPr>
            <w:rFonts w:ascii="Times New Roman" w:cs="Times New Roman" w:eastAsia="Times New Roman" w:hAnsi="Times New Roman"/>
            <w:sz w:val="14"/>
            <w:szCs w:val="14"/>
            <w:u w:val="single" w:color="auto"/>
            <w:color w:val="0000FF"/>
          </w:rPr>
          <w:t>32.1</w:t>
        </w:r>
      </w:hyperlink>
      <w:r>
        <w:rPr>
          <w:rFonts w:ascii="Times New Roman" w:cs="Times New Roman" w:eastAsia="Times New Roman" w:hAnsi="Times New Roman"/>
          <w:sz w:val="9"/>
          <w:szCs w:val="9"/>
          <w:color w:val="000000"/>
        </w:rPr>
        <w:t>**</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101.INS</w:t>
      </w:r>
      <w:r>
        <w:rPr>
          <w:rFonts w:ascii="Times New Roman" w:cs="Times New Roman" w:eastAsia="Times New Roman" w:hAnsi="Times New Roman"/>
          <w:sz w:val="9"/>
          <w:szCs w:val="9"/>
          <w:color w:val="auto"/>
        </w:rPr>
        <w:t>*</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101.SCH</w:t>
      </w:r>
      <w:r>
        <w:rPr>
          <w:rFonts w:ascii="Times New Roman" w:cs="Times New Roman" w:eastAsia="Times New Roman" w:hAnsi="Times New Roman"/>
          <w:sz w:val="9"/>
          <w:szCs w:val="9"/>
          <w:color w:val="auto"/>
        </w:rPr>
        <w:t>*</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101.CAL</w:t>
      </w:r>
      <w:r>
        <w:rPr>
          <w:rFonts w:ascii="Times New Roman" w:cs="Times New Roman" w:eastAsia="Times New Roman" w:hAnsi="Times New Roman"/>
          <w:sz w:val="9"/>
          <w:szCs w:val="9"/>
          <w:color w:val="auto"/>
        </w:rPr>
        <w:t>*</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101.DEF</w:t>
      </w:r>
      <w:r>
        <w:rPr>
          <w:rFonts w:ascii="Times New Roman" w:cs="Times New Roman" w:eastAsia="Times New Roman" w:hAnsi="Times New Roman"/>
          <w:sz w:val="9"/>
          <w:szCs w:val="9"/>
          <w:color w:val="auto"/>
        </w:rPr>
        <w:t>*</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101.LAB</w:t>
      </w:r>
      <w:r>
        <w:rPr>
          <w:rFonts w:ascii="Times New Roman" w:cs="Times New Roman" w:eastAsia="Times New Roman" w:hAnsi="Times New Roman"/>
          <w:sz w:val="9"/>
          <w:szCs w:val="9"/>
          <w:color w:val="auto"/>
        </w:rPr>
        <w:t>*</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101.PRE</w:t>
      </w:r>
      <w:r>
        <w:rPr>
          <w:rFonts w:ascii="Times New Roman" w:cs="Times New Roman" w:eastAsia="Times New Roman" w:hAnsi="Times New Roman"/>
          <w:sz w:val="9"/>
          <w:szCs w:val="9"/>
          <w:color w:val="auto"/>
        </w:rPr>
        <w:t>*</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104</w:t>
      </w: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15d-14(a), as adopted pursuant to Section 302 of the Sarbanes-Oxley Act of 2002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15d-14(a), as adopted pursuant to Section 302 of the Sarbanes-Oxley Act of 2002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 Section 1350, as adopted pursuant to Section 906 of the Sarbanes-Oxley Act of 2002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 document.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Annual Report on Form 10-K for the year ended December 31, 2020 is formatted in inline XBRL.</w:t>
      </w:r>
    </w:p>
    <w:p>
      <w:pPr>
        <w:spacing w:after="0" w:line="200" w:lineRule="exact"/>
        <w:rPr>
          <w:sz w:val="20"/>
          <w:szCs w:val="20"/>
          <w:color w:val="auto"/>
        </w:rPr>
      </w:pPr>
    </w:p>
    <w:p>
      <w:pPr>
        <w:sectPr>
          <w:pgSz w:w="11900" w:h="16838" w:orient="portrait"/>
          <w:cols w:equalWidth="0" w:num="2">
            <w:col w:w="620" w:space="400"/>
            <w:col w:w="10160"/>
          </w:cols>
          <w:pgMar w:left="320" w:top="118" w:right="39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44" w:lineRule="exact"/>
        <w:rPr>
          <w:sz w:val="20"/>
          <w:szCs w:val="20"/>
          <w:color w:val="auto"/>
        </w:rPr>
      </w:pPr>
    </w:p>
    <w:p>
      <w:pPr>
        <w:ind w:right="7180" w:firstLine="8"/>
        <w:spacing w:after="0" w:line="191" w:lineRule="auto"/>
        <w:tabs>
          <w:tab w:leader="none" w:pos="88"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Indicates management compensatory plan, contract or arrangement. * Filed herewith.</w:t>
      </w:r>
    </w:p>
    <w:p>
      <w:pPr>
        <w:spacing w:after="0" w:line="1" w:lineRule="exact"/>
        <w:rPr>
          <w:rFonts w:ascii="Times New Roman" w:cs="Times New Roman" w:eastAsia="Times New Roman" w:hAnsi="Times New Roman"/>
          <w:sz w:val="23"/>
          <w:szCs w:val="23"/>
          <w:color w:val="auto"/>
          <w:vertAlign w:val="superscript"/>
        </w:rPr>
      </w:pPr>
    </w:p>
    <w:p>
      <w:pPr>
        <w:ind w:left="420" w:right="640" w:hanging="405"/>
        <w:spacing w:after="0" w:line="25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Furnished herewith.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17" w:name="page118"/>
    <w:bookmarkEnd w:id="11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19, 2021.</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9" w:lineRule="exact"/>
        <w:rPr>
          <w:sz w:val="20"/>
          <w:szCs w:val="20"/>
          <w:color w:val="auto"/>
        </w:rPr>
      </w:pPr>
    </w:p>
    <w:p>
      <w:pPr>
        <w:ind w:left="3540"/>
        <w:spacing w:after="0"/>
        <w:tabs>
          <w:tab w:leader="none" w:pos="7140" w:val="left"/>
          <w:tab w:leader="none" w:pos="7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9"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Ken Xie, Chief Executive Officer and Chairman</w:t>
      </w:r>
    </w:p>
    <w:p>
      <w:pPr>
        <w:spacing w:after="0" w:line="113"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Executive Officer)</w:t>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9" w:lineRule="exact"/>
        <w:rPr>
          <w:sz w:val="20"/>
          <w:szCs w:val="20"/>
          <w:color w:val="auto"/>
        </w:rPr>
      </w:pPr>
    </w:p>
    <w:p>
      <w:pPr>
        <w:ind w:left="3540"/>
        <w:spacing w:after="0"/>
        <w:tabs>
          <w:tab w:leader="none" w:pos="6800" w:val="left"/>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9"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Keith Jensen, Chief Financial Officer</w:t>
      </w:r>
    </w:p>
    <w:p>
      <w:pPr>
        <w:spacing w:after="0" w:line="127"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18" w:name="page119"/>
    <w:bookmarkEnd w:id="11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Ken Xie and Keith Jensen,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20"/>
        </w:trPr>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Ken Xie</w:t>
            </w:r>
          </w:p>
        </w:tc>
        <w:tc>
          <w:tcPr>
            <w:tcW w:w="1580" w:type="dxa"/>
            <w:vAlign w:val="bottom"/>
            <w:tcBorders>
              <w:bottom w:val="single" w:sz="8" w:color="auto"/>
            </w:tcBorders>
          </w:tcPr>
          <w:p>
            <w:pPr>
              <w:spacing w:after="0"/>
              <w:rPr>
                <w:sz w:val="24"/>
                <w:szCs w:val="24"/>
                <w:color w:val="auto"/>
              </w:rPr>
            </w:pP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19, 2021</w:t>
            </w:r>
          </w:p>
        </w:tc>
      </w:tr>
      <w:tr>
        <w:trPr>
          <w:trHeight w:val="232"/>
        </w:trPr>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Ken Xie</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50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/s/</w:t>
            </w:r>
          </w:p>
        </w:tc>
        <w:tc>
          <w:tcPr>
            <w:tcW w:w="2420" w:type="dxa"/>
            <w:vAlign w:val="bottom"/>
            <w:tcBorders>
              <w:bottom w:val="single" w:sz="8" w:color="auto"/>
            </w:tcBorders>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Keith Jensen</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19, 2021</w:t>
            </w:r>
          </w:p>
        </w:tc>
      </w:tr>
      <w:tr>
        <w:trPr>
          <w:trHeight w:val="232"/>
        </w:trPr>
        <w:tc>
          <w:tcPr>
            <w:tcW w:w="1220" w:type="dxa"/>
            <w:vAlign w:val="bottom"/>
          </w:tcPr>
          <w:p>
            <w:pPr>
              <w:spacing w:after="0"/>
              <w:rPr>
                <w:sz w:val="20"/>
                <w:szCs w:val="20"/>
                <w:color w:val="auto"/>
              </w:rPr>
            </w:pPr>
          </w:p>
        </w:tc>
        <w:tc>
          <w:tcPr>
            <w:tcW w:w="2700" w:type="dxa"/>
            <w:vAlign w:val="bottom"/>
            <w:gridSpan w:val="4"/>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Keith Jensen</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50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2420" w:type="dxa"/>
            <w:vAlign w:val="bottom"/>
            <w:tcBorders>
              <w:bottom w:val="single" w:sz="8" w:color="auto"/>
            </w:tcBorders>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8"/>
              </w:rPr>
              <w:t>Michael Xie</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President, Chief Technology Officer and 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19, 2021</w:t>
            </w:r>
          </w:p>
        </w:tc>
      </w:tr>
      <w:tr>
        <w:trPr>
          <w:trHeight w:val="232"/>
        </w:trPr>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Michael Xie</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42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8"/>
                <w:szCs w:val="18"/>
                <w:color w:val="auto"/>
                <w:w w:val="99"/>
              </w:rPr>
              <w:t>Kelly Ducourty</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19, 2021</w:t>
            </w:r>
          </w:p>
        </w:tc>
      </w:tr>
      <w:tr>
        <w:trPr>
          <w:trHeight w:val="232"/>
        </w:trPr>
        <w:tc>
          <w:tcPr>
            <w:tcW w:w="1220" w:type="dxa"/>
            <w:vAlign w:val="bottom"/>
          </w:tcPr>
          <w:p>
            <w:pPr>
              <w:spacing w:after="0"/>
              <w:rPr>
                <w:sz w:val="20"/>
                <w:szCs w:val="20"/>
                <w:color w:val="auto"/>
              </w:rPr>
            </w:pPr>
          </w:p>
        </w:tc>
        <w:tc>
          <w:tcPr>
            <w:tcW w:w="2700" w:type="dxa"/>
            <w:vAlign w:val="bottom"/>
            <w:gridSpan w:val="4"/>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Kelly Ducourty</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tcBorders>
              <w:bottom w:val="single" w:sz="8" w:color="auto"/>
            </w:tcBorders>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Kenneth A. Goldman</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19, 2021</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Kenneth A. Goldman</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Ming Hsieh</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19, 2021</w:t>
            </w:r>
          </w:p>
        </w:tc>
      </w:tr>
      <w:tr>
        <w:trPr>
          <w:trHeight w:val="232"/>
        </w:trPr>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Ming Hsieh</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/s/</w:t>
            </w: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right="1600"/>
              <w:spacing w:after="0"/>
              <w:rPr>
                <w:sz w:val="20"/>
                <w:szCs w:val="20"/>
                <w:color w:val="auto"/>
              </w:rPr>
            </w:pPr>
            <w:r>
              <w:rPr>
                <w:rFonts w:ascii="Times New Roman" w:cs="Times New Roman" w:eastAsia="Times New Roman" w:hAnsi="Times New Roman"/>
                <w:sz w:val="18"/>
                <w:szCs w:val="18"/>
                <w:color w:val="auto"/>
              </w:rPr>
              <w:t>Jean Hu</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19, 2021</w:t>
            </w:r>
          </w:p>
        </w:tc>
      </w:tr>
      <w:tr>
        <w:trPr>
          <w:trHeight w:val="232"/>
        </w:trPr>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Jean Hu</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82"/>
              </w:rPr>
              <w:t>/s/</w:t>
            </w:r>
          </w:p>
        </w:tc>
        <w:tc>
          <w:tcPr>
            <w:tcW w:w="2700" w:type="dxa"/>
            <w:vAlign w:val="bottom"/>
            <w:tcBorders>
              <w:bottom w:val="single" w:sz="8" w:color="auto"/>
            </w:tcBorders>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William H. Neukom</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19, 2021</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William H. Neukom</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tcBorders>
              <w:bottom w:val="single" w:sz="8" w:color="auto"/>
            </w:tcBorders>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Christopher B. Paisley</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19, 2021</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Christopher B. Paisley</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7"/>
        </w:trPr>
        <w:tc>
          <w:tcPr>
            <w:tcW w:w="1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1200"/>
              <w:spacing w:after="0"/>
              <w:rPr>
                <w:sz w:val="20"/>
                <w:szCs w:val="20"/>
                <w:color w:val="auto"/>
              </w:rPr>
            </w:pPr>
            <w:r>
              <w:rPr>
                <w:rFonts w:ascii="Times New Roman" w:cs="Times New Roman" w:eastAsia="Times New Roman" w:hAnsi="Times New Roman"/>
                <w:sz w:val="18"/>
                <w:szCs w:val="18"/>
                <w:color w:val="auto"/>
                <w:w w:val="98"/>
              </w:rPr>
              <w:t>/s/ Judith Sim</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19, 2021</w:t>
            </w:r>
          </w:p>
        </w:tc>
      </w:tr>
      <w:tr>
        <w:trPr>
          <w:trHeight w:val="232"/>
        </w:trPr>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Judith Sim</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118" w:right="4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FORTINET’S SECURITIES REGISTERED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 OF THE SECURITIES EXCHANGE ACT OF 1934</w:t>
      </w:r>
    </w:p>
    <w:p>
      <w:pPr>
        <w:spacing w:after="0" w:line="297" w:lineRule="exact"/>
        <w:rPr>
          <w:sz w:val="20"/>
          <w:szCs w:val="20"/>
          <w:color w:val="auto"/>
        </w:rPr>
      </w:pPr>
    </w:p>
    <w:p>
      <w:pPr>
        <w:ind w:right="220" w:firstLine="648"/>
        <w:spacing w:after="0" w:line="329" w:lineRule="auto"/>
        <w:rPr>
          <w:sz w:val="20"/>
          <w:szCs w:val="20"/>
          <w:color w:val="auto"/>
        </w:rPr>
      </w:pPr>
      <w:r>
        <w:rPr>
          <w:rFonts w:ascii="Times New Roman" w:cs="Times New Roman" w:eastAsia="Times New Roman" w:hAnsi="Times New Roman"/>
          <w:sz w:val="18"/>
          <w:szCs w:val="18"/>
          <w:color w:val="auto"/>
        </w:rPr>
        <w:t>As of December 31, 2020, Fortinet, Inc. (“we,” “us” or “our”) had one class of securities registered under Section 12 of the Securities Exchange Act of 1934, as amended: our common stock.</w:t>
      </w:r>
    </w:p>
    <w:p>
      <w:pPr>
        <w:spacing w:after="0" w:line="216" w:lineRule="exact"/>
        <w:rPr>
          <w:sz w:val="20"/>
          <w:szCs w:val="20"/>
          <w:color w:val="auto"/>
        </w:rPr>
      </w:pPr>
    </w:p>
    <w:p>
      <w:pPr>
        <w:ind w:right="40" w:firstLine="648"/>
        <w:spacing w:after="0" w:line="367" w:lineRule="auto"/>
        <w:rPr>
          <w:sz w:val="20"/>
          <w:szCs w:val="20"/>
          <w:color w:val="auto"/>
        </w:rPr>
      </w:pPr>
      <w:r>
        <w:rPr>
          <w:rFonts w:ascii="Times New Roman" w:cs="Times New Roman" w:eastAsia="Times New Roman" w:hAnsi="Times New Roman"/>
          <w:sz w:val="18"/>
          <w:szCs w:val="18"/>
          <w:color w:val="auto"/>
        </w:rPr>
        <w:t>The following summary of the terms of our common stock is based upon our amended and restated certificate of incorporation and our amended and restated bylaws and applicable provisions of law. The summary is not complete, and is qualified by reference to our amended and restated certificate of incorporation and our amended and restated bylaws, which are filed as exhibits to this Annual Report on Form 10-K and are incorporated by reference herein. We encourage you to read our amended and restated certificate of incorporation, our amended and restated bylaws and the applicable provisions of the Delaware General Corporation Law (the “DGCL”) for additional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97" w:lineRule="exact"/>
        <w:rPr>
          <w:sz w:val="20"/>
          <w:szCs w:val="20"/>
          <w:color w:val="auto"/>
        </w:rPr>
      </w:pPr>
    </w:p>
    <w:p>
      <w:pPr>
        <w:ind w:right="220" w:firstLine="324"/>
        <w:spacing w:after="0" w:line="329" w:lineRule="auto"/>
        <w:rPr>
          <w:sz w:val="20"/>
          <w:szCs w:val="20"/>
          <w:color w:val="auto"/>
        </w:rPr>
      </w:pPr>
      <w:r>
        <w:rPr>
          <w:rFonts w:ascii="Times New Roman" w:cs="Times New Roman" w:eastAsia="Times New Roman" w:hAnsi="Times New Roman"/>
          <w:sz w:val="18"/>
          <w:szCs w:val="18"/>
          <w:color w:val="auto"/>
        </w:rPr>
        <w:t>Our authorized capital stock consists of 310,000,000 shares of capital stock, including 300,000,000 shares of common stock, par value of $0.001 per share, and 10,000,000 shares of undesignated preferred stock, par value of $0.001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95"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95" w:lineRule="exact"/>
        <w:rPr>
          <w:sz w:val="20"/>
          <w:szCs w:val="20"/>
          <w:color w:val="auto"/>
        </w:rPr>
      </w:pPr>
    </w:p>
    <w:p>
      <w:pPr>
        <w:ind w:right="80" w:firstLine="648"/>
        <w:spacing w:after="0" w:line="30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implements a gradual declassification of our board of directors and provides for the annual election of directors for one-year terms, commencing upon the expiration of the directors’ then-current terms. Accordingly, beginning with our 2020 annual meeting of stockholders, all members of our board of directors will stand for election annually for one-year terms. Our amended and restated bylaws provide for a majority voting standard for uncontested elections of directors.</w:t>
      </w:r>
    </w:p>
    <w:p>
      <w:pPr>
        <w:sectPr>
          <w:pgSz w:w="11900" w:h="16838" w:orient="portrait"/>
          <w:cols w:equalWidth="0" w:num="1">
            <w:col w:w="11240"/>
          </w:cols>
          <w:pgMar w:left="320" w:top="1413" w:right="339" w:bottom="1440" w:gutter="0" w:footer="0" w:header="0"/>
        </w:sectPr>
      </w:pPr>
    </w:p>
    <w:bookmarkStart w:id="120" w:name="page121"/>
    <w:bookmarkEnd w:id="120"/>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9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Rights and Preferences</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97" w:lineRule="exact"/>
        <w:rPr>
          <w:sz w:val="20"/>
          <w:szCs w:val="20"/>
          <w:color w:val="auto"/>
        </w:rPr>
      </w:pPr>
    </w:p>
    <w:p>
      <w:pPr>
        <w:ind w:firstLine="648"/>
        <w:spacing w:after="0" w:line="301"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97" w:lineRule="exact"/>
        <w:rPr>
          <w:sz w:val="20"/>
          <w:szCs w:val="20"/>
          <w:color w:val="auto"/>
        </w:rPr>
      </w:pPr>
    </w:p>
    <w:p>
      <w:pPr>
        <w:ind w:right="40" w:firstLine="648"/>
        <w:spacing w:after="0" w:line="313" w:lineRule="auto"/>
        <w:rPr>
          <w:sz w:val="20"/>
          <w:szCs w:val="20"/>
          <w:color w:val="auto"/>
        </w:rPr>
      </w:pPr>
      <w:r>
        <w:rPr>
          <w:rFonts w:ascii="Times New Roman" w:cs="Times New Roman" w:eastAsia="Times New Roman" w:hAnsi="Times New Roman"/>
          <w:sz w:val="18"/>
          <w:szCs w:val="18"/>
          <w:color w:val="auto"/>
        </w:rPr>
        <w:t>The provisions of Delaware law, our amended and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95" w:lineRule="exact"/>
        <w:rPr>
          <w:sz w:val="20"/>
          <w:szCs w:val="20"/>
          <w:color w:val="auto"/>
        </w:rPr>
      </w:pPr>
    </w:p>
    <w:p>
      <w:pPr>
        <w:ind w:right="180" w:firstLine="648"/>
        <w:spacing w:after="0" w:line="313"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203" w:lineRule="exact"/>
        <w:rPr>
          <w:sz w:val="20"/>
          <w:szCs w:val="20"/>
          <w:color w:val="auto"/>
        </w:rPr>
      </w:pPr>
    </w:p>
    <w:p>
      <w:pPr>
        <w:ind w:left="1300" w:right="160" w:hanging="644"/>
        <w:spacing w:after="0" w:line="329" w:lineRule="auto"/>
        <w:tabs>
          <w:tab w:leader="none" w:pos="12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5" w:lineRule="exact"/>
        <w:rPr>
          <w:sz w:val="20"/>
          <w:szCs w:val="20"/>
          <w:color w:val="auto"/>
        </w:rPr>
      </w:pPr>
    </w:p>
    <w:p>
      <w:pPr>
        <w:ind w:left="1300" w:right="180" w:hanging="644"/>
        <w:spacing w:after="0" w:line="305" w:lineRule="auto"/>
        <w:tabs>
          <w:tab w:leader="none" w:pos="12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210" w:lineRule="exact"/>
        <w:rPr>
          <w:rFonts w:ascii="Times New Roman" w:cs="Times New Roman" w:eastAsia="Times New Roman" w:hAnsi="Times New Roman"/>
          <w:sz w:val="18"/>
          <w:szCs w:val="18"/>
          <w:color w:val="auto"/>
        </w:rPr>
      </w:pPr>
    </w:p>
    <w:p>
      <w:pPr>
        <w:ind w:left="1300" w:right="160" w:hanging="644"/>
        <w:spacing w:after="0" w:line="313" w:lineRule="auto"/>
        <w:tabs>
          <w:tab w:leader="none" w:pos="12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203" w:lineRule="exact"/>
        <w:rPr>
          <w:sz w:val="20"/>
          <w:szCs w:val="20"/>
          <w:color w:val="auto"/>
        </w:rPr>
      </w:pPr>
    </w:p>
    <w:p>
      <w:pPr>
        <w:ind w:firstLine="648"/>
        <w:spacing w:after="0" w:line="30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Amended and Restated Certificate of Incorporation and Amended and Restated Bylaw Provisions</w:t>
      </w:r>
    </w:p>
    <w:p>
      <w:pPr>
        <w:spacing w:after="0" w:line="295"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could deter hostile takeovers or delay or prevent changes in control of our company, including the following:</w:t>
      </w:r>
    </w:p>
    <w:p>
      <w:pPr>
        <w:spacing w:after="0" w:line="187" w:lineRule="exact"/>
        <w:rPr>
          <w:sz w:val="20"/>
          <w:szCs w:val="20"/>
          <w:color w:val="auto"/>
        </w:rPr>
      </w:pPr>
    </w:p>
    <w:p>
      <w:pPr>
        <w:ind w:left="1300" w:right="40" w:hanging="644"/>
        <w:spacing w:after="0" w:line="304" w:lineRule="auto"/>
        <w:tabs>
          <w:tab w:leader="none" w:pos="12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Vacancies</w:t>
      </w:r>
      <w:r>
        <w:rPr>
          <w:rFonts w:ascii="Times New Roman" w:cs="Times New Roman" w:eastAsia="Times New Roman" w:hAnsi="Times New Roman"/>
          <w:sz w:val="18"/>
          <w:szCs w:val="18"/>
          <w:color w:val="auto"/>
        </w:rPr>
        <w:t>. Our amended and restated certificate of incorporation and our amended and restated bylaws authorize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to fill vacant directorships, including newly created seats.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68" w:lineRule="exact"/>
        <w:rPr>
          <w:rFonts w:ascii="Times New Roman" w:cs="Times New Roman" w:eastAsia="Times New Roman" w:hAnsi="Times New Roman"/>
          <w:sz w:val="18"/>
          <w:szCs w:val="18"/>
          <w:color w:val="auto"/>
        </w:rPr>
      </w:pPr>
    </w:p>
    <w:p>
      <w:pPr>
        <w:ind w:left="1300" w:right="20" w:hanging="644"/>
        <w:spacing w:after="0" w:line="226" w:lineRule="auto"/>
        <w:tabs>
          <w:tab w:leader="none" w:pos="12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Action; Special Meetings of Stockholders</w:t>
      </w:r>
      <w:r>
        <w:rPr>
          <w:rFonts w:ascii="Times New Roman" w:cs="Times New Roman" w:eastAsia="Times New Roman" w:hAnsi="Times New Roman"/>
          <w:sz w:val="18"/>
          <w:szCs w:val="18"/>
          <w:color w:val="auto"/>
        </w:rPr>
        <w:t>. Our amended and restated certificate of incorporation provides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not take action by written consent, and may only take action at an annual or special meeting of our stockholders. Our amended and restated bylaws further provide that special meetings of our stockholders may be called only by stockholders holding not less than 25% of the outstanding shares entitled to vote on the matters to be brought before the proposed special meeting, a majority of our board of directors, the chairperson of our board of directors, our chief executive officer or our president, thus prohibiting stockholders who do not meet the ownership threshold from calling a special meeting. These provisions might delay the ability of our stockholders to force consideration of a proposal or for stockholders to take any action, including the removal of directors.</w:t>
      </w:r>
    </w:p>
    <w:p>
      <w:pPr>
        <w:spacing w:after="0" w:line="242" w:lineRule="exact"/>
        <w:rPr>
          <w:rFonts w:ascii="Times New Roman" w:cs="Times New Roman" w:eastAsia="Times New Roman" w:hAnsi="Times New Roman"/>
          <w:sz w:val="18"/>
          <w:szCs w:val="18"/>
          <w:color w:val="auto"/>
        </w:rPr>
      </w:pPr>
    </w:p>
    <w:p>
      <w:pPr>
        <w:ind w:left="1300" w:right="160" w:hanging="644"/>
        <w:spacing w:after="0" w:line="331" w:lineRule="auto"/>
        <w:tabs>
          <w:tab w:leader="none" w:pos="12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procedures for stockholders seeking to bring business</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5" w:lineRule="exact"/>
        <w:rPr>
          <w:sz w:val="20"/>
          <w:szCs w:val="20"/>
          <w:color w:val="auto"/>
        </w:rPr>
      </w:pPr>
    </w:p>
    <w:p>
      <w:pPr>
        <w:ind w:left="644"/>
        <w:spacing w:after="0" w:line="303" w:lineRule="auto"/>
        <w:rPr>
          <w:sz w:val="20"/>
          <w:szCs w:val="20"/>
          <w:color w:val="auto"/>
        </w:rPr>
      </w:pPr>
      <w:r>
        <w:rPr>
          <w:rFonts w:ascii="Times New Roman" w:cs="Times New Roman" w:eastAsia="Times New Roman" w:hAnsi="Times New Roman"/>
          <w:sz w:val="18"/>
          <w:szCs w:val="18"/>
          <w:color w:val="auto"/>
        </w:rPr>
        <w:t>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212" w:lineRule="exact"/>
        <w:rPr>
          <w:sz w:val="20"/>
          <w:szCs w:val="20"/>
          <w:color w:val="auto"/>
        </w:rPr>
      </w:pPr>
    </w:p>
    <w:p>
      <w:pPr>
        <w:ind w:left="644" w:right="40" w:hanging="644"/>
        <w:spacing w:after="0" w:line="314" w:lineRule="auto"/>
        <w:tabs>
          <w:tab w:leader="none" w:pos="6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Our amended and restated certificate of incorporation and amended and restated bylaws do not provide for cumulative voting.</w:t>
      </w:r>
    </w:p>
    <w:p>
      <w:pPr>
        <w:spacing w:after="0" w:line="200" w:lineRule="exact"/>
        <w:rPr>
          <w:rFonts w:ascii="Times New Roman" w:cs="Times New Roman" w:eastAsia="Times New Roman" w:hAnsi="Times New Roman"/>
          <w:sz w:val="18"/>
          <w:szCs w:val="18"/>
          <w:color w:val="auto"/>
        </w:rPr>
      </w:pPr>
    </w:p>
    <w:p>
      <w:pPr>
        <w:ind w:left="644" w:right="60" w:hanging="644"/>
        <w:spacing w:after="0" w:line="303" w:lineRule="auto"/>
        <w:tabs>
          <w:tab w:leader="none" w:pos="6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Supermajority Requirements for Amendments of Our Amended and Restated Certificate of Incorporation and Our Amended and Restated Bylaws</w:t>
      </w:r>
      <w:r>
        <w:rPr>
          <w:rFonts w:ascii="Times New Roman" w:cs="Times New Roman" w:eastAsia="Times New Roman" w:hAnsi="Times New Roman"/>
          <w:sz w:val="18"/>
          <w:szCs w:val="18"/>
          <w:color w:val="auto"/>
        </w:rPr>
        <w:t>. Our amended and restated certificate of incorporation provides that the affirmative vote of holders of at least 66 2/3%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power of all of the then outstanding shares of voting stock is required to amend, alter or repeal, or adopt any provision as part of our amended and restated certificate of incorporation inconsistent with the purpose and intent of, certain provisions of our amended and restated certificate of incorporation. Further, the affirmative vote of holders of at least 66 2/3% of the voting power of all of the then outstanding shares of voting stock is required to amend or repeal our amended and restated bylaws, although our amended and restated bylaws may be amended by a simple majority vote of our board of directors.</w:t>
      </w:r>
    </w:p>
    <w:p>
      <w:pPr>
        <w:spacing w:after="0" w:line="209" w:lineRule="exact"/>
        <w:rPr>
          <w:rFonts w:ascii="Times New Roman" w:cs="Times New Roman" w:eastAsia="Times New Roman" w:hAnsi="Times New Roman"/>
          <w:sz w:val="18"/>
          <w:szCs w:val="18"/>
          <w:color w:val="auto"/>
        </w:rPr>
      </w:pPr>
    </w:p>
    <w:p>
      <w:pPr>
        <w:ind w:left="644" w:hanging="644"/>
        <w:spacing w:after="0" w:line="308" w:lineRule="auto"/>
        <w:tabs>
          <w:tab w:leader="none" w:pos="6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Our board of directors has the authority, without further action by the stockholders, to issue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06" w:lineRule="exact"/>
        <w:rPr>
          <w:rFonts w:ascii="Times New Roman" w:cs="Times New Roman" w:eastAsia="Times New Roman" w:hAnsi="Times New Roman"/>
          <w:sz w:val="18"/>
          <w:szCs w:val="18"/>
          <w:color w:val="auto"/>
        </w:rPr>
      </w:pPr>
    </w:p>
    <w:p>
      <w:pPr>
        <w:ind w:left="644" w:right="40" w:hanging="644"/>
        <w:spacing w:after="0" w:line="303" w:lineRule="auto"/>
        <w:tabs>
          <w:tab w:leader="none" w:pos="6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amended and restated bylaws provide that, unless we consent in writing to the selection of alternate forum,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federal courts located within the state of Delaware are the exclusive forum for: (i) any derivative action or proceeding brought on our behalf; (ii) any action asserting a breach of a fiduciary duty owed by, or other wrongdoing by, any of our directors, officers, employees or agents to the corporation or the corporation’s stockholders; (iii) any action asserting a claim arising pursuant to any provision of the DGCL, our amended and restated certificate of incorporation or our amended and restated bylaws; (iv) any action to interpret, apply, enforce or determine the validity of our amended and restated certificate of incorporation or our amended and restated bylaws; or (v) any action asserting a claim governed by the internal affairs doctrine.</w:t>
      </w:r>
    </w:p>
    <w:p>
      <w:pPr>
        <w:sectPr>
          <w:pgSz w:w="11900" w:h="16838" w:orient="portrait"/>
          <w:cols w:equalWidth="0" w:num="1">
            <w:col w:w="10584"/>
          </w:cols>
          <w:pgMar w:left="976" w:top="1440" w:right="339" w:bottom="1440" w:gutter="0" w:footer="0" w:header="0"/>
        </w:sectPr>
      </w:pPr>
    </w:p>
    <w:bookmarkStart w:id="123" w:name="page124"/>
    <w:bookmarkEnd w:id="123"/>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“FTNT.”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Computershare Trust Company, N.A.</w:t>
      </w:r>
    </w:p>
    <w:p>
      <w:pPr>
        <w:sectPr>
          <w:pgSz w:w="11900" w:h="16838" w:orient="portrait"/>
          <w:cols w:equalWidth="0" w:num="1">
            <w:col w:w="10139"/>
          </w:cols>
          <w:pgMar w:left="320" w:top="1440"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BONUS PLAN</w:t>
      </w:r>
    </w:p>
    <w:p>
      <w:pPr>
        <w:spacing w:after="0" w:line="153" w:lineRule="exact"/>
        <w:rPr>
          <w:sz w:val="20"/>
          <w:szCs w:val="20"/>
          <w:color w:val="auto"/>
        </w:rPr>
      </w:pPr>
    </w:p>
    <w:p>
      <w:pPr>
        <w:ind w:right="120" w:firstLine="449"/>
        <w:spacing w:after="0" w:line="282" w:lineRule="auto"/>
        <w:tabs>
          <w:tab w:leader="none" w:pos="6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highlight w:val="white"/>
        </w:rPr>
        <w:t>. The Plan is intended to increase shareholder value and the success of the Company by motivating Employees to (a) perform</w:t>
      </w:r>
      <w:r>
        <w:rPr>
          <w:rFonts w:ascii="Times New Roman" w:cs="Times New Roman" w:eastAsia="Times New Roman" w:hAnsi="Times New Roman"/>
          <w:sz w:val="18"/>
          <w:szCs w:val="18"/>
          <w:color w:val="auto"/>
        </w:rPr>
        <w:t xml:space="preserve"> to the best of their abilities, and (b) achieve the Company’s objectives.</w:t>
      </w:r>
    </w:p>
    <w:p>
      <w:pPr>
        <w:spacing w:after="0" w:line="188"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highlight w:val="white"/>
        </w:rPr>
        <w:t>” means any corporation or other entity (including, but not limited to, partnerships and joint ventures) controlled by the Company.</w:t>
      </w:r>
    </w:p>
    <w:p>
      <w:pPr>
        <w:spacing w:after="0" w:line="171" w:lineRule="exact"/>
        <w:rPr>
          <w:rFonts w:ascii="Times New Roman" w:cs="Times New Roman" w:eastAsia="Times New Roman" w:hAnsi="Times New Roman"/>
          <w:sz w:val="18"/>
          <w:szCs w:val="18"/>
          <w:color w:val="auto"/>
        </w:rPr>
      </w:pPr>
    </w:p>
    <w:p>
      <w:pPr>
        <w:ind w:right="80" w:firstLine="889"/>
        <w:spacing w:after="0" w:line="282" w:lineRule="auto"/>
        <w:tabs>
          <w:tab w:leader="none" w:pos="11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Award</w:t>
      </w:r>
      <w:r>
        <w:rPr>
          <w:rFonts w:ascii="Times New Roman" w:cs="Times New Roman" w:eastAsia="Times New Roman" w:hAnsi="Times New Roman"/>
          <w:sz w:val="18"/>
          <w:szCs w:val="18"/>
          <w:color w:val="auto"/>
        </w:rPr>
        <w:t>” means as to any Performance Period, the actual award (if any) payable to a Participant for the Performance Period, subject to the Committee’s authority under Section 3(d) to modify the award.</w:t>
      </w:r>
    </w:p>
    <w:p>
      <w:pPr>
        <w:spacing w:after="0" w:line="107"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71" w:lineRule="exact"/>
        <w:rPr>
          <w:rFonts w:ascii="Times New Roman" w:cs="Times New Roman" w:eastAsia="Times New Roman" w:hAnsi="Times New Roman"/>
          <w:sz w:val="18"/>
          <w:szCs w:val="18"/>
          <w:color w:val="auto"/>
        </w:rPr>
      </w:pPr>
    </w:p>
    <w:p>
      <w:pPr>
        <w:ind w:right="100" w:firstLine="889"/>
        <w:spacing w:after="0" w:line="282" w:lineRule="auto"/>
        <w:tabs>
          <w:tab w:leader="none" w:pos="11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Bonus Pool</w:t>
      </w:r>
      <w:r>
        <w:rPr>
          <w:rFonts w:ascii="Times New Roman" w:cs="Times New Roman" w:eastAsia="Times New Roman" w:hAnsi="Times New Roman"/>
          <w:sz w:val="18"/>
          <w:szCs w:val="18"/>
          <w:color w:val="auto"/>
        </w:rPr>
        <w:t>” means the pool of funds available for distribution to Participants. Subject to the terms of the Plan, the Committee establishes the Bonus Pool for each Performance Period.</w:t>
      </w:r>
    </w:p>
    <w:p>
      <w:pPr>
        <w:spacing w:after="0" w:line="107" w:lineRule="exact"/>
        <w:rPr>
          <w:rFonts w:ascii="Times New Roman" w:cs="Times New Roman" w:eastAsia="Times New Roman" w:hAnsi="Times New Roman"/>
          <w:sz w:val="18"/>
          <w:szCs w:val="18"/>
          <w:color w:val="auto"/>
        </w:rPr>
      </w:pPr>
    </w:p>
    <w:p>
      <w:pPr>
        <w:ind w:right="280" w:firstLine="889"/>
        <w:spacing w:after="0" w:line="266" w:lineRule="auto"/>
        <w:tabs>
          <w:tab w:leader="none" w:pos="112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highlight w:val="white"/>
        </w:rPr>
        <w:t>” means the Internal Revenue Code of 1986, as amended. Reference to a specific section of the Code or regulation thereunder will</w:t>
      </w:r>
      <w:r>
        <w:rPr>
          <w:rFonts w:ascii="Times New Roman" w:cs="Times New Roman" w:eastAsia="Times New Roman" w:hAnsi="Times New Roman"/>
          <w:sz w:val="18"/>
          <w:szCs w:val="18"/>
          <w:color w:val="auto"/>
        </w:rPr>
        <w:t xml:space="preserve"> include such section or regulation, any valid regulation promulgated thereunder, and any comparable provision of any future legislation or regulation amending, supplementing or superseding such section or regulation.</w:t>
      </w:r>
    </w:p>
    <w:p>
      <w:pPr>
        <w:spacing w:after="0" w:line="121" w:lineRule="exact"/>
        <w:rPr>
          <w:rFonts w:ascii="Times New Roman" w:cs="Times New Roman" w:eastAsia="Times New Roman" w:hAnsi="Times New Roman"/>
          <w:sz w:val="18"/>
          <w:szCs w:val="18"/>
          <w:color w:val="auto"/>
        </w:rPr>
      </w:pPr>
    </w:p>
    <w:p>
      <w:pPr>
        <w:ind w:right="540" w:firstLine="889"/>
        <w:spacing w:after="0" w:line="282" w:lineRule="auto"/>
        <w:tabs>
          <w:tab w:leader="none" w:pos="11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highlight w:val="white"/>
        </w:rPr>
        <w:t>” means the committee appointed by the Board (pursuant to Section 5) to administer the Plan. Unless and until the Board</w:t>
      </w:r>
      <w:r>
        <w:rPr>
          <w:rFonts w:ascii="Times New Roman" w:cs="Times New Roman" w:eastAsia="Times New Roman" w:hAnsi="Times New Roman"/>
          <w:sz w:val="18"/>
          <w:szCs w:val="18"/>
          <w:color w:val="auto"/>
        </w:rPr>
        <w:t xml:space="preserve"> otherwise determines, the Board’s Human Resource Committee will administer the Plan.</w:t>
      </w:r>
    </w:p>
    <w:p>
      <w:pPr>
        <w:spacing w:after="0" w:line="107"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Fortinet, Inc., or any successor thereto.</w:t>
      </w:r>
    </w:p>
    <w:p>
      <w:pPr>
        <w:spacing w:after="0" w:line="171" w:lineRule="exact"/>
        <w:rPr>
          <w:rFonts w:ascii="Times New Roman" w:cs="Times New Roman" w:eastAsia="Times New Roman" w:hAnsi="Times New Roman"/>
          <w:sz w:val="18"/>
          <w:szCs w:val="18"/>
          <w:color w:val="auto"/>
        </w:rPr>
      </w:pPr>
    </w:p>
    <w:p>
      <w:pPr>
        <w:ind w:right="20" w:firstLine="889"/>
        <w:spacing w:after="0" w:line="282" w:lineRule="auto"/>
        <w:tabs>
          <w:tab w:leader="none" w:pos="11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permanent and total disability determined in accordance with uniform and nondiscriminatory standards adopted by the Committee from time to time.</w:t>
      </w:r>
    </w:p>
    <w:p>
      <w:pPr>
        <w:spacing w:after="0" w:line="107" w:lineRule="exact"/>
        <w:rPr>
          <w:rFonts w:ascii="Times New Roman" w:cs="Times New Roman" w:eastAsia="Times New Roman" w:hAnsi="Times New Roman"/>
          <w:sz w:val="18"/>
          <w:szCs w:val="18"/>
          <w:color w:val="auto"/>
        </w:rPr>
      </w:pPr>
    </w:p>
    <w:p>
      <w:pPr>
        <w:ind w:right="20" w:firstLine="889"/>
        <w:spacing w:after="0" w:line="282" w:lineRule="auto"/>
        <w:tabs>
          <w:tab w:leader="none" w:pos="10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highlight w:val="white"/>
        </w:rPr>
        <w:t>” means any executive, officer, or key employee of the Company or of an Affiliate, whether such individual is so employed at the</w:t>
      </w:r>
      <w:r>
        <w:rPr>
          <w:rFonts w:ascii="Times New Roman" w:cs="Times New Roman" w:eastAsia="Times New Roman" w:hAnsi="Times New Roman"/>
          <w:sz w:val="18"/>
          <w:szCs w:val="18"/>
          <w:color w:val="auto"/>
        </w:rPr>
        <w:t xml:space="preserve"> time the Plan is adopted or becomes so employed subsequent to the adoption of the Plan.</w:t>
      </w:r>
    </w:p>
    <w:p>
      <w:pPr>
        <w:spacing w:after="0" w:line="107" w:lineRule="exact"/>
        <w:rPr>
          <w:rFonts w:ascii="Times New Roman" w:cs="Times New Roman" w:eastAsia="Times New Roman" w:hAnsi="Times New Roman"/>
          <w:sz w:val="18"/>
          <w:szCs w:val="18"/>
          <w:color w:val="auto"/>
        </w:rPr>
      </w:pPr>
    </w:p>
    <w:p>
      <w:pPr>
        <w:ind w:right="240" w:firstLine="889"/>
        <w:spacing w:after="0" w:line="282" w:lineRule="auto"/>
        <w:tabs>
          <w:tab w:leader="none" w:pos="10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as to any Performance Period, an Employee who has been selected by the Committee for participation in the Plan for that Performance Period.</w:t>
      </w:r>
    </w:p>
    <w:p>
      <w:pPr>
        <w:spacing w:after="0" w:line="107" w:lineRule="exact"/>
        <w:rPr>
          <w:rFonts w:ascii="Times New Roman" w:cs="Times New Roman" w:eastAsia="Times New Roman" w:hAnsi="Times New Roman"/>
          <w:sz w:val="18"/>
          <w:szCs w:val="18"/>
          <w:color w:val="auto"/>
        </w:rPr>
      </w:pPr>
    </w:p>
    <w:p>
      <w:pPr>
        <w:ind w:right="200" w:firstLine="889"/>
        <w:spacing w:after="0" w:line="266" w:lineRule="auto"/>
        <w:tabs>
          <w:tab w:leader="none" w:pos="11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highlight w:val="white"/>
        </w:rPr>
        <w:t>” means the period of time for the measurement of the performance criteria that must be met to receive an Actual</w:t>
      </w:r>
      <w:r>
        <w:rPr>
          <w:rFonts w:ascii="Times New Roman" w:cs="Times New Roman" w:eastAsia="Times New Roman" w:hAnsi="Times New Roman"/>
          <w:sz w:val="18"/>
          <w:szCs w:val="18"/>
          <w:color w:val="auto"/>
        </w:rPr>
        <w:t xml:space="preserve"> Award, as determined by the Committee in its sole discretion. A Performance Period may be divided into one or more shorter periods if, for example, but not by way of limitation, the Committee desires to measure some performance criteria over 12 months and other criteria over 3 months.</w:t>
      </w:r>
    </w:p>
    <w:p>
      <w:pPr>
        <w:spacing w:after="0" w:line="121"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Bonus Plan, as set forth in this instrument and as hereafter amended from time to time.</w:t>
      </w:r>
    </w:p>
    <w:p>
      <w:pPr>
        <w:spacing w:after="0" w:line="27" w:lineRule="exact"/>
        <w:rPr>
          <w:rFonts w:ascii="Times New Roman" w:cs="Times New Roman" w:eastAsia="Times New Roman" w:hAnsi="Times New Roman"/>
          <w:sz w:val="18"/>
          <w:szCs w:val="18"/>
          <w:color w:val="auto"/>
        </w:rPr>
      </w:pPr>
    </w:p>
    <w:p>
      <w:pPr>
        <w:ind w:right="260" w:firstLine="889"/>
        <w:spacing w:after="0" w:line="260" w:lineRule="auto"/>
        <w:tabs>
          <w:tab w:leader="none" w:pos="118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Award</w:t>
      </w:r>
      <w:r>
        <w:rPr>
          <w:rFonts w:ascii="Times New Roman" w:cs="Times New Roman" w:eastAsia="Times New Roman" w:hAnsi="Times New Roman"/>
          <w:sz w:val="18"/>
          <w:szCs w:val="18"/>
          <w:color w:val="auto"/>
        </w:rPr>
        <w:t>” means the target award, at 100% performance achievement, payable under the Plan to a Participant for the Performance Period, as determined by the Committee in accordance with Section 3(b).</w:t>
      </w:r>
    </w:p>
    <w:p>
      <w:pPr>
        <w:spacing w:after="0" w:line="127" w:lineRule="exact"/>
        <w:rPr>
          <w:rFonts w:ascii="Times New Roman" w:cs="Times New Roman" w:eastAsia="Times New Roman" w:hAnsi="Times New Roman"/>
          <w:sz w:val="18"/>
          <w:szCs w:val="18"/>
          <w:color w:val="auto"/>
        </w:rPr>
      </w:pPr>
    </w:p>
    <w:p>
      <w:pPr>
        <w:ind w:right="100" w:firstLine="889"/>
        <w:spacing w:after="0" w:line="266" w:lineRule="auto"/>
        <w:tabs>
          <w:tab w:leader="none" w:pos="11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means a cessation of the employee-employer relationship between an Employee and the Company or an Affiliate for any reason, including, but not by way of limitation, a termination by resignation, discharge, death, Disability, retirement, or the disaffiliation of an Affiliate, but excluding any such termination where there is a simultaneous reemployment by the Company or an Affiliate.</w:t>
      </w:r>
    </w:p>
    <w:p>
      <w:pPr>
        <w:spacing w:after="0" w:line="202"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Participants and Determination of Awards</w:t>
      </w:r>
      <w:r>
        <w:rPr>
          <w:rFonts w:ascii="Times New Roman" w:cs="Times New Roman" w:eastAsia="Times New Roman" w:hAnsi="Times New Roman"/>
          <w:sz w:val="18"/>
          <w:szCs w:val="18"/>
          <w:color w:val="auto"/>
          <w:highlight w:val="white"/>
        </w:rPr>
        <w:t>.</w:t>
      </w:r>
    </w:p>
    <w:p>
      <w:pPr>
        <w:sectPr>
          <w:pgSz w:w="11900" w:h="16838" w:orient="portrait"/>
          <w:cols w:equalWidth="0" w:num="1">
            <w:col w:w="11240"/>
          </w:cols>
          <w:pgMar w:left="320" w:top="1413" w:right="339" w:bottom="1440" w:gutter="0" w:footer="0" w:header="0"/>
        </w:sectPr>
      </w:pPr>
    </w:p>
    <w:bookmarkStart w:id="125" w:name="page126"/>
    <w:bookmarkEnd w:id="125"/>
    <w:p>
      <w:pPr>
        <w:spacing w:after="0" w:line="59" w:lineRule="exact"/>
        <w:rPr>
          <w:sz w:val="20"/>
          <w:szCs w:val="20"/>
          <w:color w:val="auto"/>
        </w:rPr>
      </w:pPr>
    </w:p>
    <w:p>
      <w:pPr>
        <w:ind w:right="340" w:firstLine="889"/>
        <w:spacing w:after="0" w:line="261" w:lineRule="auto"/>
        <w:tabs>
          <w:tab w:leader="none" w:pos="11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Participants</w:t>
      </w:r>
      <w:r>
        <w:rPr>
          <w:rFonts w:ascii="Times New Roman" w:cs="Times New Roman" w:eastAsia="Times New Roman" w:hAnsi="Times New Roman"/>
          <w:sz w:val="18"/>
          <w:szCs w:val="18"/>
          <w:color w:val="auto"/>
        </w:rPr>
        <w:t>. The Committee, in its sole discretion, will select the Employees who will be Participants for any Performance Period. Participation in the Plan is in the sole discretion of the Committee, on a Performance Period by Performance Period basis. Accordingly, an Employee who is a Participant for a given Performance Period in no way is guaranteed or assured of being selected for participation in any subsequent Performance Period or Periods.</w:t>
      </w:r>
    </w:p>
    <w:p>
      <w:pPr>
        <w:spacing w:after="0" w:line="125" w:lineRule="exact"/>
        <w:rPr>
          <w:rFonts w:ascii="Times New Roman" w:cs="Times New Roman" w:eastAsia="Times New Roman" w:hAnsi="Times New Roman"/>
          <w:sz w:val="18"/>
          <w:szCs w:val="18"/>
          <w:color w:val="auto"/>
        </w:rPr>
      </w:pPr>
    </w:p>
    <w:p>
      <w:pPr>
        <w:ind w:right="120" w:firstLine="889"/>
        <w:spacing w:after="0" w:line="282" w:lineRule="auto"/>
        <w:tabs>
          <w:tab w:leader="none" w:pos="113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Target Awards</w:t>
      </w:r>
      <w:r>
        <w:rPr>
          <w:rFonts w:ascii="Times New Roman" w:cs="Times New Roman" w:eastAsia="Times New Roman" w:hAnsi="Times New Roman"/>
          <w:sz w:val="18"/>
          <w:szCs w:val="18"/>
          <w:color w:val="auto"/>
          <w:highlight w:val="white"/>
        </w:rPr>
        <w:t>. The Committee, in its sole discretion, will establish a Target Award for each Participant, which generally</w:t>
      </w:r>
      <w:r>
        <w:rPr>
          <w:rFonts w:ascii="Times New Roman" w:cs="Times New Roman" w:eastAsia="Times New Roman" w:hAnsi="Times New Roman"/>
          <w:sz w:val="18"/>
          <w:szCs w:val="18"/>
          <w:color w:val="auto"/>
        </w:rPr>
        <w:t xml:space="preserve"> will be a percentage of a Participant’s average annual base salary for the Performance Period.</w:t>
      </w:r>
    </w:p>
    <w:p>
      <w:pPr>
        <w:spacing w:after="0" w:line="107" w:lineRule="exact"/>
        <w:rPr>
          <w:rFonts w:ascii="Times New Roman" w:cs="Times New Roman" w:eastAsia="Times New Roman" w:hAnsi="Times New Roman"/>
          <w:sz w:val="18"/>
          <w:szCs w:val="18"/>
          <w:color w:val="auto"/>
        </w:rPr>
      </w:pPr>
    </w:p>
    <w:p>
      <w:pPr>
        <w:ind w:right="280" w:firstLine="889"/>
        <w:spacing w:after="0" w:line="282" w:lineRule="auto"/>
        <w:tabs>
          <w:tab w:leader="none" w:pos="11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Pool</w:t>
      </w:r>
      <w:r>
        <w:rPr>
          <w:rFonts w:ascii="Times New Roman" w:cs="Times New Roman" w:eastAsia="Times New Roman" w:hAnsi="Times New Roman"/>
          <w:sz w:val="18"/>
          <w:szCs w:val="18"/>
          <w:color w:val="auto"/>
          <w:highlight w:val="white"/>
        </w:rPr>
        <w:t>. Each Performance Period, the Committee, in its sole discretion, will establish a Bonus Pool, which pool may be established</w:t>
      </w:r>
      <w:r>
        <w:rPr>
          <w:rFonts w:ascii="Times New Roman" w:cs="Times New Roman" w:eastAsia="Times New Roman" w:hAnsi="Times New Roman"/>
          <w:sz w:val="18"/>
          <w:szCs w:val="18"/>
          <w:color w:val="auto"/>
        </w:rPr>
        <w:t xml:space="preserve"> before, during or after the applicable Performance Period. Actual Awards will be paid from the Bonus Pool.</w:t>
      </w:r>
    </w:p>
    <w:p>
      <w:pPr>
        <w:spacing w:after="0" w:line="107" w:lineRule="exact"/>
        <w:rPr>
          <w:rFonts w:ascii="Times New Roman" w:cs="Times New Roman" w:eastAsia="Times New Roman" w:hAnsi="Times New Roman"/>
          <w:sz w:val="18"/>
          <w:szCs w:val="18"/>
          <w:color w:val="auto"/>
        </w:rPr>
      </w:pPr>
    </w:p>
    <w:p>
      <w:pPr>
        <w:ind w:right="160" w:firstLine="889"/>
        <w:spacing w:after="0" w:line="261" w:lineRule="auto"/>
        <w:tabs>
          <w:tab w:leader="none" w:pos="113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 to Modify Awards</w:t>
      </w:r>
      <w:r>
        <w:rPr>
          <w:rFonts w:ascii="Times New Roman" w:cs="Times New Roman" w:eastAsia="Times New Roman" w:hAnsi="Times New Roman"/>
          <w:sz w:val="18"/>
          <w:szCs w:val="18"/>
          <w:color w:val="auto"/>
          <w:highlight w:val="white"/>
        </w:rPr>
        <w:t>. Notwithstanding any contrary provision of the Plan, the Committee may, in its sole discretion and at any</w:t>
      </w:r>
      <w:r>
        <w:rPr>
          <w:rFonts w:ascii="Times New Roman" w:cs="Times New Roman" w:eastAsia="Times New Roman" w:hAnsi="Times New Roman"/>
          <w:sz w:val="18"/>
          <w:szCs w:val="18"/>
          <w:color w:val="auto"/>
        </w:rPr>
        <w:t xml:space="preserve"> time, (i) increase, reduce or eliminate a Participant’s Actual Award, and/or (ii) increase, reduce or eliminate the amount allocated to the Bonus Pool. The Actual Award may be below, at or above the Target Award, in the Committee’s discretion. The Committee may determine the amount of any reduction on the basis of such factors as it deems relevant, and will not be required to establish any allocation or weighting with respect to the factors it considers.</w:t>
      </w:r>
    </w:p>
    <w:p>
      <w:pPr>
        <w:spacing w:after="0" w:line="125" w:lineRule="exact"/>
        <w:rPr>
          <w:rFonts w:ascii="Times New Roman" w:cs="Times New Roman" w:eastAsia="Times New Roman" w:hAnsi="Times New Roman"/>
          <w:sz w:val="18"/>
          <w:szCs w:val="18"/>
          <w:color w:val="auto"/>
        </w:rPr>
      </w:pPr>
    </w:p>
    <w:p>
      <w:pPr>
        <w:ind w:firstLine="889"/>
        <w:spacing w:after="0" w:line="254" w:lineRule="auto"/>
        <w:tabs>
          <w:tab w:leader="none" w:pos="11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 to Determine Criteria</w:t>
      </w:r>
      <w:r>
        <w:rPr>
          <w:rFonts w:ascii="Times New Roman" w:cs="Times New Roman" w:eastAsia="Times New Roman" w:hAnsi="Times New Roman"/>
          <w:sz w:val="18"/>
          <w:szCs w:val="18"/>
          <w:color w:val="auto"/>
          <w:highlight w:val="white"/>
        </w:rPr>
        <w:t>. Notwithstanding any contrary provision of the Plan, the Committee will, in its sole discretion, determine</w:t>
      </w:r>
      <w:r>
        <w:rPr>
          <w:rFonts w:ascii="Times New Roman" w:cs="Times New Roman" w:eastAsia="Times New Roman" w:hAnsi="Times New Roman"/>
          <w:sz w:val="18"/>
          <w:szCs w:val="18"/>
          <w:color w:val="auto"/>
        </w:rPr>
        <w:t xml:space="preserve"> the performance goals applicable to any Target Award which requirement may include, without limitation, total revenue, revenue from specific product lines, cash flow; customer satisfaction; earnings; earnings per share; earnings before interest and taxes; earnings before interest, taxes, depreciation, and amortization; operating profit/loss; operating efficiency; gross or operating margin and individual objectives such as peer reviews or other subjective or objective criteria. As determined by the Committee, the performance goals may be based on GAAP or Non-GAAP results and any actual results may be adjusted by the Committee for one-time items or unbudgeted or unexpected items when determining whether the performance goals have been met. The goals may be on the basis of any factors the Committee determines relevant, and may be on an individual, divisional, business unit or Company-wide basis. The performance goals may differ from Participant to Participant and from award to award. Failure to meet the goals will result in a failure to earn the Target Award, except as provided in Section 3(d).</w:t>
      </w:r>
    </w:p>
    <w:p>
      <w:pPr>
        <w:spacing w:after="0" w:line="215"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Awards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right="320" w:firstLine="889"/>
        <w:spacing w:after="0" w:line="266" w:lineRule="auto"/>
        <w:tabs>
          <w:tab w:leader="none" w:pos="112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Receive Payment</w:t>
      </w:r>
      <w:r>
        <w:rPr>
          <w:rFonts w:ascii="Times New Roman" w:cs="Times New Roman" w:eastAsia="Times New Roman" w:hAnsi="Times New Roman"/>
          <w:sz w:val="18"/>
          <w:szCs w:val="18"/>
          <w:color w:val="auto"/>
        </w:rPr>
        <w:t>. Each Actual Award will be paid solely from the general assets of the Company. Nothing in this Plan will be construed to create a trust or to establish or evidence any Participant’s claim of any right other than as an unsecured general creditor with respect to any payment to which he or she may be entitled.</w:t>
      </w:r>
    </w:p>
    <w:p>
      <w:pPr>
        <w:spacing w:after="0" w:line="121" w:lineRule="exact"/>
        <w:rPr>
          <w:rFonts w:ascii="Times New Roman" w:cs="Times New Roman" w:eastAsia="Times New Roman" w:hAnsi="Times New Roman"/>
          <w:sz w:val="18"/>
          <w:szCs w:val="18"/>
          <w:color w:val="auto"/>
        </w:rPr>
      </w:pPr>
    </w:p>
    <w:p>
      <w:pPr>
        <w:ind w:right="320" w:firstLine="889"/>
        <w:spacing w:after="0" w:line="266" w:lineRule="auto"/>
        <w:tabs>
          <w:tab w:leader="none" w:pos="113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w:t>
      </w:r>
      <w:r>
        <w:rPr>
          <w:rFonts w:ascii="Times New Roman" w:cs="Times New Roman" w:eastAsia="Times New Roman" w:hAnsi="Times New Roman"/>
          <w:sz w:val="18"/>
          <w:szCs w:val="18"/>
          <w:color w:val="auto"/>
          <w:highlight w:val="white"/>
        </w:rPr>
        <w:t>. Payment of each Actual Award shall be made as soon as practicable after the end of the Performance Period during</w:t>
      </w:r>
      <w:r>
        <w:rPr>
          <w:rFonts w:ascii="Times New Roman" w:cs="Times New Roman" w:eastAsia="Times New Roman" w:hAnsi="Times New Roman"/>
          <w:sz w:val="18"/>
          <w:szCs w:val="18"/>
          <w:color w:val="auto"/>
        </w:rPr>
        <w:t xml:space="preserve"> which the Actual Award was earned and after the Actual Award is approved by the Committee, but in no event later than the fifteenth day of the third month of the</w:t>
      </w:r>
    </w:p>
    <w:p>
      <w:pPr>
        <w:spacing w:after="0" w:line="20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Fiscal Year following the date the Participant’s Actual Award is no longer subject to a substantial risk of forfeiture. Unless otherwise determined by the Committee, a Participant must be employed by the Company or any Affiliate on the last day of the Performance Period to receive a payment under the Plan.</w:t>
      </w:r>
    </w:p>
    <w:p>
      <w:pPr>
        <w:spacing w:after="0" w:line="122"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It is the intent that this Plan comply with the requirements of Code Section 409A so that none of the payments to be provided hereunder will be subject to the additional tax imposed under Code Section 409A, and any ambiguities herein will be interpreted to so comply.</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Each Actual Award will be paid in cash (or its equivalent) in a single lump sum.</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40" w:lineRule="exact"/>
        <w:rPr>
          <w:sz w:val="20"/>
          <w:szCs w:val="20"/>
          <w:color w:val="auto"/>
        </w:rPr>
      </w:pPr>
    </w:p>
    <w:p>
      <w:pPr>
        <w:ind w:right="180" w:firstLine="889"/>
        <w:spacing w:after="0" w:line="266" w:lineRule="auto"/>
        <w:tabs>
          <w:tab w:leader="none" w:pos="113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the Event of Death or Disability</w:t>
      </w:r>
      <w:r>
        <w:rPr>
          <w:rFonts w:ascii="Times New Roman" w:cs="Times New Roman" w:eastAsia="Times New Roman" w:hAnsi="Times New Roman"/>
          <w:sz w:val="18"/>
          <w:szCs w:val="18"/>
          <w:color w:val="auto"/>
          <w:highlight w:val="white"/>
        </w:rPr>
        <w:t>. If a Participant dies or becomes Disabled prior to the payment of an Actual Award earned by</w:t>
      </w:r>
      <w:r>
        <w:rPr>
          <w:rFonts w:ascii="Times New Roman" w:cs="Times New Roman" w:eastAsia="Times New Roman" w:hAnsi="Times New Roman"/>
          <w:sz w:val="18"/>
          <w:szCs w:val="18"/>
          <w:color w:val="auto"/>
        </w:rPr>
        <w:t xml:space="preserve"> him or her prior to death or Disability for a prior Performance Period, the Actual Award will be paid to his or her estate or to the Participant, as the case may be, subject to the Committee’s discretion to reduce or eliminate any Actual Award otherwise payable.</w:t>
      </w:r>
    </w:p>
    <w:p>
      <w:pPr>
        <w:spacing w:after="0" w:line="202"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is the Administrator</w:t>
      </w:r>
      <w:r>
        <w:rPr>
          <w:rFonts w:ascii="Times New Roman" w:cs="Times New Roman" w:eastAsia="Times New Roman" w:hAnsi="Times New Roman"/>
          <w:sz w:val="18"/>
          <w:szCs w:val="18"/>
          <w:color w:val="auto"/>
        </w:rPr>
        <w:t>. The Plan will be administered by the Committee. The Committee will consist of not less than two</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Board. The members of the Committee will be appointed from time to time by, and serve at the pleasure of, the Board.</w:t>
      </w:r>
    </w:p>
    <w:p>
      <w:pPr>
        <w:spacing w:after="0" w:line="152" w:lineRule="exact"/>
        <w:rPr>
          <w:rFonts w:ascii="Times New Roman" w:cs="Times New Roman" w:eastAsia="Times New Roman" w:hAnsi="Times New Roman"/>
          <w:sz w:val="18"/>
          <w:szCs w:val="18"/>
          <w:color w:val="auto"/>
        </w:rPr>
      </w:pPr>
    </w:p>
    <w:p>
      <w:pPr>
        <w:ind w:right="100" w:firstLine="889"/>
        <w:spacing w:after="0" w:line="276" w:lineRule="auto"/>
        <w:tabs>
          <w:tab w:leader="none" w:pos="1136"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Committee Authority</w:t>
      </w:r>
      <w:r>
        <w:rPr>
          <w:rFonts w:ascii="Times New Roman" w:cs="Times New Roman" w:eastAsia="Times New Roman" w:hAnsi="Times New Roman"/>
          <w:sz w:val="17"/>
          <w:szCs w:val="17"/>
          <w:color w:val="auto"/>
        </w:rPr>
        <w:t>. It will be the duty of the Committee to administer the Plan in accordance with the Plan’s provisions. The Committee will have all powers and discretion necessary or appropriate to administer the Plan and to control its operation, including, but not limited to, the power to</w:t>
      </w:r>
    </w:p>
    <w:p>
      <w:pPr>
        <w:ind w:right="1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determine which Employees will be granted awards, (ii) prescribe the terms and conditions of awards, (iii) interpret the Plan and the awards, (iv) adopt such procedures and subplans as are necessary or appropriate to permit participation in the Plan by Employees who are foreign nationals or employed outside of the United States, (v) adopt rules for the administration, interpretation and application of the Plan as are consistent therewith, and (vi) interpret, amend or revoke any such rules.</w:t>
      </w:r>
    </w:p>
    <w:p>
      <w:pPr>
        <w:spacing w:after="0" w:line="134" w:lineRule="exact"/>
        <w:rPr>
          <w:rFonts w:ascii="Times New Roman" w:cs="Times New Roman" w:eastAsia="Times New Roman" w:hAnsi="Times New Roman"/>
          <w:sz w:val="17"/>
          <w:szCs w:val="17"/>
          <w:color w:val="auto"/>
        </w:rPr>
      </w:pPr>
    </w:p>
    <w:p>
      <w:pPr>
        <w:ind w:right="40" w:firstLine="889"/>
        <w:spacing w:after="0" w:line="282" w:lineRule="auto"/>
        <w:tabs>
          <w:tab w:leader="none" w:pos="112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highlight w:val="white"/>
        </w:rPr>
        <w:t>. All determinations and decisions made by the Committee, the Board, and any delegate of the Committee pursuant to the</w:t>
      </w:r>
      <w:r>
        <w:rPr>
          <w:rFonts w:ascii="Times New Roman" w:cs="Times New Roman" w:eastAsia="Times New Roman" w:hAnsi="Times New Roman"/>
          <w:sz w:val="18"/>
          <w:szCs w:val="18"/>
          <w:color w:val="auto"/>
        </w:rPr>
        <w:t xml:space="preserve"> provisions of the Plan will be final, conclusive, and binding on all persons, and will be given the maximum deference permitted by law.</w:t>
      </w:r>
    </w:p>
    <w:p>
      <w:pPr>
        <w:spacing w:after="0" w:line="107" w:lineRule="exact"/>
        <w:rPr>
          <w:rFonts w:ascii="Times New Roman" w:cs="Times New Roman" w:eastAsia="Times New Roman" w:hAnsi="Times New Roman"/>
          <w:sz w:val="18"/>
          <w:szCs w:val="18"/>
          <w:color w:val="auto"/>
        </w:rPr>
      </w:pPr>
    </w:p>
    <w:p>
      <w:pPr>
        <w:ind w:right="280" w:firstLine="889"/>
        <w:spacing w:after="0" w:line="282" w:lineRule="auto"/>
        <w:tabs>
          <w:tab w:leader="none" w:pos="113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by Committee</w:t>
      </w:r>
      <w:r>
        <w:rPr>
          <w:rFonts w:ascii="Times New Roman" w:cs="Times New Roman" w:eastAsia="Times New Roman" w:hAnsi="Times New Roman"/>
          <w:sz w:val="18"/>
          <w:szCs w:val="18"/>
          <w:color w:val="auto"/>
        </w:rPr>
        <w:t>. The Committee, in its sole discretion and on such terms and conditions as it may provide, may delegate all or part of its authority and powers under the Plan to one or more directors and/or officers of the Company.</w:t>
      </w:r>
    </w:p>
    <w:p>
      <w:pPr>
        <w:spacing w:after="0" w:line="107" w:lineRule="exact"/>
        <w:rPr>
          <w:rFonts w:ascii="Times New Roman" w:cs="Times New Roman" w:eastAsia="Times New Roman" w:hAnsi="Times New Roman"/>
          <w:sz w:val="18"/>
          <w:szCs w:val="18"/>
          <w:color w:val="auto"/>
        </w:rPr>
      </w:pPr>
    </w:p>
    <w:p>
      <w:pPr>
        <w:ind w:firstLine="889"/>
        <w:spacing w:after="0" w:line="254" w:lineRule="auto"/>
        <w:tabs>
          <w:tab w:leader="none" w:pos="112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highlight w:val="white"/>
        </w:rPr>
        <w:t>. Each person who is or will have been a member of the Committee will be indemnified and held harmless by the Company</w:t>
      </w:r>
      <w:r>
        <w:rPr>
          <w:rFonts w:ascii="Times New Roman" w:cs="Times New Roman" w:eastAsia="Times New Roman" w:hAnsi="Times New Roman"/>
          <w:sz w:val="18"/>
          <w:szCs w:val="18"/>
          <w:color w:val="auto"/>
        </w:rPr>
        <w:t xml:space="preserve">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(ii)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215"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right="440" w:firstLine="889"/>
        <w:spacing w:after="0" w:line="282" w:lineRule="auto"/>
        <w:tabs>
          <w:tab w:leader="none" w:pos="1126"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highlight w:val="white"/>
        </w:rPr>
        <w:t>. The Company will withhold all applicable taxes from any Actual Award, including any federal, state and local taxes</w:t>
      </w:r>
      <w:r>
        <w:rPr>
          <w:rFonts w:ascii="Times New Roman" w:cs="Times New Roman" w:eastAsia="Times New Roman" w:hAnsi="Times New Roman"/>
          <w:sz w:val="18"/>
          <w:szCs w:val="18"/>
          <w:color w:val="auto"/>
        </w:rPr>
        <w:t xml:space="preserve"> (including, but not limited to, the Participant’s FICA and SDI obligations).</w:t>
      </w:r>
    </w:p>
    <w:p>
      <w:pPr>
        <w:spacing w:after="0" w:line="107" w:lineRule="exact"/>
        <w:rPr>
          <w:rFonts w:ascii="Times New Roman" w:cs="Times New Roman" w:eastAsia="Times New Roman" w:hAnsi="Times New Roman"/>
          <w:sz w:val="18"/>
          <w:szCs w:val="18"/>
          <w:color w:val="auto"/>
        </w:rPr>
      </w:pPr>
    </w:p>
    <w:p>
      <w:pPr>
        <w:ind w:right="100" w:firstLine="889"/>
        <w:spacing w:after="0" w:line="256" w:lineRule="auto"/>
        <w:tabs>
          <w:tab w:leader="none" w:pos="1136"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Nothing in the Plan will interfere with or limit in any way the right of the Company to terminate any Participant’s employment or service at any time, with or without cause. For purposes of the Plan, transfer of employment of a Participant between the Company and any one of its Affiliates (or between Affiliates) will not be deemed a Termination of Service. Employment with the Company and its Affiliates is on an at-will basis only. The Company expressly reserves the right, which may be exercised at any time and without regard to when during a Performance Period such exercise occurs, to terminate any individual’s employment with or without cause, and to treat him or her without regard to the effect that such treatment might have upon him or her as a Participant.</w:t>
      </w:r>
    </w:p>
    <w:p>
      <w:pPr>
        <w:spacing w:after="0" w:line="133" w:lineRule="exact"/>
        <w:rPr>
          <w:rFonts w:ascii="Times New Roman" w:cs="Times New Roman" w:eastAsia="Times New Roman" w:hAnsi="Times New Roman"/>
          <w:sz w:val="18"/>
          <w:szCs w:val="18"/>
          <w:color w:val="auto"/>
        </w:rPr>
      </w:pPr>
    </w:p>
    <w:p>
      <w:pPr>
        <w:ind w:right="60" w:firstLine="889"/>
        <w:spacing w:after="0" w:line="282" w:lineRule="auto"/>
        <w:tabs>
          <w:tab w:leader="none" w:pos="1126"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highlight w:val="white"/>
        </w:rPr>
        <w:t>. No Employee will have the right to be selected to receive an award under this Plan, or, having been so selected, to be selected</w:t>
      </w:r>
      <w:r>
        <w:rPr>
          <w:rFonts w:ascii="Times New Roman" w:cs="Times New Roman" w:eastAsia="Times New Roman" w:hAnsi="Times New Roman"/>
          <w:sz w:val="18"/>
          <w:szCs w:val="18"/>
          <w:color w:val="auto"/>
        </w:rPr>
        <w:t xml:space="preserve"> to receive a future award.</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0" w:lineRule="exact"/>
        <w:rPr>
          <w:sz w:val="20"/>
          <w:szCs w:val="20"/>
          <w:color w:val="auto"/>
        </w:rPr>
      </w:pPr>
    </w:p>
    <w:p>
      <w:pPr>
        <w:ind w:left="-449" w:right="160" w:firstLine="889"/>
        <w:spacing w:after="0" w:line="266" w:lineRule="auto"/>
        <w:tabs>
          <w:tab w:leader="none" w:pos="68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obligations of the Company under the Plan, with respect to awards granted hereunder, will be binding on any successor to the Company, whether the existence of such successor is the result of a direct or indirect purchase, merger, consolidation, or otherwise, of all or substantially all of the business or assets of the Company.</w:t>
      </w:r>
    </w:p>
    <w:p>
      <w:pPr>
        <w:spacing w:after="0" w:line="121" w:lineRule="exact"/>
        <w:rPr>
          <w:rFonts w:ascii="Times New Roman" w:cs="Times New Roman" w:eastAsia="Times New Roman" w:hAnsi="Times New Roman"/>
          <w:sz w:val="18"/>
          <w:szCs w:val="18"/>
          <w:color w:val="auto"/>
        </w:rPr>
      </w:pPr>
    </w:p>
    <w:p>
      <w:pPr>
        <w:ind w:left="-449" w:firstLine="889"/>
        <w:spacing w:after="0" w:line="261" w:lineRule="auto"/>
        <w:tabs>
          <w:tab w:leader="none" w:pos="67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 Designations</w:t>
      </w:r>
      <w:r>
        <w:rPr>
          <w:rFonts w:ascii="Times New Roman" w:cs="Times New Roman" w:eastAsia="Times New Roman" w:hAnsi="Times New Roman"/>
          <w:sz w:val="18"/>
          <w:szCs w:val="18"/>
          <w:color w:val="auto"/>
          <w:highlight w:val="white"/>
        </w:rPr>
        <w:t>. If permitted by the Committee, a Participant under the Plan may name a beneficiary or beneficiaries to whom any</w:t>
      </w:r>
      <w:r>
        <w:rPr>
          <w:rFonts w:ascii="Times New Roman" w:cs="Times New Roman" w:eastAsia="Times New Roman" w:hAnsi="Times New Roman"/>
          <w:sz w:val="18"/>
          <w:szCs w:val="18"/>
          <w:color w:val="auto"/>
        </w:rPr>
        <w:t xml:space="preserve"> vested but unpaid award will be paid in the event of the Participant’s death. Each such designation will revoke all prior designations by the Participant and will be effective only if given in a form and manner acceptable to the Committee. In the absence of any such designation, any vested benefits remaining unpaid at the Participant’s death will be paid to the Participant’s estate.</w:t>
      </w:r>
    </w:p>
    <w:p>
      <w:pPr>
        <w:spacing w:after="0" w:line="125" w:lineRule="exact"/>
        <w:rPr>
          <w:rFonts w:ascii="Times New Roman" w:cs="Times New Roman" w:eastAsia="Times New Roman" w:hAnsi="Times New Roman"/>
          <w:sz w:val="18"/>
          <w:szCs w:val="18"/>
          <w:color w:val="auto"/>
        </w:rPr>
      </w:pPr>
    </w:p>
    <w:p>
      <w:pPr>
        <w:ind w:left="-449" w:right="400" w:firstLine="889"/>
        <w:spacing w:after="0" w:line="266" w:lineRule="auto"/>
        <w:tabs>
          <w:tab w:leader="none" w:pos="65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Awards</w:t>
      </w:r>
      <w:r>
        <w:rPr>
          <w:rFonts w:ascii="Times New Roman" w:cs="Times New Roman" w:eastAsia="Times New Roman" w:hAnsi="Times New Roman"/>
          <w:sz w:val="18"/>
          <w:szCs w:val="18"/>
          <w:color w:val="auto"/>
        </w:rPr>
        <w:t>. No award granted under the Plan may be sold, transferred, pledged, assigned, or otherwise alienated or hypothecated, other than by will, by the laws of descent and distribution, or to the limited extent provided in Section 6(e). All rights with respect to an award granted to a Participant will be available during his or her lifetime only to the Participant.</w:t>
      </w:r>
    </w:p>
    <w:p>
      <w:pPr>
        <w:spacing w:after="0" w:line="202" w:lineRule="exact"/>
        <w:rPr>
          <w:rFonts w:ascii="Times New Roman" w:cs="Times New Roman" w:eastAsia="Times New Roman" w:hAnsi="Times New Roman"/>
          <w:sz w:val="18"/>
          <w:szCs w:val="18"/>
          <w:color w:val="auto"/>
        </w:rPr>
      </w:pPr>
    </w:p>
    <w:p>
      <w:pPr>
        <w:ind w:left="171" w:hanging="171"/>
        <w:spacing w:after="0"/>
        <w:tabs>
          <w:tab w:leader="none" w:pos="1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Termination, and Duration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449" w:right="20" w:firstLine="889"/>
        <w:spacing w:after="0" w:line="261" w:lineRule="auto"/>
        <w:tabs>
          <w:tab w:leader="none" w:pos="67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w:t>
      </w:r>
      <w:r>
        <w:rPr>
          <w:rFonts w:ascii="Times New Roman" w:cs="Times New Roman" w:eastAsia="Times New Roman" w:hAnsi="Times New Roman"/>
          <w:sz w:val="18"/>
          <w:szCs w:val="18"/>
          <w:color w:val="auto"/>
        </w:rPr>
        <w:t>. The Board, in its sole discretion, may amend or terminate the Plan, or any part thereof, at any time and for any reason. The amendment, suspension or termination of the Plan will not, without the consent of the Participant, alter or impair any rights or obligations under any Actual Award theretofore earned by such Participant. No award may be granted during any period of suspension or after termination of the Plan.</w:t>
      </w:r>
    </w:p>
    <w:p>
      <w:pPr>
        <w:spacing w:after="0" w:line="125" w:lineRule="exact"/>
        <w:rPr>
          <w:rFonts w:ascii="Times New Roman" w:cs="Times New Roman" w:eastAsia="Times New Roman" w:hAnsi="Times New Roman"/>
          <w:sz w:val="18"/>
          <w:szCs w:val="18"/>
          <w:color w:val="auto"/>
        </w:rPr>
      </w:pPr>
    </w:p>
    <w:p>
      <w:pPr>
        <w:ind w:left="-449" w:firstLine="889"/>
        <w:spacing w:after="0" w:line="282" w:lineRule="auto"/>
        <w:tabs>
          <w:tab w:leader="none" w:pos="68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Plan</w:t>
      </w:r>
      <w:r>
        <w:rPr>
          <w:rFonts w:ascii="Times New Roman" w:cs="Times New Roman" w:eastAsia="Times New Roman" w:hAnsi="Times New Roman"/>
          <w:sz w:val="18"/>
          <w:szCs w:val="18"/>
          <w:color w:val="auto"/>
        </w:rPr>
        <w:t>. The Plan will commence on the date specified herein, and subject to Section 7(a) (regarding the Board’s right to amend or terminate the Plan), will remain in effect thereafter.</w:t>
      </w:r>
    </w:p>
    <w:p>
      <w:pPr>
        <w:spacing w:after="0" w:line="188" w:lineRule="exact"/>
        <w:rPr>
          <w:rFonts w:ascii="Times New Roman" w:cs="Times New Roman" w:eastAsia="Times New Roman" w:hAnsi="Times New Roman"/>
          <w:sz w:val="18"/>
          <w:szCs w:val="18"/>
          <w:color w:val="auto"/>
        </w:rPr>
      </w:pPr>
    </w:p>
    <w:p>
      <w:pPr>
        <w:ind w:left="171" w:hanging="171"/>
        <w:spacing w:after="0"/>
        <w:tabs>
          <w:tab w:leader="none" w:pos="1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Construction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449" w:right="160" w:firstLine="889"/>
        <w:spacing w:after="0" w:line="282" w:lineRule="auto"/>
        <w:tabs>
          <w:tab w:leader="none" w:pos="67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Gender and Number</w:t>
      </w:r>
      <w:r>
        <w:rPr>
          <w:rFonts w:ascii="Times New Roman" w:cs="Times New Roman" w:eastAsia="Times New Roman" w:hAnsi="Times New Roman"/>
          <w:sz w:val="18"/>
          <w:szCs w:val="18"/>
          <w:color w:val="auto"/>
          <w:highlight w:val="white"/>
        </w:rPr>
        <w:t>. Except where otherwise indicated by the context, any masculine term used herein also will include the feminine; the</w:t>
      </w:r>
      <w:r>
        <w:rPr>
          <w:rFonts w:ascii="Times New Roman" w:cs="Times New Roman" w:eastAsia="Times New Roman" w:hAnsi="Times New Roman"/>
          <w:sz w:val="18"/>
          <w:szCs w:val="18"/>
          <w:color w:val="auto"/>
        </w:rPr>
        <w:t xml:space="preserve"> plural will include the singular and the singular will include the plural.</w:t>
      </w:r>
    </w:p>
    <w:p>
      <w:pPr>
        <w:spacing w:after="0" w:line="107" w:lineRule="exact"/>
        <w:rPr>
          <w:rFonts w:ascii="Times New Roman" w:cs="Times New Roman" w:eastAsia="Times New Roman" w:hAnsi="Times New Roman"/>
          <w:sz w:val="18"/>
          <w:szCs w:val="18"/>
          <w:color w:val="auto"/>
        </w:rPr>
      </w:pPr>
    </w:p>
    <w:p>
      <w:pPr>
        <w:ind w:left="-449" w:right="240" w:firstLine="889"/>
        <w:spacing w:after="0" w:line="282" w:lineRule="auto"/>
        <w:tabs>
          <w:tab w:leader="none" w:pos="68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the Plan will be held illegal or invalid for any reason, the illegality or invalidity will not affect the remaining parts of the Plan, and the Plan will be construed and enforced as if the illegal or invalid provision had not been included.</w:t>
      </w:r>
    </w:p>
    <w:p>
      <w:pPr>
        <w:spacing w:after="0" w:line="188" w:lineRule="exact"/>
        <w:rPr>
          <w:rFonts w:ascii="Times New Roman" w:cs="Times New Roman" w:eastAsia="Times New Roman" w:hAnsi="Times New Roman"/>
          <w:sz w:val="18"/>
          <w:szCs w:val="18"/>
          <w:color w:val="auto"/>
        </w:rPr>
      </w:pPr>
    </w:p>
    <w:p>
      <w:pPr>
        <w:ind w:left="-449" w:right="520" w:firstLine="889"/>
        <w:spacing w:after="0" w:line="282" w:lineRule="auto"/>
        <w:tabs>
          <w:tab w:leader="none" w:pos="67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The granting of awards under the Plan will be subject to all applicable laws, rules and regulations, and to such approvals by any governmental agencies or national securities exchanges as may be required.</w:t>
      </w:r>
    </w:p>
    <w:p>
      <w:pPr>
        <w:spacing w:after="0" w:line="107" w:lineRule="exact"/>
        <w:rPr>
          <w:rFonts w:ascii="Times New Roman" w:cs="Times New Roman" w:eastAsia="Times New Roman" w:hAnsi="Times New Roman"/>
          <w:sz w:val="18"/>
          <w:szCs w:val="18"/>
          <w:color w:val="auto"/>
        </w:rPr>
      </w:pPr>
    </w:p>
    <w:p>
      <w:pPr>
        <w:ind w:left="-449" w:right="400" w:firstLine="889"/>
        <w:spacing w:after="0" w:line="282" w:lineRule="auto"/>
        <w:tabs>
          <w:tab w:leader="none" w:pos="68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highlight w:val="white"/>
        </w:rPr>
        <w:t>. The Plan and all awards will be construed in accordance with and governed by the laws of the State of California, but</w:t>
      </w:r>
      <w:r>
        <w:rPr>
          <w:rFonts w:ascii="Times New Roman" w:cs="Times New Roman" w:eastAsia="Times New Roman" w:hAnsi="Times New Roman"/>
          <w:sz w:val="18"/>
          <w:szCs w:val="18"/>
          <w:color w:val="auto"/>
        </w:rPr>
        <w:t xml:space="preserve"> without regard to its conflict of law provisions.</w:t>
      </w:r>
    </w:p>
    <w:p>
      <w:pPr>
        <w:spacing w:after="0" w:line="107" w:lineRule="exact"/>
        <w:rPr>
          <w:rFonts w:ascii="Times New Roman" w:cs="Times New Roman" w:eastAsia="Times New Roman" w:hAnsi="Times New Roman"/>
          <w:sz w:val="18"/>
          <w:szCs w:val="18"/>
          <w:color w:val="auto"/>
        </w:rPr>
      </w:pPr>
    </w:p>
    <w:p>
      <w:pPr>
        <w:ind w:left="-449" w:right="220" w:firstLine="889"/>
        <w:spacing w:after="0" w:line="282" w:lineRule="auto"/>
        <w:tabs>
          <w:tab w:leader="none" w:pos="67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Plan</w:t>
      </w:r>
      <w:r>
        <w:rPr>
          <w:rFonts w:ascii="Times New Roman" w:cs="Times New Roman" w:eastAsia="Times New Roman" w:hAnsi="Times New Roman"/>
          <w:sz w:val="18"/>
          <w:szCs w:val="18"/>
          <w:color w:val="auto"/>
          <w:highlight w:val="white"/>
        </w:rPr>
        <w:t>. The Plan is intended to be a “bonus program” as defined under U.S. Department of Labor regulation 2510.3-2(c) and will be</w:t>
      </w:r>
      <w:r>
        <w:rPr>
          <w:rFonts w:ascii="Times New Roman" w:cs="Times New Roman" w:eastAsia="Times New Roman" w:hAnsi="Times New Roman"/>
          <w:sz w:val="18"/>
          <w:szCs w:val="18"/>
          <w:color w:val="auto"/>
        </w:rPr>
        <w:t xml:space="preserve"> construed and administered in accordance with such intention.</w:t>
      </w:r>
    </w:p>
    <w:p>
      <w:pPr>
        <w:spacing w:after="0" w:line="107" w:lineRule="exact"/>
        <w:rPr>
          <w:rFonts w:ascii="Times New Roman" w:cs="Times New Roman" w:eastAsia="Times New Roman" w:hAnsi="Times New Roman"/>
          <w:sz w:val="18"/>
          <w:szCs w:val="18"/>
          <w:color w:val="auto"/>
        </w:rPr>
      </w:pPr>
    </w:p>
    <w:p>
      <w:pPr>
        <w:ind w:left="671" w:hanging="231"/>
        <w:spacing w:after="0"/>
        <w:tabs>
          <w:tab w:leader="none" w:pos="67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highlight w:val="white"/>
        </w:rPr>
        <w:t>. Captions are provided herein for convenience only, and will not serve as a basis for interpretation or construction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-3514090</wp:posOffset>
            </wp:positionV>
            <wp:extent cx="2540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ectPr>
          <w:pgSz w:w="11900" w:h="16838" w:orient="portrait"/>
          <w:cols w:equalWidth="0" w:num="1">
            <w:col w:w="10771"/>
          </w:cols>
          <w:pgMar w:left="769" w:top="1440" w:right="35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FORTINET, INC. SUBSIDIARIES</w:t>
            </w:r>
          </w:p>
        </w:tc>
      </w:tr>
      <w:tr>
        <w:trPr>
          <w:trHeight w:val="351"/>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34"/>
        </w:trPr>
        <w:tc>
          <w:tcPr>
            <w:tcW w:w="3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Austria GmbH</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Belgium BV</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Network Security Brazil Limitada</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Technologies (Canada), ULC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Holdings 1504 Enterprises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International,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Accelops China</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Fortinet Information Technology (Beijing) Co.,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Colombia S.A.S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Colombia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Denmark ApS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Finland Oy</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Finland</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S.A.R.L.</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GmbH</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CyberSponse India Private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Technologies India Private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 Fortinet Indonesia Security</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enSilo,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Security Israel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Italy S.R.L.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Japan K.K.</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Korea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Malaysia SDN. BHD.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Networks Mauritius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Mauritius</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Mexico, S. de R.L. de C.V.</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BV</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Security NZ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Philippines,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Security LLC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Networks Romania S.R.L.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Singapore Private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Spain S.L.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Switzerland GmbH</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Network (Thailand)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Thailand</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Fortinet Turkey Güvenlik Sistemleri Limited Şirketi</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Bradford Networks,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CyberSponse,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enSilo,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Branch Holding Company</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Federal,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Holding LLC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OPAQ Networks,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Panopta Holdings LLC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Panopta LLC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enSilo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UK,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ZoneFox Holding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ZoneFox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0740"/>
          </w:cols>
          <w:pgMar w:left="820" w:top="88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333-229894, 333-223246, 333-216362, 333-209783, 333-202402, 333-194281, 333-186921, 333-179751, 333-172459 and 333-163367 on Form S-8 of our reports dated February 19, 2021, relating to the financial statements and the effectiveness of the Company's internal control over financial reporting, appearing in the Annual Report on Form 10-K of the Company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ectPr>
          <w:pgSz w:w="11900" w:h="16838" w:orient="portrait"/>
          <w:cols w:equalWidth="0" w:num="1">
            <w:col w:w="11240"/>
          </w:cols>
          <w:pgMar w:left="320" w:top="88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Keith Jensen</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Annual Report on Form 10-K of Fortinet, Inc. for the fiscal year ended December 31, 2020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2021</w:t>
            </w: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920" w:type="dxa"/>
            <w:vAlign w:val="bottom"/>
          </w:tcPr>
          <w:p>
            <w:pPr>
              <w:spacing w:after="0"/>
              <w:rPr>
                <w:sz w:val="15"/>
                <w:szCs w:val="15"/>
                <w:color w:val="auto"/>
              </w:rPr>
            </w:pPr>
          </w:p>
        </w:tc>
        <w:tc>
          <w:tcPr>
            <w:tcW w:w="270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39"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I, Keith Jensen, certify, pursuant to 18 U.S.C. Section 1350, as adopted pursuant to Section 906 of the Sarbanes-Oxley Act of 2002, that the Annual Report on Form 10-K of Fortinet, Inc. for the fiscal year ended December 31, 2020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Jensen</w:t>
            </w:r>
          </w:p>
        </w:tc>
      </w:t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2021</w:t>
            </w: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Jensen</w:t>
            </w:r>
          </w:p>
        </w:tc>
      </w:tr>
      <w:tr>
        <w:trPr>
          <w:trHeight w:val="180"/>
        </w:trPr>
        <w:tc>
          <w:tcPr>
            <w:tcW w:w="3920" w:type="dxa"/>
            <w:vAlign w:val="bottom"/>
          </w:tcPr>
          <w:p>
            <w:pPr>
              <w:spacing w:after="0"/>
              <w:rPr>
                <w:sz w:val="15"/>
                <w:szCs w:val="15"/>
                <w:color w:val="auto"/>
              </w:rPr>
            </w:pPr>
          </w:p>
        </w:tc>
        <w:tc>
          <w:tcPr>
            <w:tcW w:w="270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76"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lvl w:ilvl="1">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lowerRoman"/>
      <w:start w:val="3"/>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2"/>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1."/>
      <w:numFmt w:val="decimal"/>
      <w:start w:val="2"/>
    </w:lvl>
  </w:abstractNum>
  <w:abstractNum w:abstractNumId="45">
    <w:nsid w:val="61574095"/>
    <w:multiLevelType w:val="hybridMultilevel"/>
    <w:lvl w:ilvl="0">
      <w:lvlJc w:val="left"/>
      <w:lvlText w:val="%1."/>
      <w:numFmt w:val="decimal"/>
      <w:start w:val="3"/>
    </w:lvl>
  </w:abstractNum>
  <w:abstractNum w:abstractNumId="46">
    <w:nsid w:val="7E0C57B1"/>
    <w:multiLevelType w:val="hybridMultilevel"/>
    <w:lvl w:ilvl="0">
      <w:lvlJc w:val="left"/>
      <w:lvlText w:val="%1."/>
      <w:numFmt w:val="decimal"/>
      <w:start w:val="4"/>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7"/>
    </w:lvl>
  </w:abstractNum>
  <w:abstractNum w:abstractNumId="49">
    <w:nsid w:val="310C50B3"/>
    <w:multiLevelType w:val="hybridMultilevel"/>
    <w:lvl w:ilvl="0">
      <w:lvlJc w:val="left"/>
      <w:lvlText w:val="%1."/>
      <w:numFmt w:val="decimal"/>
      <w:start w:val="8"/>
    </w:lvl>
  </w:abstractNum>
  <w:abstractNum w:abstractNumId="50">
    <w:nsid w:val="5FF87E05"/>
    <w:multiLevelType w:val="hybridMultilevel"/>
    <w:lvl w:ilvl="0">
      <w:lvlJc w:val="left"/>
      <w:lvlText w:val="%1."/>
      <w:numFmt w:val="decimal"/>
      <w:start w:val="10"/>
    </w:lvl>
  </w:abstractNum>
  <w:abstractNum w:abstractNumId="51">
    <w:nsid w:val="2F305DEF"/>
    <w:multiLevelType w:val="hybridMultilevel"/>
    <w:lvl w:ilvl="0">
      <w:lvlJc w:val="left"/>
      <w:lvlText w:val="%1."/>
      <w:numFmt w:val="decimal"/>
      <w:start w:val="1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12"/>
    </w:lvl>
  </w:abstractNum>
  <w:abstractNum w:abstractNumId="54">
    <w:nsid w:val="4AD084E9"/>
    <w:multiLevelType w:val="hybridMultilevel"/>
    <w:lvl w:ilvl="0">
      <w:lvlJc w:val="left"/>
      <w:lvlText w:val="%1."/>
      <w:numFmt w:val="decimal"/>
      <w:start w:val="13"/>
    </w:lvl>
  </w:abstractNum>
  <w:abstractNum w:abstractNumId="55">
    <w:nsid w:val="1F48EAA1"/>
    <w:multiLevelType w:val="hybridMultilevel"/>
    <w:lvl w:ilvl="0">
      <w:lvlJc w:val="left"/>
      <w:lvlText w:val="%1."/>
      <w:numFmt w:val="decimal"/>
      <w:start w:val="14"/>
    </w:lvl>
  </w:abstractNum>
  <w:abstractNum w:abstractNumId="56">
    <w:nsid w:val="1381823A"/>
    <w:multiLevelType w:val="hybridMultilevel"/>
    <w:lvl w:ilvl="0">
      <w:lvlJc w:val="left"/>
      <w:lvlText w:val="%1."/>
      <w:numFmt w:val="decimal"/>
      <w:start w:val="16"/>
    </w:lvl>
  </w:abstractNum>
  <w:abstractNum w:abstractNumId="57">
    <w:nsid w:val="5DB70AE5"/>
    <w:multiLevelType w:val="hybridMultilevel"/>
    <w:lvl w:ilvl="0">
      <w:lvlJc w:val="left"/>
      <w:lvlText w:val="%1."/>
      <w:numFmt w:val="decimal"/>
      <w:start w:val="17"/>
    </w:lvl>
  </w:abstractNum>
  <w:abstractNum w:abstractNumId="58">
    <w:nsid w:val="100F8FCA"/>
    <w:multiLevelType w:val="hybridMultilevel"/>
    <w:lvl w:ilvl="0">
      <w:lvlJc w:val="left"/>
      <w:lvlText w:val="%1."/>
      <w:numFmt w:val="decimal"/>
      <w:start w:val="18"/>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3"/>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1."/>
      <w:numFmt w:val="decimal"/>
      <w:start w:val="1"/>
    </w:lvl>
    <w:lvl w:ilvl="1">
      <w:lvlJc w:val="left"/>
      <w:lvlText w:val="(%2)"/>
      <w:numFmt w:val="lowerLetter"/>
      <w:start w:val="1"/>
    </w:lvl>
  </w:abstractNum>
  <w:abstractNum w:abstractNumId="68">
    <w:nsid w:val="661E3F1E"/>
    <w:multiLevelType w:val="hybridMultilevel"/>
    <w:lvl w:ilvl="0">
      <w:lvlJc w:val="left"/>
      <w:lvlText w:val="%1"/>
      <w:numFmt w:val="decimal"/>
      <w:start w:val="1"/>
    </w:lvl>
    <w:lvl w:ilvl="1">
      <w:lvlJc w:val="left"/>
      <w:lvlText w:val="(%2)"/>
      <w:numFmt w:val="lowerLetter"/>
      <w:start w:val="1"/>
    </w:lvl>
  </w:abstractNum>
  <w:abstractNum w:abstractNumId="69">
    <w:nsid w:val="5DC79EA8"/>
    <w:multiLevelType w:val="hybridMultilevel"/>
    <w:lvl w:ilvl="0">
      <w:lvlJc w:val="left"/>
      <w:lvlText w:val="%1."/>
      <w:numFmt w:val="decimal"/>
      <w:start w:val="4"/>
    </w:lvl>
    <w:lvl w:ilvl="1">
      <w:lvlJc w:val="left"/>
      <w:lvlText w:val="(%2)"/>
      <w:numFmt w:val="lowerLetter"/>
      <w:start w:val="1"/>
    </w:lvl>
  </w:abstractNum>
  <w:abstractNum w:abstractNumId="70">
    <w:nsid w:val="540A47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71">
    <w:nsid w:val="7BD3EE7B"/>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72">
    <w:nsid w:val="51D9C564"/>
    <w:multiLevelType w:val="hybridMultilevel"/>
    <w:lvl w:ilvl="0">
      <w:lvlJc w:val="left"/>
      <w:lvlText w:val="(%1)"/>
      <w:numFmt w:val="decimal"/>
      <w:start w:val="2"/>
    </w:lvl>
    <w:lvl w:ilvl="1">
      <w:lvlJc w:val="left"/>
      <w:lvlText w:val="%2."/>
      <w:numFmt w:val="decimal"/>
      <w:start w:val="5"/>
    </w:lvl>
    <w:lvl w:ilvl="2">
      <w:lvlJc w:val="left"/>
      <w:lvlText w:val="(%3)"/>
      <w:numFmt w:val="lowerLetter"/>
      <w:start w:val="2"/>
    </w:lvl>
  </w:abstractNum>
  <w:abstractNum w:abstractNumId="73">
    <w:nsid w:val="613EFD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4">
    <w:nsid w:val="BF72B14"/>
    <w:multiLevelType w:val="hybridMultilevel"/>
    <w:lvl w:ilvl="0">
      <w:lvlJc w:val="left"/>
      <w:lvlText w:val="%1"/>
      <w:numFmt w:val="decimal"/>
      <w:start w:val="1"/>
    </w:lvl>
    <w:lvl w:ilvl="1">
      <w:lvlJc w:val="left"/>
      <w:lvlText w:val="(%2)"/>
      <w:numFmt w:val="lowerLetter"/>
      <w:start w:val="4"/>
    </w:lvl>
  </w:abstractNum>
  <w:abstractNum w:abstractNumId="75">
    <w:nsid w:val="11447B73"/>
    <w:multiLevelType w:val="hybridMultilevel"/>
    <w:lvl w:ilvl="0">
      <w:lvlJc w:val="left"/>
      <w:lvlText w:val="%1."/>
      <w:numFmt w:val="decimal"/>
      <w:start w:val="7"/>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41" Type="http://schemas.openxmlformats.org/officeDocument/2006/relationships/hyperlink" Target="http://www.sec.gov/Archives/edgar/data/1262039/000126203918000023/exhibit31-amendedandrestat.htm" TargetMode="External"/><Relationship Id="rId142" Type="http://schemas.openxmlformats.org/officeDocument/2006/relationships/hyperlink" Target="https://www.sec.gov/Archives/edgar/data/1262039/000126203920000044/amendedandrestatedbyla.htm" TargetMode="External"/><Relationship Id="rId143" Type="http://schemas.openxmlformats.org/officeDocument/2006/relationships/hyperlink" Target="http://www.sec.gov/Archives/edgar/data/1262039/000119312509220527/dex41.htm" TargetMode="External"/><Relationship Id="rId144" Type="http://schemas.openxmlformats.org/officeDocument/2006/relationships/hyperlink" Target="http://www.sec.gov/Archives/edgar/data/1262039/000119312509169817/dex101.htm" TargetMode="External"/><Relationship Id="rId145" Type="http://schemas.openxmlformats.org/officeDocument/2006/relationships/hyperlink" Target="http://www.sec.gov/Archives/edgar/data/1262039/000126203919000023/ftnt-ex101amendedandre.htm" TargetMode="External"/><Relationship Id="rId146" Type="http://schemas.openxmlformats.org/officeDocument/2006/relationships/hyperlink" Target="http://www.sec.gov/Archives/edgar/data/1262039/000126203912000013/ftnt-ex105_20111231xk.htm" TargetMode="External"/><Relationship Id="rId147" Type="http://schemas.openxmlformats.org/officeDocument/2006/relationships/hyperlink" Target="http://www.sec.gov/Archives/edgar/data/1262039/000126203913000044/fortinet_20130630x10-qex991.htm" TargetMode="External"/><Relationship Id="rId148" Type="http://schemas.openxmlformats.org/officeDocument/2006/relationships/hyperlink" Target="http://www.sec.gov/Archives/edgar/data/1262039/000126203915000009/ftnt-ex107_20141231xk.htm" TargetMode="External"/><Relationship Id="rId149" Type="http://schemas.openxmlformats.org/officeDocument/2006/relationships/hyperlink" Target="https://www.sec.gov/Archives/edgar/data/1262039/000126203920000011/ftnt-ex10620191231xk.htm" TargetMode="External"/><Relationship Id="rId150" Type="http://schemas.openxmlformats.org/officeDocument/2006/relationships/hyperlink" Target="https://www.sec.gov/Archives/edgar/data/1262039/000126203920000011/ftnt-ex10720191231xk.htm" TargetMode="External"/><Relationship Id="rId151" Type="http://schemas.openxmlformats.org/officeDocument/2006/relationships/hyperlink" Target="http://www.sec.gov/Archives/edgar/data/1262039/000126203913000055/fortinet_20130930x10-qex101.htm" TargetMode="External"/><Relationship Id="rId152" Type="http://schemas.openxmlformats.org/officeDocument/2006/relationships/hyperlink" Target="http://www.sec.gov/Archives/edgar/data/1262039/000126203915000024/ftnt-ex101_20150630xqxcoca.htm" TargetMode="External"/><Relationship Id="rId153" Type="http://schemas.openxmlformats.org/officeDocument/2006/relationships/hyperlink" Target="http://www.sec.gov/Archives/edgar/data/1262039/000126203919000023/ftnt-ex102changeofctrl.htm" TargetMode="External"/><Relationship Id="rId154" Type="http://schemas.openxmlformats.org/officeDocument/2006/relationships/hyperlink" Target="http://www.sec.gov/Archives/edgar/data/1262039/000126203919000023/ftnt-ex103changeofctrl.htm" TargetMode="External"/><Relationship Id="rId155" Type="http://schemas.openxmlformats.org/officeDocument/2006/relationships/hyperlink" Target="http://www.sec.gov/Archives/edgar/data/1262039/000126203919000023/ftnt-ex104changeofctrl.htm" TargetMode="External"/><Relationship Id="rId156" Type="http://schemas.openxmlformats.org/officeDocument/2006/relationships/hyperlink" Target="http://www.sec.gov/Archives/edgar/data/1262039/000119312509169817/dex1010.htm" TargetMode="External"/><Relationship Id="rId157" Type="http://schemas.openxmlformats.org/officeDocument/2006/relationships/hyperlink" Target="http://www.sec.gov/Archives/edgar/data/1262039/000126203918000009/ftnt-ex1022_20171231xk.htm" TargetMode="External"/><Relationship Id="rId158" Type="http://schemas.openxmlformats.org/officeDocument/2006/relationships/hyperlink" Target="http://www.sec.gov/Archives/edgar/data/1262039/000126203919000023/ftnt-ex105changeofctr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2021-02-19T15:43:30Z</dcterms:created>
  <dcterms:modified xsi:type="dcterms:W3CDTF">2021-02-19T15:43:30Z</dcterms:modified>
</cp:coreProperties>
</file>