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486410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452120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75" w:lineRule="exact"/>
        <w:rPr>
          <w:sz w:val="24"/>
          <w:szCs w:val="24"/>
          <w:color w:val="auto"/>
        </w:rPr>
      </w:pPr>
    </w:p>
    <w:p>
      <w:pPr>
        <w:ind w:left="3820" w:right="1680" w:hanging="3794"/>
        <w:spacing w:after="0" w:line="393" w:lineRule="auto"/>
        <w:tabs>
          <w:tab w:leader="none" w:pos="412" w:val="left"/>
        </w:tabs>
        <w:numPr>
          <w:ilvl w:val="0"/>
          <w:numId w:val="1"/>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8"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25"/>
          <w:szCs w:val="25"/>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280" w:type="dxa"/>
            <w:vAlign w:val="bottom"/>
          </w:tcPr>
          <w:p>
            <w:pPr>
              <w:spacing w:after="0"/>
              <w:rPr>
                <w:sz w:val="17"/>
                <w:szCs w:val="17"/>
                <w:color w:val="auto"/>
              </w:rPr>
            </w:pPr>
          </w:p>
        </w:tc>
      </w:tr>
      <w:tr>
        <w:trPr>
          <w:trHeight w:val="380"/>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r>
      <w:tr>
        <w:trPr>
          <w:trHeight w:val="205"/>
        </w:trPr>
        <w:tc>
          <w:tcPr>
            <w:tcW w:w="6420" w:type="dxa"/>
            <w:vAlign w:val="bottom"/>
            <w:gridSpan w:val="5"/>
          </w:tcPr>
          <w:p>
            <w:pPr>
              <w:jc w:val="center"/>
              <w:ind w:left="263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2280" w:type="dxa"/>
            <w:vAlign w:val="bottom"/>
          </w:tcPr>
          <w:p>
            <w:pPr>
              <w:spacing w:after="0"/>
              <w:rPr>
                <w:sz w:val="17"/>
                <w:szCs w:val="17"/>
                <w:color w:val="auto"/>
              </w:rPr>
            </w:pPr>
          </w:p>
        </w:tc>
      </w:tr>
      <w:tr>
        <w:trPr>
          <w:trHeight w:val="310"/>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4"/>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10"/>
        </w:trPr>
        <w:tc>
          <w:tcPr>
            <w:tcW w:w="6420" w:type="dxa"/>
            <w:vAlign w:val="bottom"/>
            <w:gridSpan w:val="5"/>
          </w:tcPr>
          <w:p>
            <w:pPr>
              <w:jc w:val="center"/>
              <w:ind w:left="261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2280" w:type="dxa"/>
            <w:vAlign w:val="bottom"/>
          </w:tcPr>
          <w:p>
            <w:pPr>
              <w:spacing w:after="0"/>
              <w:rPr>
                <w:sz w:val="18"/>
                <w:szCs w:val="18"/>
                <w:color w:val="auto"/>
              </w:rPr>
            </w:pPr>
          </w:p>
        </w:tc>
      </w:tr>
      <w:tr>
        <w:trPr>
          <w:trHeight w:val="681"/>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02"/>
        </w:trPr>
        <w:tc>
          <w:tcPr>
            <w:tcW w:w="5680" w:type="dxa"/>
            <w:vAlign w:val="bottom"/>
            <w:gridSpan w:val="3"/>
          </w:tcPr>
          <w:p>
            <w:pPr>
              <w:jc w:val="center"/>
              <w:ind w:right="35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680" w:type="dxa"/>
            <w:vAlign w:val="bottom"/>
            <w:gridSpan w:val="3"/>
          </w:tcPr>
          <w:p>
            <w:pPr>
              <w:jc w:val="center"/>
              <w:ind w:right="35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616"/>
        </w:trPr>
        <w:tc>
          <w:tcPr>
            <w:tcW w:w="5680" w:type="dxa"/>
            <w:vAlign w:val="bottom"/>
            <w:gridSpan w:val="3"/>
          </w:tcPr>
          <w:p>
            <w:pPr>
              <w:jc w:val="center"/>
              <w:ind w:left="3371"/>
              <w:spacing w:after="0"/>
              <w:rPr>
                <w:sz w:val="20"/>
                <w:szCs w:val="20"/>
                <w:color w:val="auto"/>
              </w:rPr>
            </w:pPr>
            <w:r>
              <w:rPr>
                <w:rFonts w:ascii="Times New Roman" w:cs="Times New Roman" w:eastAsia="Times New Roman" w:hAnsi="Times New Roman"/>
                <w:sz w:val="18"/>
                <w:szCs w:val="18"/>
                <w:b w:val="1"/>
                <w:bCs w:val="1"/>
                <w:color w:val="auto"/>
                <w:w w:val="99"/>
              </w:rPr>
              <w:t>909 Kifer Road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4"/>
        </w:trPr>
        <w:tc>
          <w:tcPr>
            <w:tcW w:w="5680" w:type="dxa"/>
            <w:vAlign w:val="bottom"/>
            <w:gridSpan w:val="3"/>
          </w:tcPr>
          <w:p>
            <w:pPr>
              <w:jc w:val="center"/>
              <w:ind w:left="3371"/>
              <w:spacing w:after="0" w:line="184" w:lineRule="exact"/>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12"/>
        </w:trPr>
        <w:tc>
          <w:tcPr>
            <w:tcW w:w="8700" w:type="dxa"/>
            <w:vAlign w:val="bottom"/>
            <w:gridSpan w:val="6"/>
          </w:tcPr>
          <w:p>
            <w:pPr>
              <w:jc w:val="center"/>
              <w:ind w:left="3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r>
      <w:tr>
        <w:trPr>
          <w:trHeight w:val="420"/>
        </w:trPr>
        <w:tc>
          <w:tcPr>
            <w:tcW w:w="5640" w:type="dxa"/>
            <w:vAlign w:val="bottom"/>
            <w:gridSpan w:val="2"/>
          </w:tcPr>
          <w:p>
            <w:pPr>
              <w:jc w:val="center"/>
              <w:ind w:left="33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2"/>
        </w:trPr>
        <w:tc>
          <w:tcPr>
            <w:tcW w:w="8700" w:type="dxa"/>
            <w:vAlign w:val="bottom"/>
            <w:gridSpan w:val="6"/>
          </w:tcPr>
          <w:p>
            <w:pPr>
              <w:jc w:val="center"/>
              <w:ind w:left="3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bl>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ectPr>
          <w:pgSz w:w="11900" w:h="16838" w:orient="portrait"/>
          <w:cols w:equalWidth="0" w:num="1">
            <w:col w:w="11220"/>
          </w:cols>
          <w:pgMar w:left="320" w:top="225" w:right="359" w:bottom="1440" w:gutter="0" w:footer="0" w:header="0"/>
        </w:sectPr>
      </w:pPr>
    </w:p>
    <w:p>
      <w:pPr>
        <w:spacing w:after="0" w:line="1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3700" w:space="720"/>
            <w:col w:w="2160" w:space="720"/>
            <w:col w:w="3920"/>
          </w:cols>
          <w:pgMar w:left="320" w:top="225" w:right="359" w:bottom="1440" w:gutter="0" w:footer="0" w:header="0"/>
          <w:type w:val="continuous"/>
        </w:sectPr>
      </w:pPr>
    </w:p>
    <w:p>
      <w:pPr>
        <w:spacing w:after="0" w:line="128" w:lineRule="exact"/>
        <w:rPr>
          <w:sz w:val="24"/>
          <w:szCs w:val="24"/>
          <w:color w:val="auto"/>
        </w:rPr>
      </w:pPr>
    </w:p>
    <w:p>
      <w:pPr>
        <w:ind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02" w:lineRule="exact"/>
        <w:rPr>
          <w:sz w:val="24"/>
          <w:szCs w:val="24"/>
          <w:color w:val="auto"/>
        </w:rPr>
      </w:pPr>
    </w:p>
    <w:p>
      <w:pPr>
        <w:ind w:right="60" w:firstLine="283"/>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16" w:lineRule="exact"/>
        <w:rPr>
          <w:sz w:val="24"/>
          <w:szCs w:val="24"/>
          <w:color w:val="auto"/>
        </w:rPr>
      </w:pPr>
    </w:p>
    <w:p>
      <w:pPr>
        <w:ind w:right="20" w:firstLine="283"/>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80" w:type="dxa"/>
            <w:vAlign w:val="bottom"/>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32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highlight w:val="black"/>
              </w:rPr>
              <w:t>☐</w:t>
            </w: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r>
        <w:trPr>
          <w:trHeight w:val="36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80" w:type="dxa"/>
            <w:vAlign w:val="bottom"/>
            <w:vMerge w:val="continue"/>
          </w:tcPr>
          <w:p>
            <w:pPr>
              <w:spacing w:after="0"/>
              <w:rPr>
                <w:sz w:val="24"/>
                <w:szCs w:val="24"/>
                <w:color w:val="auto"/>
              </w:rPr>
            </w:pPr>
          </w:p>
        </w:tc>
        <w:tc>
          <w:tcPr>
            <w:tcW w:w="49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40"/>
              <w:spacing w:after="0" w:line="221" w:lineRule="exact"/>
              <w:rPr>
                <w:sz w:val="20"/>
                <w:szCs w:val="20"/>
                <w:color w:val="auto"/>
              </w:rPr>
            </w:pPr>
            <w:r>
              <w:rPr>
                <w:rFonts w:ascii="MS PGothic" w:cs="MS PGothic" w:eastAsia="MS PGothic" w:hAnsi="MS PGothic"/>
                <w:sz w:val="22"/>
                <w:szCs w:val="22"/>
                <w:color w:val="auto"/>
                <w:highlight w:val="black"/>
                <w:w w:val="72"/>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firstLine="283"/>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6" w:lineRule="exact"/>
        <w:rPr>
          <w:sz w:val="20"/>
          <w:szCs w:val="20"/>
          <w:color w:val="auto"/>
        </w:rPr>
      </w:pPr>
    </w:p>
    <w:p>
      <w:pPr>
        <w:ind w:left="300" w:right="186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As of May 7, 2025, there were 765,416,456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86"/>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6240" w:type="dxa"/>
            <w:vAlign w:val="bottom"/>
            <w:gridSpan w:val="8"/>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4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5060" w:type="dxa"/>
            <w:vAlign w:val="bottom"/>
            <w:gridSpan w:val="4"/>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50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600" w:type="dxa"/>
            <w:vAlign w:val="bottom"/>
            <w:gridSpan w:val="3"/>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32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2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18"/>
                <w:szCs w:val="18"/>
                <w:color w:val="auto"/>
              </w:rPr>
            </w:pPr>
          </w:p>
        </w:tc>
        <w:tc>
          <w:tcPr>
            <w:tcW w:w="832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18"/>
                <w:szCs w:val="18"/>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Use of Proceeds and Issuer Purchases of Equity Securities</w:t>
            </w:r>
          </w:p>
        </w:tc>
        <w:tc>
          <w:tcPr>
            <w:tcW w:w="2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75</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8"/>
                <w:szCs w:val="18"/>
                <w:color w:val="auto"/>
              </w:rPr>
            </w:pPr>
          </w:p>
        </w:tc>
      </w:tr>
      <w:tr>
        <w:trPr>
          <w:trHeight w:val="21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4"/>
          </w:tcPr>
          <w:p>
            <w:pPr>
              <w:spacing w:after="0"/>
              <w:rPr>
                <w:sz w:val="18"/>
                <w:szCs w:val="18"/>
                <w:color w:val="auto"/>
              </w:rPr>
            </w:pPr>
          </w:p>
        </w:tc>
        <w:tc>
          <w:tcPr>
            <w:tcW w:w="8340" w:type="dxa"/>
            <w:vAlign w:val="bottom"/>
            <w:gridSpan w:val="1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9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866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96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20" w:type="dxa"/>
            <w:vAlign w:val="bottom"/>
          </w:tcPr>
          <w:p>
            <w:pPr>
              <w:spacing w:after="0"/>
              <w:rPr>
                <w:sz w:val="18"/>
                <w:szCs w:val="18"/>
                <w:color w:val="auto"/>
              </w:rPr>
            </w:pPr>
          </w:p>
        </w:tc>
      </w:tr>
      <w:tr>
        <w:trPr>
          <w:trHeight w:val="1729"/>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w:t>
      </w:r>
    </w:p>
    <w:p>
      <w:pPr>
        <w:spacing w:after="0" w:line="22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likely to vary significantly and be unpredictable.</w:t>
      </w:r>
    </w:p>
    <w:p>
      <w:pPr>
        <w:spacing w:after="0" w:line="252"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such as a possible economic downturn or recession, and possible impacts of inflation or stagflation, tariffs, trade policies or other trade disruptions, changing interest rates, changes in government spending or regulation or reduced information technology (“IT”) spending, including firewall spending, may adversely impact our business.</w:t>
      </w:r>
    </w:p>
    <w:p>
      <w:pPr>
        <w:spacing w:after="0" w:line="21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spacing w:after="0" w:line="21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supply chain disruptions in previous periods, we increased our purchase order commitments in previous periods and, were in some instances required to and may in the future be required to accept or pay for components and finished goods regardless of our level of sales in a particular period, which may negatively or unpredictably impact our operating results and financial condition.</w:t>
      </w:r>
    </w:p>
    <w:p>
      <w:pPr>
        <w:spacing w:after="0" w:line="2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billings, revenue, and free cash flow growth may slow or may not continue to grow, and our operating margins may decline.</w:t>
      </w:r>
    </w:p>
    <w:p>
      <w:pPr>
        <w:spacing w:after="0" w:line="238"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including construction, acquisitions, improvements, leasing activity, and ongoing maintenance and management of office buildings, warehouses, data centers and points of presence (“PoPs”), as well as data center operations, expansions or enhancements, could involve significant risks to our business.</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weakness in sales strategy, productivity, personnel, retention and execution could negatively impact our results of operations.</w:t>
      </w:r>
    </w:p>
    <w:p>
      <w:pPr>
        <w:spacing w:after="0" w:line="238"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continued services and performance of our senior management, as well as our ability to hire, retain and motivate qualified personnel.</w:t>
      </w:r>
    </w:p>
    <w:p>
      <w:pPr>
        <w:spacing w:after="0" w:line="175" w:lineRule="exact"/>
        <w:rPr>
          <w:rFonts w:ascii="Times New Roman" w:cs="Times New Roman" w:eastAsia="Times New Roman" w:hAnsi="Times New Roman"/>
          <w:sz w:val="18"/>
          <w:szCs w:val="18"/>
          <w:color w:val="auto"/>
        </w:rPr>
      </w:pPr>
    </w:p>
    <w:p>
      <w:pPr>
        <w:ind w:left="660" w:right="6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channel partners for substantially all of our billings, revenue, and a small number of distributors represents a large percentage of our revenue and accounts receivable.</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concentration of shipments at the end of the quarter or changes in shipping terms could cause our billings and revenue to fall below expected levels.</w:t>
      </w:r>
    </w:p>
    <w:p>
      <w:pPr>
        <w:spacing w:after="0" w:line="17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significantly on revenue from FortiGuard and other security subscriptions and FortiCare technical support services, and revenue from these services may decline or fluctuate in manners that could adversely impact our results of operations.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and we may not maintain or improve our competitive position.</w:t>
      </w:r>
    </w:p>
    <w:p>
      <w:pPr>
        <w:spacing w:after="0" w:line="238" w:lineRule="exact"/>
        <w:rPr>
          <w:rFonts w:ascii="Times New Roman" w:cs="Times New Roman" w:eastAsia="Times New Roman" w:hAnsi="Times New Roman"/>
          <w:sz w:val="18"/>
          <w:szCs w:val="18"/>
          <w:color w:val="auto"/>
        </w:rPr>
      </w:pPr>
    </w:p>
    <w:p>
      <w:pPr>
        <w:ind w:left="660" w:right="20" w:hanging="328"/>
        <w:spacing w:after="0" w:line="24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susceptible to 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 Our Product Security Incident Response Team publicly posts on our FortiGuard Labs website known product vulnerabilities, including critical vulnerabilities, and methods for customers to mitigate the risk of vulnerabilities. However, there can be no assurance that such posts will be sufficiently timely, accurate or complete or that those customers will see such posts or take steps to mitigate the risk of vulnerabilities, and certain customers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4" w:name="page5"/>
    <w:bookmarkEnd w:id="4"/>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enterprise IT networks, our operational networks, our research and development networks, our back-end labs and cloud stacks hosted in our data centers or PoPs,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spacing w:after="0" w:line="204"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indebtedness and may incur other debt in the future, which may adversely affect our financial condition and future financial results.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a majority of billings, revenue and cash flow from sales outside of the United States.</w:t>
      </w:r>
    </w:p>
    <w:p>
      <w:pPr>
        <w:spacing w:after="0" w:line="238" w:lineRule="exact"/>
        <w:rPr>
          <w:rFonts w:ascii="Times New Roman" w:cs="Times New Roman" w:eastAsia="Times New Roman" w:hAnsi="Times New Roman"/>
          <w:sz w:val="18"/>
          <w:szCs w:val="18"/>
          <w:color w:val="auto"/>
        </w:rPr>
      </w:pPr>
    </w:p>
    <w:p>
      <w:pPr>
        <w:ind w:left="328"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9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executing our strategy to increase our sales to large- and medium-sized end-customers.</w:t>
      </w:r>
    </w:p>
    <w:p>
      <w:pPr>
        <w:spacing w:after="0" w:line="252" w:lineRule="exact"/>
        <w:rPr>
          <w:rFonts w:ascii="Times New Roman" w:cs="Times New Roman" w:eastAsia="Times New Roman" w:hAnsi="Times New Roman"/>
          <w:sz w:val="18"/>
          <w:szCs w:val="18"/>
          <w:color w:val="auto"/>
        </w:rPr>
      </w:pPr>
    </w:p>
    <w:p>
      <w:pPr>
        <w:ind w:left="328" w:right="200" w:hanging="328"/>
        <w:spacing w:after="0" w:line="296"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our revenue is generated by sales to government organizations and other customers, which are subject to a number of regulatory requirements, their own supply chain constraints and contractual requirements, challenges and risks, including impacts from political dynamics.</w:t>
      </w:r>
    </w:p>
    <w:p>
      <w:pPr>
        <w:spacing w:after="0" w:line="165" w:lineRule="exact"/>
        <w:rPr>
          <w:rFonts w:ascii="Times New Roman" w:cs="Times New Roman" w:eastAsia="Times New Roman" w:hAnsi="Times New Roman"/>
          <w:sz w:val="17"/>
          <w:szCs w:val="17"/>
          <w:color w:val="auto"/>
        </w:rPr>
      </w:pPr>
    </w:p>
    <w:p>
      <w:pPr>
        <w:ind w:left="328" w:right="1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order components and finished goods from third-party manufacturers based on our forecasts of future demand and targeted inventory levels, which exposes us to the risk of product shortages, tariffs, may result in lost sales, higher expenses and inventory excesses which may lead to inventory charges and costs related to future purchase commitments, possibly requiring us to sell our products at discounts or offer various other incentives.</w:t>
      </w:r>
    </w:p>
    <w:p>
      <w:pPr>
        <w:spacing w:after="0" w:line="217" w:lineRule="exact"/>
        <w:rPr>
          <w:rFonts w:ascii="Times New Roman" w:cs="Times New Roman" w:eastAsia="Times New Roman" w:hAnsi="Times New Roman"/>
          <w:sz w:val="18"/>
          <w:szCs w:val="18"/>
          <w:color w:val="auto"/>
        </w:rPr>
      </w:pPr>
    </w:p>
    <w:p>
      <w:pPr>
        <w:ind w:left="328" w:right="22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provide various components for our products and build our products and are susceptible to manufacturing delays, capacity constraints, cost increases, and changes in the geopolitical environment.</w:t>
      </w:r>
    </w:p>
    <w:p>
      <w:pPr>
        <w:spacing w:after="0" w:line="189" w:lineRule="exact"/>
        <w:rPr>
          <w:rFonts w:ascii="Times New Roman" w:cs="Times New Roman" w:eastAsia="Times New Roman" w:hAnsi="Times New Roman"/>
          <w:sz w:val="18"/>
          <w:szCs w:val="18"/>
          <w:color w:val="auto"/>
        </w:rPr>
      </w:pPr>
    </w:p>
    <w:p>
      <w:pPr>
        <w:ind w:left="328" w:right="280" w:hanging="328"/>
        <w:spacing w:after="0" w:line="258"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96" w:lineRule="exact"/>
        <w:rPr>
          <w:rFonts w:ascii="Times New Roman" w:cs="Times New Roman" w:eastAsia="Times New Roman" w:hAnsi="Times New Roman"/>
          <w:sz w:val="18"/>
          <w:szCs w:val="18"/>
          <w:color w:val="auto"/>
        </w:rPr>
      </w:pPr>
    </w:p>
    <w:p>
      <w:pPr>
        <w:ind w:left="328" w:right="28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activists’ and regulators’ expectations of our investments and performance relating to operational sustainability factors may impose additional costs and expose us to new risks.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which could negatively affect our financial condition and results of operations.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and we may be subject to claims by others that we infringe their proprietary technology.</w:t>
      </w:r>
    </w:p>
    <w:p>
      <w:pPr>
        <w:spacing w:after="0" w:line="252"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may be volatile, which volatility may be exacerbated by share repurchases under our Share Repurchase Program (the “Repurchase Program”).</w:t>
      </w:r>
    </w:p>
    <w:p>
      <w:pPr>
        <w:spacing w:after="0" w:line="189"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contained in our certificate of incorporation and bylaws, as well as provisions of Delaware law, could impair a takeover attempt.</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can weaken and harm our financial position.</w:t>
      </w:r>
    </w:p>
    <w:p>
      <w:pPr>
        <w:spacing w:after="0" w:line="238" w:lineRule="exact"/>
        <w:rPr>
          <w:rFonts w:ascii="Times New Roman" w:cs="Times New Roman" w:eastAsia="Times New Roman" w:hAnsi="Times New Roman"/>
          <w:sz w:val="18"/>
          <w:szCs w:val="18"/>
          <w:color w:val="auto"/>
        </w:rPr>
      </w:pPr>
    </w:p>
    <w:p>
      <w:pPr>
        <w:ind w:left="328" w:right="10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Weakening product demand caused by political instability, changes in trade agreements, wars and foreign conflicts, such as the war in Ukraine or tensions between China and Taiwan, could adversely affect our business and financial performance.</w:t>
      </w:r>
    </w:p>
    <w:p>
      <w:pPr>
        <w:spacing w:after="0" w:line="200" w:lineRule="exact"/>
        <w:rPr>
          <w:sz w:val="20"/>
          <w:szCs w:val="20"/>
          <w:color w:val="auto"/>
        </w:rPr>
      </w:pPr>
    </w:p>
    <w:p>
      <w:pPr>
        <w:spacing w:after="0" w:line="28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89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8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2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30"/>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r>
      <w:tr>
        <w:trPr>
          <w:trHeight w:val="223"/>
        </w:trPr>
        <w:tc>
          <w:tcPr>
            <w:tcW w:w="80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4,060.7</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80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8,269.3</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806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Common stock, $0.001 par value—1,500.0 shares authorized; 769.2 and 767.0 shares issued and</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outstanding on March 31, 2025 and December 31, 2024, respectively</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1,636.2</w:t>
            </w:r>
          </w:p>
        </w:tc>
      </w:tr>
      <w:tr>
        <w:trPr>
          <w:trHeight w:val="230"/>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3"/>
        </w:trPr>
        <w:tc>
          <w:tcPr>
            <w:tcW w:w="8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9,763.1</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6"/>
                <w:szCs w:val="16"/>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GAIN (LOSS) FROM EQUITY METHOD INVESTMENTS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(Note 8):</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tcPr>
          <w:p>
            <w:pPr>
              <w:ind w:left="4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776.8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770.5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unrealized gains (losses) on investments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tax benefit related to items of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Earnings</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1,493.8</w:t>
            </w:r>
          </w:p>
        </w:tc>
        <w:tc>
          <w:tcPr>
            <w:tcW w:w="0" w:type="dxa"/>
            <w:vAlign w:val="bottom"/>
          </w:tcPr>
          <w:p>
            <w:pPr>
              <w:spacing w:after="0"/>
              <w:rPr>
                <w:sz w:val="1"/>
                <w:szCs w:val="1"/>
                <w:color w:val="auto"/>
              </w:rPr>
            </w:pPr>
          </w:p>
        </w:tc>
      </w:tr>
      <w:tr>
        <w:trPr>
          <w:trHeight w:val="184"/>
        </w:trPr>
        <w:tc>
          <w:tcPr>
            <w:tcW w:w="49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8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vMerge w:val="continue"/>
          </w:tcPr>
          <w:p>
            <w:pPr>
              <w:spacing w:after="0"/>
              <w:rPr>
                <w:sz w:val="14"/>
                <w:szCs w:val="14"/>
                <w:color w:val="auto"/>
              </w:rPr>
            </w:pPr>
          </w:p>
        </w:tc>
        <w:tc>
          <w:tcPr>
            <w:tcW w:w="102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184"/>
        </w:trPr>
        <w:tc>
          <w:tcPr>
            <w:tcW w:w="49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 equity incentive</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plans - net of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loss on investments - net of tax</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r>
              <w:rPr>
                <w:rFonts w:ascii="Times New Roman" w:cs="Times New Roman" w:eastAsia="Times New Roman" w:hAnsi="Times New Roman"/>
                <w:sz w:val="18"/>
                <w:szCs w:val="18"/>
                <w:u w:val="single" w:color="auto"/>
                <w:color w:val="auto"/>
              </w:rPr>
              <w:t>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r>
              <w:rPr>
                <w:rFonts w:ascii="Times New Roman" w:cs="Times New Roman" w:eastAsia="Times New Roman" w:hAnsi="Times New Roman"/>
                <w:sz w:val="18"/>
                <w:szCs w:val="18"/>
                <w:u w:val="single" w:color="auto"/>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8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180" w:type="dxa"/>
            <w:vAlign w:val="bottom"/>
          </w:tcPr>
          <w:p>
            <w:pPr>
              <w:jc w:val="right"/>
              <w:ind w:right="268"/>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Amortization of investment discounts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5"/>
        </w:trPr>
        <w:tc>
          <w:tcPr>
            <w:tcW w:w="836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Changes in operating assets and liabilities, net of impact of business combinations: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receivable—net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contract costs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95"/>
        </w:trPr>
        <w:tc>
          <w:tcPr>
            <w:tcW w:w="83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Sales of investments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Payments made in connection with business combinations, net of cash acquired</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0" w:type="dxa"/>
            <w:vAlign w:val="bottom"/>
          </w:tcPr>
          <w:p>
            <w:pPr>
              <w:spacing w:after="0"/>
              <w:rPr>
                <w:sz w:val="1"/>
                <w:szCs w:val="1"/>
                <w:color w:val="auto"/>
              </w:rPr>
            </w:pPr>
          </w:p>
        </w:tc>
      </w:tr>
      <w:tr>
        <w:trPr>
          <w:trHeight w:val="17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ind w:left="18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1,397.9</w:t>
            </w:r>
          </w:p>
        </w:tc>
        <w:tc>
          <w:tcPr>
            <w:tcW w:w="0" w:type="dxa"/>
            <w:vAlign w:val="bottom"/>
          </w:tcPr>
          <w:p>
            <w:pPr>
              <w:spacing w:after="0"/>
              <w:rPr>
                <w:sz w:val="1"/>
                <w:szCs w:val="1"/>
                <w:color w:val="auto"/>
              </w:rPr>
            </w:pPr>
          </w:p>
        </w:tc>
      </w:tr>
      <w:tr>
        <w:trPr>
          <w:trHeight w:val="20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arising from obtaining right-of-use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Transfers of evaluation units and equipment from inventory to property and equipment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Liability for purchase of property and equipment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2024, contained in our Annual Report on Form 10-K filed with the SEC on February 21, 2025. In the opinion of management, all adjustments, which include normal recurring adjustments, considered necessary for a fair presentation, have been included. The results of operations for the three months ended March 31, 2025 are not necessarily indicative of the results to be expected for the full year or for any future periods. The condensed consolidated balance sheet as of December 31, 2024 is derived from the audited consolidated financial statements for the year ended December 31, 2024.</w:t>
      </w:r>
    </w:p>
    <w:p>
      <w:pPr>
        <w:spacing w:after="0" w:line="206"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auto"/>
        </w:rPr>
        <w:t>Amounts previously reported as marketable equity securities are included in short-term investments in prior periods to conform with current period presentation in our condensed consolidated balance sheets. Amounts previously reported as gain on bargain purchase are included in other income (expense)—net in prior periods to conform with current period presentation in our condensed consolidated statements of income. Amounts previously reported as loss from equity method investments and gain on bargain purchase are included in other in prior periods to conform with current period presentation in section of net cash provided by operating activities in our condensed consolidated statements of cash flows.</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Fortinet, Inc. and its subsidiaries. We consolidate all legal entities in which we have an absolute controlling financial interest. All intercompany balances and transactions have been eliminated in consolidation.</w:t>
      </w:r>
    </w:p>
    <w:p>
      <w:pPr>
        <w:spacing w:after="0" w:line="189"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three months ended March 31, 2025, as compared to the significant accounting policies described in our Annual Report on Form 10-K for the fiscal year ended December 31, 2024 filed with the SEC.</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Effective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our annual period beginning fiscal year 2025, with early adoption permitted, and should be applied prospectively. We are currently evaluating the ASU to determine its impact on our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w:t>
      </w:r>
    </w:p>
    <w:p>
      <w:pPr>
        <w:spacing w:after="0" w:line="24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enhances the disclosures required for expense disaggregation in our annual and interim consolidated financial statements. The amendments are effective for our annual reporting period beginning fiscal year 2027, with early adoption permitted, and can be applied prospectively or retrospectively. We are currently evaluating the ASU to determine its impact on our disclosures.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disaggregated by major product and service lines (in millions):</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Security subscription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Technical support and 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2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service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 recognized $972.5 million and $851.1 million in revenue that was included in the deferred revenue balance as of December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25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the aggregate amount of the transaction price allocated to remaining performance obligations was $6.49 billion, which was substantially comprised of deferred security subscription and technical support services revenue as well as unbilled contract revenue from non-cancellable contracts that will be recognized in future periods. We expect to recognize approximately $3.38 billion as revenue over the next 12 months, $2.55 billion in years two and three, and the remainder thereafter.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Amortization of deferred contract costs during the three months ended March 31, 2025 and 2024 were $78.0 million and $72.0 million, respectively.</w:t>
      </w:r>
    </w:p>
    <w:p>
      <w:pPr>
        <w:spacing w:after="0" w:line="185"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Investments</w:t>
      </w:r>
    </w:p>
    <w:p>
      <w:pPr>
        <w:spacing w:after="0" w:line="25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short-term and long-term investments comprised of available-for-sale investments and marketable equity securities. The following tables summarize our short-term and long-term investments (in millions):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59"/>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32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25"/>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49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11"/>
          </w:tcPr>
          <w:p>
            <w:pPr>
              <w:ind w:left="7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jc w:val="right"/>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5"/>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8"/>
          </w:tcPr>
          <w:p>
            <w:pPr>
              <w:ind w:left="36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5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5"/>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41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428.7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and long-term investments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center"/>
              <w:ind w:right="411"/>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69"/>
        </w:trPr>
        <w:tc>
          <w:tcPr>
            <w:tcW w:w="20" w:type="dxa"/>
            <w:vAlign w:val="bottom"/>
          </w:tcPr>
          <w:p>
            <w:pPr>
              <w:spacing w:after="0"/>
              <w:rPr>
                <w:sz w:val="24"/>
                <w:szCs w:val="24"/>
                <w:color w:val="auto"/>
              </w:rPr>
            </w:pPr>
          </w:p>
        </w:tc>
        <w:tc>
          <w:tcPr>
            <w:tcW w:w="11220" w:type="dxa"/>
            <w:vAlign w:val="bottom"/>
            <w:gridSpan w:val="40"/>
          </w:tcPr>
          <w:p>
            <w:pPr>
              <w:ind w:left="640"/>
              <w:spacing w:after="0"/>
              <w:rPr>
                <w:sz w:val="20"/>
                <w:szCs w:val="20"/>
                <w:color w:val="auto"/>
              </w:rPr>
            </w:pPr>
            <w:r>
              <w:rPr>
                <w:rFonts w:ascii="Times New Roman" w:cs="Times New Roman" w:eastAsia="Times New Roman" w:hAnsi="Times New Roman"/>
                <w:sz w:val="18"/>
                <w:szCs w:val="18"/>
                <w:color w:val="auto"/>
              </w:rPr>
              <w:t>The following tables show the gross unrealized losses and the related fair values of our available-for-sale investments that have been in a</w:t>
            </w: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continuous unrealized loss position (in millions):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11"/>
          </w:tcPr>
          <w:p>
            <w:pPr>
              <w:ind w:left="3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11"/>
          </w:tcPr>
          <w:p>
            <w:pPr>
              <w:ind w:left="12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5"/>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100" w:type="dxa"/>
            <w:vAlign w:val="bottom"/>
            <w:tcBorders>
              <w:top w:val="single" w:sz="8" w:color="auto"/>
            </w:tcBorders>
            <w:gridSpan w:val="4"/>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00" w:type="dxa"/>
            <w:vAlign w:val="bottom"/>
          </w:tcPr>
          <w:p>
            <w:pPr>
              <w:spacing w:after="0"/>
              <w:rPr>
                <w:sz w:val="18"/>
                <w:szCs w:val="18"/>
                <w:color w:val="auto"/>
              </w:rPr>
            </w:pPr>
          </w:p>
        </w:tc>
        <w:tc>
          <w:tcPr>
            <w:tcW w:w="9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Losses</w:t>
            </w: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5"/>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5"/>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9"/>
          </w:tcPr>
          <w:p>
            <w:pPr>
              <w:ind w:left="20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11"/>
          </w:tcPr>
          <w:p>
            <w:pPr>
              <w:ind w:left="14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5"/>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120" w:type="dxa"/>
            <w:vAlign w:val="bottom"/>
            <w:tcBorders>
              <w:top w:val="single" w:sz="8" w:color="auto"/>
            </w:tcBorders>
            <w:gridSpan w:val="5"/>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gridSpan w:val="3"/>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4"/>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00" w:type="dxa"/>
            <w:vAlign w:val="bottom"/>
          </w:tcPr>
          <w:p>
            <w:pPr>
              <w:spacing w:after="0"/>
              <w:rPr>
                <w:sz w:val="18"/>
                <w:szCs w:val="18"/>
                <w:color w:val="auto"/>
              </w:rPr>
            </w:pPr>
          </w:p>
        </w:tc>
        <w:tc>
          <w:tcPr>
            <w:tcW w:w="90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25"/>
        </w:trPr>
        <w:tc>
          <w:tcPr>
            <w:tcW w:w="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40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674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auto"/>
              </w:rPr>
              <w:t>The contractual maturities of our available-for-sale investments were (in millions):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7"/>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9"/>
              </w:rPr>
              <w:t>1,116.3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5"/>
              </w:rPr>
              <w:t>35.2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7"/>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9"/>
              </w:rPr>
              <w:t>1,151.5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Available-for-sale investments are reported at fair value, with unrealized gains and losses and the related tax impact included as a separate component of stockholders’ equity and in comprehensive income. We do not intend to sell any of the securities in an unrealized loss position and it is not more likely than not that we would be required to sell these securities before recovery of their amortized cost basis, which may be at maturity.</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on available-for-sale investments were insignificant in the periods presented.</w:t>
      </w:r>
    </w:p>
    <w:p>
      <w:pPr>
        <w:spacing w:after="0" w:line="23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marketable equity securities were $67.6 million and $64.2 million as of March 31, 2025 and December 31, 2024. The changes in fair value of our marketable equity securities are recorded in other income (expense)—net on the condensed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consolidated statements of income. We recognized a $14.7 million loss and $0.3 million gain during the three months ended March 31,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of our financial assets measured at fair value on a recurring basis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9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Aggregate</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Active</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9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Observable</w:t>
            </w:r>
          </w:p>
        </w:tc>
        <w:tc>
          <w:tcPr>
            <w:tcW w:w="120" w:type="dxa"/>
            <w:vAlign w:val="bottom"/>
          </w:tcPr>
          <w:p>
            <w:pPr>
              <w:spacing w:after="0"/>
              <w:rPr>
                <w:sz w:val="10"/>
                <w:szCs w:val="10"/>
                <w:color w:val="auto"/>
              </w:rPr>
            </w:pPr>
          </w:p>
        </w:tc>
        <w:tc>
          <w:tcPr>
            <w:tcW w:w="9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20" w:type="dxa"/>
            <w:vAlign w:val="bottom"/>
          </w:tcPr>
          <w:p>
            <w:pPr>
              <w:spacing w:after="0"/>
              <w:rPr>
                <w:sz w:val="10"/>
                <w:szCs w:val="10"/>
                <w:color w:val="auto"/>
              </w:rPr>
            </w:pPr>
          </w:p>
        </w:tc>
        <w:tc>
          <w:tcPr>
            <w:tcW w:w="920" w:type="dxa"/>
            <w:vAlign w:val="bottom"/>
          </w:tcPr>
          <w:p>
            <w:pPr>
              <w:jc w:val="center"/>
              <w:ind w:right="38"/>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4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9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0" w:type="dxa"/>
            <w:vAlign w:val="bottom"/>
          </w:tcPr>
          <w:p>
            <w:pPr>
              <w:spacing w:after="0"/>
              <w:rPr>
                <w:sz w:val="1"/>
                <w:szCs w:val="1"/>
                <w:color w:val="auto"/>
              </w:rPr>
            </w:pPr>
          </w:p>
        </w:tc>
      </w:tr>
      <w:tr>
        <w:trPr>
          <w:trHeight w:val="214"/>
        </w:trPr>
        <w:tc>
          <w:tcPr>
            <w:tcW w:w="27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Certificates of deposit and term</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9"/>
              </w:rPr>
              <w:t>Total short-term investments</w:t>
            </w: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U.S. government and agency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months ended March 31, 2025 and year ended December 31, 2024.</w:t>
      </w:r>
    </w:p>
    <w:p>
      <w:pPr>
        <w:spacing w:after="0" w:line="1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consisted of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32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0"/>
        </w:trPr>
        <w:tc>
          <w:tcPr>
            <w:tcW w:w="7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color w:val="auto"/>
        </w:rPr>
        <w:t>The excess and obsolete inventory reserve was $147.8 million and $144.8 million as of March 31, 2025 and December 31, 2024, respectively. Inventory write-downs related to excess and obsolete inventory were not material during the three months ended March 31, 2025. Inventory write-downs were $18.1 million during the three months ended March 31, 2024. These were recorded in cost of product revenue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PROPERTY AND EQUIPMENT—Net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(in millions):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80" w:type="dxa"/>
            <w:vAlign w:val="bottom"/>
          </w:tcPr>
          <w:p>
            <w:pPr>
              <w:spacing w:after="0"/>
              <w:rPr>
                <w:sz w:val="16"/>
                <w:szCs w:val="16"/>
                <w:color w:val="auto"/>
              </w:rPr>
            </w:pPr>
          </w:p>
        </w:tc>
        <w:tc>
          <w:tcPr>
            <w:tcW w:w="15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3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3"/>
        </w:trPr>
        <w:tc>
          <w:tcPr>
            <w:tcW w:w="7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r>
      <w:tr>
        <w:trPr>
          <w:trHeight w:val="21"/>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During the first quarter in 2025, we purchased certain real estate property in Frankfurt, Germany totaling $54.5 million, to be used predominantly for data center operations and as office space. The purchase was accounted for under the asset acquisition method. The costs of the assets allocated to land and building and improvements were $16.8 million and $37.7 million, respectively, based on their relative fair values.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$24.0 million and $25.6 million during the three months ended March 31, 2025 and 2024, respectively.</w:t>
      </w:r>
    </w:p>
    <w:p>
      <w:pPr>
        <w:spacing w:after="0" w:line="24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Linksys Holdings, Inc.</w:t>
      </w:r>
    </w:p>
    <w:p>
      <w:pPr>
        <w:spacing w:after="0" w:line="25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2021, we invested $160.0 million in cash for shares of the Series A Preferred Stock of Linksys for a 50.8% ownership interest in the outstanding equity of Linksys. On January 31, 2025 (“Linksys Acquisition Date”), we acquired all of the remaining outstanding Series A Preferred Stock of Linksys for $20.8 million in cash and now own 100% of the outstanding equity of Linksys. Our pre-existing equity method investment in Linksys of 50.8% ownership interest was remeasured to the fair value of $21.5 million at the Linksys Acquisition Date, which resulted in a $10.8 million gain recorded in gain (loss) from equity method investments on the condensed consolidated statements of income. Therefore, the aggregate purchase consideration for Linksys’ equity equaling the fair value of the previously owned stock and the purchase price for the remaining stock acquired was $42.3 million.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Of the aggregate purchase price,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million was allocated to identifiable intangible assets acquired, and $64.7 million was allocated to other net assets acquired which predominantly</w:t>
      </w:r>
    </w:p>
    <w:p>
      <w:pPr>
        <w:spacing w:after="0" w:line="234" w:lineRule="auto"/>
        <w:rPr>
          <w:sz w:val="20"/>
          <w:szCs w:val="20"/>
          <w:color w:val="auto"/>
        </w:rPr>
      </w:pPr>
      <w:r>
        <w:rPr>
          <w:rFonts w:ascii="Times New Roman" w:cs="Times New Roman" w:eastAsia="Times New Roman" w:hAnsi="Times New Roman"/>
          <w:sz w:val="18"/>
          <w:szCs w:val="18"/>
          <w:color w:val="auto"/>
        </w:rPr>
        <w:t>included deferred tax asset of $45.8 million, inventory of $21.4 million, and cash of $8.8 million, offset by $11.3 million of net other assets and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The excess of the fair values of the net assets acquired over the net purchase consideration was recorded as a gain on bargain purchase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$39.9 million within other income (expense)—net on the condensed consolidated statements of income. The gain on bargain purchase occurred primarily</w:t>
      </w:r>
    </w:p>
    <w:p>
      <w:pPr>
        <w:spacing w:after="0" w:line="234" w:lineRule="auto"/>
        <w:rPr>
          <w:sz w:val="20"/>
          <w:szCs w:val="20"/>
          <w:color w:val="auto"/>
        </w:rPr>
      </w:pPr>
      <w:r>
        <w:rPr>
          <w:rFonts w:ascii="Times New Roman" w:cs="Times New Roman" w:eastAsia="Times New Roman" w:hAnsi="Times New Roman"/>
          <w:sz w:val="18"/>
          <w:szCs w:val="18"/>
          <w:color w:val="auto"/>
        </w:rPr>
        <w:t>due to the recognition of the deferred tax assets. The deferred tax assets were comprised primarily of pre-acquisition federal net operating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with an indefinite carryforward period. In addition, we had previously recorded a deferred tax asset of $30.6 million for an outside basis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in our investment in Linksys when it was accounted for under the equity method. As a result of the acquisition of the remaining shares, we now</w:t>
      </w:r>
    </w:p>
    <w:p>
      <w:pPr>
        <w:spacing w:after="0" w:line="234" w:lineRule="auto"/>
        <w:rPr>
          <w:sz w:val="20"/>
          <w:szCs w:val="20"/>
          <w:color w:val="auto"/>
        </w:rPr>
      </w:pPr>
      <w:r>
        <w:rPr>
          <w:rFonts w:ascii="Times New Roman" w:cs="Times New Roman" w:eastAsia="Times New Roman" w:hAnsi="Times New Roman"/>
          <w:sz w:val="18"/>
          <w:szCs w:val="18"/>
          <w:color w:val="auto"/>
        </w:rPr>
        <w:t>account for our investment in Linksys under the consolidation method, and therefore we have derecognized this deferred tax asset. The charge is included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provision for income taxes on the condensed consolidated statements of income. Acquisition-related costs related to this acquisition were not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and were recorded as general and administrative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Perception Point Ltd.</w:t>
      </w:r>
    </w:p>
    <w:p>
      <w:pPr>
        <w:spacing w:after="0" w:line="24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December 5, 2024, we acquired certain assets and liabilities of Perception Point Ltd., a business specializing in advanced collaboration and email security paid in cash. This acquisition was accounted for as a business combination using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right="20"/>
        <w:spacing w:after="0" w:line="242" w:lineRule="auto"/>
        <w:rPr>
          <w:sz w:val="20"/>
          <w:szCs w:val="20"/>
          <w:color w:val="auto"/>
        </w:rPr>
      </w:pPr>
      <w:r>
        <w:rPr>
          <w:rFonts w:ascii="Times New Roman" w:cs="Times New Roman" w:eastAsia="Times New Roman" w:hAnsi="Times New Roman"/>
          <w:sz w:val="18"/>
          <w:szCs w:val="18"/>
          <w:color w:val="auto"/>
        </w:rPr>
        <w:t>acquisition method of accounting. Of the $33.7 million purchase price, $24.5 million was allocated to goodwill, $9.5 million was allocated to developed technology intangible asset, $6.5 million was allocated to customer relationships intangible asset, and $6.8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expected to be deductible for tax purposes. Acquisition-related costs were not material and were recorded as general and administrative expense.</w:t>
      </w:r>
    </w:p>
    <w:p>
      <w:pPr>
        <w:spacing w:after="0" w:line="2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Next DLP Holdings Limited</w:t>
      </w:r>
    </w:p>
    <w:p>
      <w:pPr>
        <w:spacing w:after="0" w:line="243" w:lineRule="exact"/>
        <w:rPr>
          <w:sz w:val="20"/>
          <w:szCs w:val="20"/>
          <w:color w:val="auto"/>
        </w:rPr>
      </w:pPr>
    </w:p>
    <w:p>
      <w:pPr>
        <w:jc w:val="both"/>
        <w:ind w:left="80" w:right="40" w:firstLine="648"/>
        <w:spacing w:after="0" w:line="264" w:lineRule="auto"/>
        <w:rPr>
          <w:sz w:val="20"/>
          <w:szCs w:val="20"/>
          <w:color w:val="auto"/>
        </w:rPr>
      </w:pPr>
      <w:r>
        <w:rPr>
          <w:rFonts w:ascii="Times New Roman" w:cs="Times New Roman" w:eastAsia="Times New Roman" w:hAnsi="Times New Roman"/>
          <w:sz w:val="17"/>
          <w:szCs w:val="17"/>
          <w:color w:val="auto"/>
        </w:rPr>
        <w:t>On August 5, 2024 (“Next DLP Acquisition Date”), we acquired Next DLP Holdings Limited (“Next DLP”), a privately held insider risk and data loss prevention (“DLP”) company, for approximately $105.0 million in cash. We acquired Next DLP in an effort to improve our position in the standalone enterprise DLP market and strengthen our leadership in integrated DLP markets within endpoint and unified Secure Access Service Edge (“SASE”).</w:t>
      </w:r>
    </w:p>
    <w:p>
      <w:pPr>
        <w:spacing w:after="0" w:line="192" w:lineRule="exact"/>
        <w:rPr>
          <w:sz w:val="20"/>
          <w:szCs w:val="20"/>
          <w:color w:val="auto"/>
        </w:rPr>
      </w:pPr>
    </w:p>
    <w:p>
      <w:pPr>
        <w:ind w:left="80" w:right="120" w:firstLine="648"/>
        <w:spacing w:after="0" w:line="239"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preliminary purchase price was allocated to Next DLP’s identifiable tangible and intangible assets acquired and liabilities assumed based on their estimated fair values using management’s best estimates and assumptions to assign fair value as of the acquisition date. Of the total preliminary purchase price, $82.6 million was allocated to goodwill, $13.5 million was allocated to developed technology intangible asset, $10.5 million was allocated to customer relationships intangible asset, offset by $1.6 million of net liabilities assumed, which predominantly included deferred revenue and deferred tax liabilities. Goodwill recorded in connection with this acquisition represents the value we expect to be created through expansion into markets within our existing business, and the anticipated operational synergies, and goodwill is not expected to be deductible for tax purposes. Acquisition-related costs related to this acquisition were not material and were recorded as general and administrative expense.</w:t>
      </w:r>
    </w:p>
    <w:p>
      <w:pPr>
        <w:spacing w:after="0" w:line="214" w:lineRule="exact"/>
        <w:rPr>
          <w:sz w:val="20"/>
          <w:szCs w:val="20"/>
          <w:color w:val="auto"/>
        </w:rPr>
      </w:pPr>
    </w:p>
    <w:p>
      <w:pPr>
        <w:ind w:left="80" w:right="40" w:firstLine="648"/>
        <w:spacing w:after="0"/>
        <w:rPr>
          <w:sz w:val="20"/>
          <w:szCs w:val="20"/>
          <w:color w:val="auto"/>
        </w:rPr>
      </w:pPr>
      <w:r>
        <w:rPr>
          <w:rFonts w:ascii="Times New Roman" w:cs="Times New Roman" w:eastAsia="Times New Roman" w:hAnsi="Times New Roman"/>
          <w:sz w:val="18"/>
          <w:szCs w:val="18"/>
          <w:color w:val="auto"/>
        </w:rPr>
        <w:t>Our estimates and assumptions are subject to change within the measurement period, which is up to 12 months after the Next DLP Acquisition Date. The allocation of the purchase price has been prepared on a preliminary basis and changes to the allocation of certain assets and liabilities may occur as additional information becomes available. The primary areas of the purchase price that are not yet finalized are related to income taxes and the valuation of acquired assets and assumed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Lacework Inc.</w:t>
      </w:r>
    </w:p>
    <w:p>
      <w:pPr>
        <w:spacing w:after="0" w:line="243" w:lineRule="exact"/>
        <w:rPr>
          <w:sz w:val="20"/>
          <w:szCs w:val="20"/>
          <w:color w:val="auto"/>
        </w:rPr>
      </w:pPr>
    </w:p>
    <w:p>
      <w:pPr>
        <w:ind w:left="80" w:firstLine="648"/>
        <w:spacing w:after="0" w:line="245" w:lineRule="auto"/>
        <w:rPr>
          <w:sz w:val="20"/>
          <w:szCs w:val="20"/>
          <w:color w:val="auto"/>
        </w:rPr>
      </w:pPr>
      <w:r>
        <w:rPr>
          <w:rFonts w:ascii="Times New Roman" w:cs="Times New Roman" w:eastAsia="Times New Roman" w:hAnsi="Times New Roman"/>
          <w:sz w:val="18"/>
          <w:szCs w:val="18"/>
          <w:color w:val="auto"/>
        </w:rPr>
        <w:t>On August 1, 2024 (“Lacework Acquisition Date”), we acquired Lacework Inc. (“Lacework”), a privately held data-driven cloud security company, for $152.3 million in cash. We acquired Lacework with a goal of offering its Cloud-Native Application Protection Platform solution separately as well as integrated with our existing portfolio, forming a comprehensive, artificial intelligence (“AI”)-driven cloud security platform available from a single vendor, which will help customers identify, prioritize, and remediate risks and threats in complex cloud-native infrastructure from code to cloud.</w:t>
      </w:r>
    </w:p>
    <w:p>
      <w:pPr>
        <w:spacing w:after="0" w:line="208" w:lineRule="exact"/>
        <w:rPr>
          <w:sz w:val="20"/>
          <w:szCs w:val="20"/>
          <w:color w:val="auto"/>
        </w:rPr>
      </w:pPr>
    </w:p>
    <w:p>
      <w:pPr>
        <w:ind w:left="80" w:right="280" w:firstLine="648"/>
        <w:spacing w:after="0" w:line="237" w:lineRule="auto"/>
        <w:rPr>
          <w:sz w:val="20"/>
          <w:szCs w:val="20"/>
          <w:color w:val="auto"/>
        </w:rPr>
      </w:pPr>
      <w:r>
        <w:rPr>
          <w:rFonts w:ascii="Times New Roman" w:cs="Times New Roman" w:eastAsia="Times New Roman" w:hAnsi="Times New Roman"/>
          <w:sz w:val="18"/>
          <w:szCs w:val="18"/>
          <w:color w:val="auto"/>
        </w:rPr>
        <w:t>This acquisition was accounted for as a business combination using the acquisition method of accounting. The total preliminary purchase price was allocated to Lacework’s identifiable tangible and intangible assets acquired and liabilities assumed based on their estimated fair values using management’s best estimates and assumptions to assign fair value as of the acquisition date. Of the total preliminary purchase price, $244.4 million was allocated to deferred tax assets, $61.3 million allocation to identifiable intangible assets, and $6.2 million cash, offset by net other assets and liabilities assumed of $53.3 million, which predominantly included deferred revenue and other current liabilities. The excess of the fair values of the net assets acquired over the net purchase consideration was recorded as a gain on bargain purchase of $106.3 million within other income (expense)—net on the condensed consolidated statements of income. The gain on bargain purchase occurred primarily due to the recognition of the deferred tax assets. The deferred tax assets were comprised primarily of pre-acquisition federal net operating loss carryforwards with an indefinite carryforward period. Acquisition-related costs related to this acquisition were not material and were recorded as general and administrative expense.</w:t>
      </w:r>
    </w:p>
    <w:p>
      <w:pPr>
        <w:spacing w:after="0" w:line="212" w:lineRule="exact"/>
        <w:rPr>
          <w:sz w:val="20"/>
          <w:szCs w:val="20"/>
          <w:color w:val="auto"/>
        </w:rPr>
      </w:pPr>
    </w:p>
    <w:p>
      <w:pPr>
        <w:ind w:left="80" w:right="160" w:firstLine="648"/>
        <w:spacing w:after="0" w:line="266" w:lineRule="auto"/>
        <w:rPr>
          <w:sz w:val="20"/>
          <w:szCs w:val="20"/>
          <w:color w:val="auto"/>
        </w:rPr>
      </w:pPr>
      <w:r>
        <w:rPr>
          <w:rFonts w:ascii="Times New Roman" w:cs="Times New Roman" w:eastAsia="Times New Roman" w:hAnsi="Times New Roman"/>
          <w:sz w:val="18"/>
          <w:szCs w:val="18"/>
          <w:color w:val="auto"/>
        </w:rPr>
        <w:t>Of the total identified intangible assets acquired $39.5 million was developed technology, $10.0 million was backlog, $7.5 million was customer relationships and $4.3 million was trade name.</w:t>
      </w:r>
    </w:p>
    <w:p>
      <w:pPr>
        <w:spacing w:after="0" w:line="189" w:lineRule="exact"/>
        <w:rPr>
          <w:sz w:val="20"/>
          <w:szCs w:val="20"/>
          <w:color w:val="auto"/>
        </w:rPr>
      </w:pPr>
    </w:p>
    <w:p>
      <w:pPr>
        <w:ind w:left="80" w:right="40" w:firstLine="648"/>
        <w:spacing w:after="0" w:line="272" w:lineRule="auto"/>
        <w:rPr>
          <w:sz w:val="20"/>
          <w:szCs w:val="20"/>
          <w:color w:val="auto"/>
        </w:rPr>
      </w:pPr>
      <w:r>
        <w:rPr>
          <w:rFonts w:ascii="Times New Roman" w:cs="Times New Roman" w:eastAsia="Times New Roman" w:hAnsi="Times New Roman"/>
          <w:sz w:val="17"/>
          <w:szCs w:val="17"/>
          <w:color w:val="auto"/>
        </w:rPr>
        <w:t>Our estimates and assumptions are subject to change within the measurement period, which is up to 12 months after the Lacework Acquisition Date. The allocation of the purchase price for this acquisition has been prepared on a preliminary basis and changes to the allocation of certain assets and liabilities may occur as additional information becomes available. The primary area of the purchase price that is not yet finalized is related to income taxes.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acquisition-related information</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operating results of the acquired companies are included in our condensed consolidated statements of income from the respective dates of acquisition. Acquisition-related costs related to each acquisition were not material. The operating results of the acquired companies were not material in the years of acquisition. Pro forma information has not been presented, as the impact of these acquisitions, individually and in the aggregate, in each period were not material to our condensed consolidated financial statements.</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GOODWILL AND OTHER INTANGIBLE ASSETS—Net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impairments to goodwill during the three months ended March 31, 2025 or during prior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millions, except years):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5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540" w:type="dxa"/>
            <w:vAlign w:val="bottom"/>
          </w:tcPr>
          <w:p>
            <w:pPr>
              <w:spacing w:after="0"/>
              <w:rPr>
                <w:sz w:val="13"/>
                <w:szCs w:val="13"/>
                <w:color w:val="auto"/>
              </w:rPr>
            </w:pPr>
          </w:p>
        </w:tc>
        <w:tc>
          <w:tcPr>
            <w:tcW w:w="15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28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55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Developed technologies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name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Backlog</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$11.8 million and $3.0 million during the three months ended March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millions):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(the remainder of 2025)</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9"/>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9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0"/>
        </w:trPr>
        <w:tc>
          <w:tcPr>
            <w:tcW w:w="9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43"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performance stock units (“PSUs”). Dilutive shares of common stock are determined by applying the treasury stock method.</w:t>
      </w:r>
    </w:p>
    <w:p>
      <w:pPr>
        <w:spacing w:after="0" w:line="225"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(in millions, except per share amounts):</w:t>
      </w:r>
    </w:p>
    <w:p>
      <w:pPr>
        <w:spacing w:after="0" w:line="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8100" w:type="dxa"/>
        <w:tblCellMar>
          <w:top w:w="0" w:type="dxa"/>
          <w:left w:w="0" w:type="dxa"/>
          <w:bottom w:w="0" w:type="dxa"/>
          <w:right w:w="0" w:type="dxa"/>
        </w:tblCellMar>
      </w:tblPr>
      <w:tr>
        <w:trPr>
          <w:trHeight w:val="161"/>
        </w:trPr>
        <w:tc>
          <w:tcPr>
            <w:tcW w:w="15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56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15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-128270</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10628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Basic shares: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710628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Diluted shares:</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Effect of potentially dilutive securities: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tabs>
          <w:tab w:leader="none" w:pos="1000" w:val="left"/>
          <w:tab w:leader="none" w:pos="1600" w:val="left"/>
          <w:tab w:leader="none" w:pos="2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433.4</w:t>
        <w:tab/>
        <w:t>$</w:t>
      </w:r>
      <w:r>
        <w:rPr>
          <w:sz w:val="20"/>
          <w:szCs w:val="20"/>
          <w:color w:val="auto"/>
        </w:rPr>
        <w:tab/>
      </w:r>
      <w:r>
        <w:rPr>
          <w:rFonts w:ascii="Times New Roman" w:cs="Times New Roman" w:eastAsia="Times New Roman" w:hAnsi="Times New Roman"/>
          <w:sz w:val="17"/>
          <w:szCs w:val="17"/>
          <w:color w:val="auto"/>
        </w:rPr>
        <w:t>299.3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9888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80"/>
        <w:spacing w:after="0"/>
        <w:tabs>
          <w:tab w:leader="none" w:pos="380" w:val="left"/>
        </w:tabs>
        <w:rPr>
          <w:sz w:val="20"/>
          <w:szCs w:val="20"/>
          <w:color w:val="auto"/>
        </w:rPr>
      </w:pPr>
      <w:r>
        <w:rPr>
          <w:rFonts w:ascii="Times New Roman" w:cs="Times New Roman" w:eastAsia="Times New Roman" w:hAnsi="Times New Roman"/>
          <w:sz w:val="18"/>
          <w:szCs w:val="18"/>
          <w:color w:val="auto"/>
        </w:rPr>
        <w:t>768.3</w:t>
      </w:r>
      <w:r>
        <w:rPr>
          <w:sz w:val="20"/>
          <w:szCs w:val="20"/>
          <w:color w:val="auto"/>
        </w:rPr>
        <w:tab/>
      </w:r>
      <w:r>
        <w:rPr>
          <w:rFonts w:ascii="Times New Roman" w:cs="Times New Roman" w:eastAsia="Times New Roman" w:hAnsi="Times New Roman"/>
          <w:sz w:val="17"/>
          <w:szCs w:val="17"/>
          <w:color w:val="auto"/>
        </w:rPr>
        <w:t>762.4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9888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59" w:lineRule="exact"/>
        <w:rPr>
          <w:sz w:val="20"/>
          <w:szCs w:val="20"/>
          <w:color w:val="auto"/>
        </w:rPr>
      </w:pPr>
    </w:p>
    <w:p>
      <w:pPr>
        <w:jc w:val="right"/>
        <w:ind w:right="80"/>
        <w:spacing w:after="0"/>
        <w:tabs>
          <w:tab w:leader="none" w:pos="380" w:val="left"/>
        </w:tabs>
        <w:rPr>
          <w:sz w:val="20"/>
          <w:szCs w:val="20"/>
          <w:color w:val="auto"/>
        </w:rPr>
      </w:pPr>
      <w:r>
        <w:rPr>
          <w:rFonts w:ascii="Times New Roman" w:cs="Times New Roman" w:eastAsia="Times New Roman" w:hAnsi="Times New Roman"/>
          <w:sz w:val="18"/>
          <w:szCs w:val="18"/>
          <w:color w:val="auto"/>
        </w:rPr>
        <w:t>768.3</w:t>
      </w:r>
      <w:r>
        <w:rPr>
          <w:sz w:val="20"/>
          <w:szCs w:val="20"/>
          <w:color w:val="auto"/>
        </w:rPr>
        <w:tab/>
      </w:r>
      <w:r>
        <w:rPr>
          <w:rFonts w:ascii="Times New Roman" w:cs="Times New Roman" w:eastAsia="Times New Roman" w:hAnsi="Times New Roman"/>
          <w:sz w:val="17"/>
          <w:szCs w:val="17"/>
          <w:color w:val="auto"/>
        </w:rPr>
        <w:t>762.4</w:t>
      </w:r>
    </w:p>
    <w:p>
      <w:pPr>
        <w:spacing w:after="0" w:line="257" w:lineRule="exact"/>
        <w:rPr>
          <w:sz w:val="20"/>
          <w:szCs w:val="20"/>
          <w:color w:val="auto"/>
        </w:rPr>
      </w:pPr>
    </w:p>
    <w:p>
      <w:pPr>
        <w:sectPr>
          <w:pgSz w:w="11900" w:h="16838" w:orient="portrait"/>
          <w:cols w:equalWidth="0" w:num="2">
            <w:col w:w="7380" w:space="720"/>
            <w:col w:w="312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8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RSUs</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 options</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8"/>
                <w:szCs w:val="18"/>
                <w:color w:val="auto"/>
              </w:rPr>
              <w:t>PSUs</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160" w:type="dxa"/>
            <w:vAlign w:val="bottom"/>
            <w:tcBorders>
              <w:top w:val="single" w:sz="8" w:color="auto"/>
            </w:tcBorders>
          </w:tcPr>
          <w:p>
            <w:pPr>
              <w:jc w:val="center"/>
              <w:ind w:left="239"/>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314"/>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92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and 2031 Senior Notes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5, 2021, we issued $1.0 billion aggregate principal amount of senior notes (collectively, the “Senior Notes”), consisting of</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The 2026 Senior Notes were recorded as current portion of long-term debt and the 2031 Senior Notes were recorded as long-term debt as of March 31, 2025 and both of the Senior Notes were recorded as long-term debt as of December 31, 2024, net of discount and issuance costs, which are amortized to interest expense over the respective contractual terms of these notes using the effective interest method.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outstanding debt is summarized below (in millions, except percentages):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Coupon Rate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Effective Interest</w:t>
            </w:r>
          </w:p>
        </w:tc>
        <w:tc>
          <w:tcPr>
            <w:tcW w:w="2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20" w:type="dxa"/>
            <w:vAlign w:val="bottom"/>
          </w:tcPr>
          <w:p>
            <w:pPr>
              <w:spacing w:after="0"/>
              <w:rPr>
                <w:sz w:val="18"/>
                <w:szCs w:val="18"/>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 Senior Notes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2031 Senior Notes</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2031</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auto"/>
        </w:rPr>
        <w:t>As of March 31, 2025 and December 31, 2024, we accrued interest payable of $0.7 million and $4.7 million, respectively, and there are no financial covenants with which we must comply. During the three months ended March 31, 2025 and 2024, we recorded $4.5 million of total interest expense in relation to these Senior Notes in each period. No interest costs were capitalized for the three months ended March 31, 2025 and 2024, as the costs that qualified for capitalization were not material.</w:t>
      </w:r>
    </w:p>
    <w:p>
      <w:pPr>
        <w:spacing w:after="0" w:line="2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outstanding Senior Notes was approximately $919.6 million, including accrued and unpaid interest, as of March 31, 2025. The fair value was determined based on observable market prices of identical instruments in less active markets. The estimated fair values are based on Level 2 inputs.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inventory purchase commitments as of March 31, 2025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1500" w:type="dxa"/>
            <w:vAlign w:val="bottom"/>
            <w:shd w:val="clear" w:color="auto" w:fill="CCEEFF"/>
          </w:tcPr>
          <w:p>
            <w:pPr>
              <w:jc w:val="right"/>
              <w:ind w:right="12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30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b w:val="1"/>
          <w:bCs w:val="1"/>
          <w:color w:val="auto"/>
        </w:rPr>
        <w:t>Inventory Purchase Commitments</w:t>
      </w:r>
      <w:r>
        <w:rPr>
          <w:rFonts w:ascii="Times New Roman" w:cs="Times New Roman" w:eastAsia="Times New Roman" w:hAnsi="Times New Roman"/>
          <w:sz w:val="18"/>
          <w:szCs w:val="18"/>
          <w:color w:val="auto"/>
        </w:rPr>
        <w:t>—We purchase components of our inventory from certain suppliers and use several independent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1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As of March 31, 2025, we had $689.0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March 31, 2025 and December 31, 2024, the liability for these inventory purchase commitments was $47.5 million and $54.0 million, respectively, and was recorded in accrued liabilities on our condensed consolidated balance sheets. The expense related to such accrued liability for inventory purchase commitments was $4.5 million benefit and a $31.6 million cost during the three months ended March 31, 2025 and 2024, respectively, and was recorded in cost of product revenue on the condensed consolidated statements of income.</w:t>
      </w:r>
    </w:p>
    <w:p>
      <w:pPr>
        <w:spacing w:after="0" w:line="222"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Contractual Commitments and Open Purchase Orders</w:t>
      </w:r>
      <w:r>
        <w:rPr>
          <w:rFonts w:ascii="Times New Roman" w:cs="Times New Roman" w:eastAsia="Times New Roman" w:hAnsi="Times New Roman"/>
          <w:sz w:val="18"/>
          <w:szCs w:val="18"/>
          <w:color w:val="auto"/>
        </w:rPr>
        <w:t>—In addition to commitments with contract manufacturers, we have open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March 31, 2025, we had $94.7 million in other contractual commitments having a remaining term in excess of one year that are non-cancelable.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we had $81.6 million in contractual commitments related to payments for operating leases.</w:t>
      </w:r>
    </w:p>
    <w:p>
      <w:pPr>
        <w:spacing w:after="0" w:line="23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(“IP”)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 These accruals are generally based on a range of possible outcomes that require significant management judgement. If no amount within a range is a better estimate than any other, we accrue the minimum amount. Litigation loss contingency accruals associated with outstanding cases were not material as of March 31, 2025, and December 31, 2024.</w:t>
      </w:r>
    </w:p>
    <w:p>
      <w:pPr>
        <w:spacing w:after="0" w:line="221"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On March 21, 2019, we were sued by Alorica Inc. (“Alorica”) in Santa Clara County Superior Court in California. Alorica alleged breach of warranty and misrepresentation claims, which we denied. After trial, a jury returned a verdict fully in favor of us and against Alorica on October 4, 2024. Alorica has filed a notice of appeal. We believe that the ultimate outcome of this matter will not materially impact our financial position, results of operations or cash flows. However, any further legal proceedings, including Alorica’s appeal, would be subject to inherent uncertainties, and a future unfavorable ruling could occur. No loss accrual had been recorded as of March 31, 2025 or December 31, 2024 related to this litigation.</w:t>
      </w:r>
    </w:p>
    <w:p>
      <w:pPr>
        <w:spacing w:after="0" w:line="221"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Indemnification and Other Matters</w:t>
      </w:r>
      <w:r>
        <w:rPr>
          <w:rFonts w:ascii="Times New Roman" w:cs="Times New Roman" w:eastAsia="Times New Roman" w:hAnsi="Times New Roman"/>
          <w:sz w:val="18"/>
          <w:szCs w:val="18"/>
          <w:color w:val="auto"/>
        </w:rPr>
        <w:t>—We enter into indemnification provisions in the ordinary course of business with other companies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customers, and vendors, where we agree to indemnify, hold harmless, and reimburse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spacing w:after="0" w:line="219"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claims or proceedings related to these types of matters that we believe are likely to have a material adverse effect on our financial position.</w:t>
      </w:r>
    </w:p>
    <w:p>
      <w:pPr>
        <w:spacing w:after="0" w:line="200"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PLANS AND SHARE REPURCHASE PROGRAM</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maintain the Amended and Restated Fortinet, Inc. 2009 Equity Incentive Plan (the “Amended Plan”) pursuant to which we have granted RSUs, stock options and PSUs. As of March 31, 2025, there were a total of 48.8 million shares of common stock available for grant under the Amended Plan.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millions, except per share amounts):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9"/>
        </w:trPr>
        <w:tc>
          <w:tcPr>
            <w:tcW w:w="7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7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4"/>
                <w:szCs w:val="14"/>
                <w:color w:val="auto"/>
              </w:rPr>
            </w:pPr>
          </w:p>
        </w:tc>
        <w:tc>
          <w:tcPr>
            <w:tcW w:w="1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4"/>
        </w:trPr>
        <w:tc>
          <w:tcPr>
            <w:tcW w:w="75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76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30"/>
        </w:trPr>
        <w:tc>
          <w:tcPr>
            <w:tcW w:w="7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17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Stock compensation expense is recognized on a straight-line basis over the vesting period of each RSU. As of March 31, 2025, total compensation expense related to unvested RSUs granted to employees and non-employees under the Amended Plan, but not yet recognized, was $605.6 million, with a weighted-average remaining vesting period of 3.0 years.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Market/Performance-Based PSUs</w:t>
      </w:r>
    </w:p>
    <w:p>
      <w:pPr>
        <w:spacing w:after="0" w:line="243"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We grant market/performance-based PSUs under the Amended Plan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stockholder return over one-, two-, three- and four-year periods among companies included in the S&amp;P 500 Index. 20%, 20%, 20% and 40% of the PSUs vest over one-, two-, three- and four-year service periods,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3320" w:type="dxa"/>
            <w:vAlign w:val="bottom"/>
            <w:tcBorders>
              <w:bottom w:val="single" w:sz="8" w:color="auto"/>
            </w:tcBorders>
            <w:gridSpan w:val="3"/>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7920" w:type="dxa"/>
            <w:vAlign w:val="bottom"/>
          </w:tcPr>
          <w:p>
            <w:pPr>
              <w:spacing w:after="0"/>
              <w:rPr>
                <w:sz w:val="13"/>
                <w:szCs w:val="13"/>
                <w:color w:val="auto"/>
              </w:rPr>
            </w:pPr>
          </w:p>
        </w:tc>
        <w:tc>
          <w:tcPr>
            <w:tcW w:w="1720" w:type="dxa"/>
            <w:vAlign w:val="bottom"/>
            <w:gridSpan w:val="2"/>
          </w:tcPr>
          <w:p>
            <w:pPr>
              <w:ind w:left="4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0" w:type="dxa"/>
            <w:vAlign w:val="bottom"/>
          </w:tcPr>
          <w:p>
            <w:pPr>
              <w:jc w:val="right"/>
              <w:ind w:right="35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79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01"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We granted approximately 0.1 million and 0.3 million shares of PSU awards with a weighted-average grant date fair value of $168.93 and $98.19 per share to certain of our executives during the three months ended March 31, 2025 and 2024, respectively. The grant date fair value of these awards was determined using a Monte Carlo simulation pricing model. Approximately 0.2 million and 0.1 million shares of PSU awards vested during the three months ended March 31, 2025 and 2024, respectively. None of these PSU awards were forfeited during the three months ended March 31, 2025 and 2024, respectively.</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total compensation expense related to unvested PSUs that were granted to certain of our executives, but not yet recognized, was $40.0 million. This expense is expected to be amortized on a graded vesting method over a weighted-average vesting period of 2.4 years.</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RSUs and PSUs settle into shares of common stock upon vesting. Upon the vesting of the RSUs and PSUs, we net-settle the RSUs and PSUs and withhold a portion of the shares to satisfy employee withholding tax requirements. The payment of the withheld taxes to the tax authorities is reflected as a financing activity within the condensed consolidated statements of cash flows.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millions):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1100" w:type="dxa"/>
            <w:vAlign w:val="bottom"/>
          </w:tcPr>
          <w:p>
            <w:pPr>
              <w:jc w:val="center"/>
              <w:ind w:left="297"/>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96"/>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r>
      <w:tr>
        <w:trPr>
          <w:trHeight w:val="225"/>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53.8</w:t>
            </w:r>
          </w:p>
        </w:tc>
        <w:tc>
          <w:tcPr>
            <w:tcW w:w="120" w:type="dxa"/>
            <w:vAlign w:val="bottom"/>
          </w:tcPr>
          <w:p>
            <w:pPr>
              <w:spacing w:after="0"/>
              <w:rPr>
                <w:sz w:val="20"/>
                <w:szCs w:val="20"/>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42.9</w:t>
            </w: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7820" w:type="dxa"/>
            <w:vAlign w:val="bottom"/>
          </w:tcPr>
          <w:p>
            <w:pPr>
              <w:spacing w:after="0"/>
              <w:rPr>
                <w:sz w:val="13"/>
                <w:szCs w:val="13"/>
                <w:color w:val="auto"/>
              </w:rPr>
            </w:pPr>
          </w:p>
        </w:tc>
        <w:tc>
          <w:tcPr>
            <w:tcW w:w="1740" w:type="dxa"/>
            <w:vAlign w:val="bottom"/>
            <w:gridSpan w:val="2"/>
          </w:tcPr>
          <w:p>
            <w:pPr>
              <w:ind w:left="4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2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78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millions, except exercise prices and contractual life):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94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6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60" w:type="dxa"/>
            <w:vAlign w:val="bottom"/>
          </w:tcPr>
          <w:p>
            <w:pPr>
              <w:spacing w:after="0"/>
              <w:rPr>
                <w:sz w:val="18"/>
                <w:szCs w:val="18"/>
                <w:color w:val="auto"/>
              </w:rPr>
            </w:pPr>
          </w:p>
        </w:tc>
        <w:tc>
          <w:tcPr>
            <w:tcW w:w="9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0" w:type="dxa"/>
            <w:vAlign w:val="bottom"/>
          </w:tcPr>
          <w:p>
            <w:pPr>
              <w:spacing w:after="0"/>
              <w:rPr>
                <w:sz w:val="1"/>
                <w:szCs w:val="1"/>
                <w:color w:val="auto"/>
              </w:rPr>
            </w:pP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line="20" w:lineRule="exact"/>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vest—March 31, 2025</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45.46</w:t>
            </w: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exercisable—March 31,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market price of our common stock at the date of the balance sheet for all in-the-money stock options. Stock compensation expense is recognized on a straight-line basis over the vesting period of each stock option. As of March 31, 2025, total compensation expense related to unvested stock options granted to employees but not yet recognized was $61.3 million, with a weighted-average remaining vesting period of 2.8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millions, except per share amounts):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40" w:type="dxa"/>
            <w:vAlign w:val="bottom"/>
          </w:tcPr>
          <w:p>
            <w:pPr>
              <w:spacing w:after="0"/>
              <w:rPr>
                <w:sz w:val="13"/>
                <w:szCs w:val="13"/>
                <w:color w:val="auto"/>
              </w:rPr>
            </w:pPr>
          </w:p>
        </w:tc>
        <w:tc>
          <w:tcPr>
            <w:tcW w:w="1260" w:type="dxa"/>
            <w:vAlign w:val="bottom"/>
          </w:tcPr>
          <w:p>
            <w:pPr>
              <w:jc w:val="right"/>
              <w:ind w:right="314"/>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including stock-based compensation expense related to awards classified as liabilities, is included in costs and expenses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8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8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r>
      <w:tr>
        <w:trPr>
          <w:trHeight w:val="225"/>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26.7</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66.9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63.0</w:t>
            </w:r>
          </w:p>
        </w:tc>
      </w:tr>
      <w:tr>
        <w:trPr>
          <w:trHeight w:val="20"/>
        </w:trPr>
        <w:tc>
          <w:tcPr>
            <w:tcW w:w="8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including stock-based compensation expense related to awards classified as liabilities, by award type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8"/>
        </w:trPr>
        <w:tc>
          <w:tcPr>
            <w:tcW w:w="4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100" w:type="dxa"/>
            <w:vAlign w:val="bottom"/>
          </w:tcPr>
          <w:p>
            <w:pPr>
              <w:jc w:val="center"/>
              <w:ind w:left="296"/>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95"/>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40" w:type="dxa"/>
            <w:vAlign w:val="bottom"/>
          </w:tcPr>
          <w:p>
            <w:pPr>
              <w:spacing w:after="0"/>
              <w:rPr>
                <w:sz w:val="18"/>
                <w:szCs w:val="18"/>
                <w:color w:val="auto"/>
              </w:rPr>
            </w:pPr>
          </w:p>
        </w:tc>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0" w:type="dxa"/>
            <w:vAlign w:val="bottom"/>
            <w:tcBorders>
              <w:bottom w:val="single" w:sz="8" w:color="auto"/>
            </w:tcBorders>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52.0</w:t>
            </w:r>
          </w:p>
        </w:tc>
      </w:tr>
      <w:tr>
        <w:trPr>
          <w:trHeight w:val="229"/>
        </w:trPr>
        <w:tc>
          <w:tcPr>
            <w:tcW w:w="4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4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40" w:type="dxa"/>
            <w:vAlign w:val="bottom"/>
          </w:tcPr>
          <w:p>
            <w:pPr>
              <w:spacing w:after="0"/>
              <w:rPr>
                <w:sz w:val="19"/>
                <w:szCs w:val="19"/>
                <w:color w:val="auto"/>
              </w:rPr>
            </w:pPr>
          </w:p>
        </w:tc>
        <w:tc>
          <w:tcPr>
            <w:tcW w:w="8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66.9</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63.0</w:t>
            </w:r>
          </w:p>
        </w:tc>
      </w:tr>
      <w:tr>
        <w:trPr>
          <w:trHeight w:val="20"/>
        </w:trPr>
        <w:tc>
          <w:tcPr>
            <w:tcW w:w="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111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income is (in</w:t>
            </w:r>
          </w:p>
        </w:tc>
      </w:t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millions):</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34"/>
        </w:trPr>
        <w:tc>
          <w:tcPr>
            <w:tcW w:w="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24"/>
                <w:szCs w:val="24"/>
                <w:color w:val="auto"/>
              </w:rPr>
            </w:pPr>
          </w:p>
        </w:tc>
      </w:tr>
      <w:tr>
        <w:trPr>
          <w:trHeight w:val="158"/>
        </w:trPr>
        <w:tc>
          <w:tcPr>
            <w:tcW w:w="40" w:type="dxa"/>
            <w:vAlign w:val="bottom"/>
          </w:tcPr>
          <w:p>
            <w:pPr>
              <w:spacing w:after="0"/>
              <w:rPr>
                <w:sz w:val="13"/>
                <w:szCs w:val="13"/>
                <w:color w:val="auto"/>
              </w:rPr>
            </w:pPr>
          </w:p>
        </w:tc>
        <w:tc>
          <w:tcPr>
            <w:tcW w:w="8060" w:type="dxa"/>
            <w:vAlign w:val="bottom"/>
          </w:tcPr>
          <w:p>
            <w:pPr>
              <w:spacing w:after="0"/>
              <w:rPr>
                <w:sz w:val="13"/>
                <w:szCs w:val="13"/>
                <w:color w:val="auto"/>
              </w:rPr>
            </w:pPr>
          </w:p>
        </w:tc>
        <w:tc>
          <w:tcPr>
            <w:tcW w:w="1100" w:type="dxa"/>
            <w:vAlign w:val="bottom"/>
          </w:tcPr>
          <w:p>
            <w:pPr>
              <w:jc w:val="center"/>
              <w:ind w:left="296"/>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95"/>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3"/>
                <w:szCs w:val="13"/>
                <w:color w:val="auto"/>
              </w:rPr>
            </w:pPr>
          </w:p>
        </w:tc>
      </w:tr>
      <w:tr>
        <w:trPr>
          <w:trHeight w:val="214"/>
        </w:trPr>
        <w:tc>
          <w:tcPr>
            <w:tcW w:w="40" w:type="dxa"/>
            <w:vAlign w:val="bottom"/>
          </w:tcPr>
          <w:p>
            <w:pPr>
              <w:spacing w:after="0"/>
              <w:rPr>
                <w:sz w:val="18"/>
                <w:szCs w:val="18"/>
                <w:color w:val="auto"/>
              </w:rPr>
            </w:pPr>
          </w:p>
        </w:tc>
        <w:tc>
          <w:tcPr>
            <w:tcW w:w="80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0" w:type="dxa"/>
            <w:vAlign w:val="bottom"/>
            <w:tcBorders>
              <w:bottom w:val="single" w:sz="8" w:color="auto"/>
            </w:tcBorders>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13.9</w:t>
            </w:r>
          </w:p>
        </w:tc>
      </w:tr>
    </w:tbl>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Share repurchases may be made by us from time to time in privately negotiated transactions or in open-market transactions. The Repurchase Program does not require us to purchase a minimum number of shares, and may be suspended, modified or discontinued at any time without prior notice.</w:t>
      </w:r>
    </w:p>
    <w:p>
      <w:pPr>
        <w:spacing w:after="0" w:line="21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There were no shares repurchased under the Repurchase Program during the three months ended March 31, 2025. As of March 31, 2025, approximately $2.03 billion remained available for future share repurchases under the Repurchase Program. Refer to Note 15. Subsequent Events for information regarding our repurchases of 4.6 million shares of our common stock for an aggregate purchase price of $401.1 million, under the Repurchase Program, subsequent to March 31, 2025 through the filing of this Quarterly Report on Form 10-Q.</w:t>
      </w:r>
    </w:p>
    <w:p>
      <w:pPr>
        <w:spacing w:after="0" w:line="2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3" w:lineRule="exact"/>
        <w:rPr>
          <w:sz w:val="20"/>
          <w:szCs w:val="20"/>
          <w:color w:val="auto"/>
        </w:rPr>
      </w:pPr>
    </w:p>
    <w:p>
      <w:pPr>
        <w:jc w:val="both"/>
        <w:ind w:right="40" w:firstLine="648"/>
        <w:spacing w:after="0" w:line="242" w:lineRule="auto"/>
        <w:rPr>
          <w:sz w:val="20"/>
          <w:szCs w:val="20"/>
          <w:color w:val="auto"/>
        </w:rPr>
      </w:pPr>
      <w:r>
        <w:rPr>
          <w:rFonts w:ascii="Times New Roman" w:cs="Times New Roman" w:eastAsia="Times New Roman" w:hAnsi="Times New Roman"/>
          <w:sz w:val="18"/>
          <w:szCs w:val="18"/>
          <w:color w:val="auto"/>
        </w:rPr>
        <w:t>Our effective tax rate was 19% for the three months ended March 31, 2025, compared to an effective tax rate of 11% for the same period last year. The tax rates for the three months ended March 31, 2025 and 2024 were comprised of U.S. federal and state taxes, withholding taxes and foreign taxes that amounted to $128.5 million and $81.7 million, respectively. The tax rate for the three months ended March 31, 2025 included a tax provision of</w:t>
      </w:r>
    </w:p>
    <w:p>
      <w:pPr>
        <w:spacing w:after="0" w:line="1"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8"/>
          <w:szCs w:val="18"/>
          <w:color w:val="auto"/>
        </w:rPr>
        <w:t>$30.6 million related to the derecognition of deferred tax assets from the business combination with Linksys, a tax benefit of $25.8 million from the foreign-derived intangible income (“FDII”) deduction, and excess tax benefits from stock-based compensation expense of $36.8 million. The tax rate for the three months ended March 31, 2024 was impacted by a tax benefit of $24.0 million from the FDII deduction, excess tax benefits from stock-based compensation expense of $18.2 million.</w:t>
      </w: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As of March 31, 2025 and December 31, 2024, unrecognized tax benefits were $79.0 million and $75.9 million, respectively. If recognized, $64.0 million of the unrecognized tax benefits as of March 31, 2025 would favorably affect our effective tax rate. It is our policy to include accrued interest and penalties related to unrecognized tax benefits in income tax expense. As of March 31, 2025 and December 31, 2024, accrued interest and penalties were $9.8 million and $8.8 million, respectively.</w:t>
      </w:r>
    </w:p>
    <w:p>
      <w:pPr>
        <w:spacing w:after="0" w:line="2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U.S. state and foreign jurisdictions. Generally, we are no longer subject to examination by U.S federal income tax authorities for tax years prior to 2020 and by U.S. state and foreign tax authorities in our significant jurisdictions for tax years prior to 2016. We currently have ongoing tax audits in the United Kingdom, Canada, Germany and several other foreign jurisdictions. The focus of these audits is the inter-company profit allocation.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auto"/>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Internal Revenue Service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spacing w:after="0" w:line="198"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7"/>
          <w:szCs w:val="17"/>
          <w:color w:val="auto"/>
        </w:rPr>
        <w:t>In December 2021, the Organisation for Economic Co-operation and Development (the “OECD”) enacted model rules for a new global minimum tax framework (“BEPS Pillar Two”), and various governments around the world have enacted, or are in the process of enacting, legislation on this. The OECD continues to release additional guidance on these rules. Based on the enacted laws, BEPS Pillar Two has no impact to our effective tax rate or cash flows for the three months ended March 31, 2025. We will continue to evaluate the impact of these tax law changes on future reporting periods.</w:t>
      </w:r>
    </w:p>
    <w:p>
      <w:pPr>
        <w:spacing w:after="0" w:line="20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the three months ended March 31, 2025 and 2024 were $5.6 million and $6.3 million, respectively.</w:t>
      </w:r>
    </w:p>
    <w:p>
      <w:pPr>
        <w:spacing w:after="0" w:line="206"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certain financial data for our reportable segment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98"/>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24"/>
                <w:szCs w:val="24"/>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6"/>
        </w:trPr>
        <w:tc>
          <w:tcPr>
            <w:tcW w:w="8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r>
      <w:tr>
        <w:trPr>
          <w:trHeight w:val="210"/>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3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30"/>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30"/>
        </w:trPr>
        <w:tc>
          <w:tcPr>
            <w:tcW w:w="8080" w:type="dxa"/>
            <w:vAlign w:val="bottom"/>
          </w:tcPr>
          <w:p>
            <w:pPr>
              <w:ind w:left="480"/>
              <w:spacing w:after="0" w:line="230" w:lineRule="exact"/>
              <w:rPr>
                <w:sz w:val="20"/>
                <w:szCs w:val="20"/>
                <w:color w:val="auto"/>
              </w:rPr>
            </w:pPr>
            <w:r>
              <w:rPr>
                <w:rFonts w:ascii="Times New Roman" w:cs="Times New Roman" w:eastAsia="Times New Roman" w:hAnsi="Times New Roman"/>
                <w:sz w:val="18"/>
                <w:szCs w:val="18"/>
                <w:color w:val="auto"/>
              </w:rPr>
              <w:t xml:space="preserve">Other sales and marketing expense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r>
      <w:tr>
        <w:trPr>
          <w:trHeight w:val="229"/>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Commission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0"/>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80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8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commission expense.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following table presents other segment items (in millions):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98"/>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26"/>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8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
        </w:trPr>
        <w:tc>
          <w:tcPr>
            <w:tcW w:w="80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other segment information (in millions):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8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13"/>
        </w:trPr>
        <w:tc>
          <w:tcPr>
            <w:tcW w:w="8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Significant non-cash items: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4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7,662.1</w:t>
            </w:r>
          </w:p>
        </w:tc>
        <w:tc>
          <w:tcPr>
            <w:tcW w:w="0" w:type="dxa"/>
            <w:vAlign w:val="bottom"/>
          </w:tcPr>
          <w:p>
            <w:pPr>
              <w:spacing w:after="0"/>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our customers. The following tables set forth revenue and property and equipment —net by geographic region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49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9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shd w:val="clear" w:color="auto" w:fill="CCEEFF"/>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b w:val="1"/>
                <w:bCs w:val="1"/>
                <w:color w:val="auto"/>
              </w:rPr>
              <w:t>net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0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2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EMEA</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our revenue:</w:t>
      </w:r>
    </w:p>
    <w:p>
      <w:pPr>
        <w:spacing w:after="0" w:line="52"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top w:val="single" w:sz="8" w:color="auto"/>
            </w:tcBorders>
          </w:tcPr>
          <w:p>
            <w:pPr>
              <w:jc w:val="center"/>
              <w:ind w:left="359"/>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904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7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A</w:t>
            </w:r>
          </w:p>
        </w:tc>
        <w:tc>
          <w:tcPr>
            <w:tcW w:w="1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Distributor B</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 C</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shd w:val="clear" w:color="auto" w:fill="CCEEFF"/>
          </w:tcPr>
          <w:p>
            <w:pPr>
              <w:spacing w:after="0"/>
              <w:rPr>
                <w:sz w:val="19"/>
                <w:szCs w:val="19"/>
                <w:color w:val="auto"/>
              </w:rPr>
            </w:pPr>
          </w:p>
        </w:tc>
      </w:tr>
      <w:tr>
        <w:trPr>
          <w:trHeight w:val="553"/>
        </w:trPr>
        <w:tc>
          <w:tcPr>
            <w:tcW w:w="20" w:type="dxa"/>
            <w:vAlign w:val="bottom"/>
          </w:tcPr>
          <w:p>
            <w:pPr>
              <w:spacing w:after="0"/>
              <w:rPr>
                <w:sz w:val="24"/>
                <w:szCs w:val="24"/>
                <w:color w:val="auto"/>
              </w:rPr>
            </w:pPr>
          </w:p>
        </w:tc>
        <w:tc>
          <w:tcPr>
            <w:tcW w:w="9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distributors accounted for 10% or more of net accounts receivable:</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904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A</w:t>
            </w:r>
          </w:p>
        </w:tc>
        <w:tc>
          <w:tcPr>
            <w:tcW w:w="1220" w:type="dxa"/>
            <w:vAlign w:val="bottom"/>
            <w:tcBorders>
              <w:top w:val="single" w:sz="8" w:color="auto"/>
            </w:tcBorders>
            <w:gridSpan w:val="2"/>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Distributor B</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 C</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r>
    </w:tbl>
    <w:p>
      <w:pPr>
        <w:spacing w:after="0" w:line="302" w:lineRule="exact"/>
        <w:rPr>
          <w:sz w:val="20"/>
          <w:szCs w:val="20"/>
          <w:color w:val="auto"/>
        </w:rPr>
      </w:pPr>
    </w:p>
    <w:p>
      <w:pPr>
        <w:ind w:left="660" w:right="8520" w:hanging="652"/>
        <w:spacing w:after="0" w:line="549" w:lineRule="auto"/>
        <w:tabs>
          <w:tab w:leader="none" w:pos="462"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b w:val="1"/>
          <w:bCs w:val="1"/>
          <w:i w:val="1"/>
          <w:iCs w:val="1"/>
          <w:color w:val="auto"/>
        </w:rPr>
        <w:t>Share Repurchase Program</w:t>
      </w:r>
    </w:p>
    <w:p>
      <w:pPr>
        <w:spacing w:after="0" w:line="1" w:lineRule="exact"/>
        <w:rPr>
          <w:sz w:val="20"/>
          <w:szCs w:val="20"/>
          <w:color w:val="auto"/>
        </w:rPr>
      </w:pPr>
    </w:p>
    <w:p>
      <w:pPr>
        <w:ind w:right="20" w:firstLine="567"/>
        <w:spacing w:after="0" w:line="245" w:lineRule="auto"/>
        <w:rPr>
          <w:sz w:val="20"/>
          <w:szCs w:val="20"/>
          <w:color w:val="auto"/>
        </w:rPr>
      </w:pPr>
      <w:r>
        <w:rPr>
          <w:rFonts w:ascii="Times New Roman" w:cs="Times New Roman" w:eastAsia="Times New Roman" w:hAnsi="Times New Roman"/>
          <w:sz w:val="18"/>
          <w:szCs w:val="18"/>
          <w:color w:val="auto"/>
        </w:rPr>
        <w:t>Subsequent to March 31, 2025 through the filing of this Quarterly Report on Form 10-Q, we repurchased 4.6 million shares of our common stock at an average price of $87.89 per share, for an aggregate purchase price of $401.1 million, under the Repurchase Program. As of the filing of this Quarterly Report on Form 10-Q, approximately $1.63 billion remained available for future share repurchases through February 28, 2026 under the Repurchase Program.</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Real Property Purchases</w:t>
      </w:r>
    </w:p>
    <w:p>
      <w:pPr>
        <w:spacing w:after="0" w:line="243"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In April 2025, we purchased real property in Burnaby, Canada, totaling approximately 245,000 square feet, to be used for office space, for $99.9 million in cash.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200"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and service categories from year to year and between quarters;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from certain products and services;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increasing or decreasing inflation or stagflation, and changing interest rates in many geographies and changes in currency exchange rates and currency regulations;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52" w:lineRule="exact"/>
        <w:rPr>
          <w:rFonts w:ascii="Times New Roman" w:cs="Times New Roman" w:eastAsia="Times New Roman" w:hAnsi="Times New Roman"/>
          <w:sz w:val="18"/>
          <w:szCs w:val="18"/>
          <w:i w:val="1"/>
          <w:iCs w:val="1"/>
          <w:color w:val="auto"/>
        </w:rPr>
      </w:pPr>
    </w:p>
    <w:p>
      <w:pPr>
        <w:ind w:left="1300" w:right="28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macroeconomic, geopolitical factors and other disruption on our manufacturing or sales, including tariffs or other trade disruptions, public health issues, wars, natural disasters and economic growth;</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government regulation and other policies;</w:t>
      </w:r>
    </w:p>
    <w:p>
      <w:pPr>
        <w:spacing w:after="0" w:line="252" w:lineRule="exact"/>
        <w:rPr>
          <w:rFonts w:ascii="Times New Roman" w:cs="Times New Roman" w:eastAsia="Times New Roman" w:hAnsi="Times New Roman"/>
          <w:sz w:val="18"/>
          <w:szCs w:val="18"/>
          <w:i w:val="1"/>
          <w:iCs w:val="1"/>
          <w:color w:val="auto"/>
        </w:rPr>
      </w:pPr>
    </w:p>
    <w:p>
      <w:pPr>
        <w:ind w:left="1300" w:right="560" w:hanging="644"/>
        <w:spacing w:after="0" w:line="268"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drivers of long-term growth and operating leverage, such as pricing of our products and services, sales productivity, pipeline and capacity, functionality, value and technology improvements in our service offerings;</w:t>
      </w:r>
    </w:p>
    <w:p>
      <w:pPr>
        <w:spacing w:after="0" w:line="199"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spacing w:after="0" w:line="206"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anticipate market changes, including those related to cloud-based and AI solutions and to sell, support and meet service level agreements related to cloud-based solutions;</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expectations for the secure networking market;</w:t>
      </w:r>
    </w:p>
    <w:p>
      <w:pPr>
        <w:spacing w:after="0" w:line="252" w:lineRule="exact"/>
        <w:rPr>
          <w:rFonts w:ascii="Times New Roman" w:cs="Times New Roman" w:eastAsia="Times New Roman" w:hAnsi="Times New Roman"/>
          <w:sz w:val="18"/>
          <w:szCs w:val="18"/>
          <w:i w:val="1"/>
          <w:iCs w:val="1"/>
          <w:color w:val="auto"/>
        </w:rPr>
      </w:pPr>
    </w:p>
    <w:p>
      <w:pPr>
        <w:ind w:left="1300" w:right="300" w:hanging="644"/>
        <w:spacing w:after="0" w:line="284"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supply chain constraints, component availability and other factors affecting our manufacturing capacity, delivery, cost and inventory management;</w:t>
      </w:r>
    </w:p>
    <w:p>
      <w:pPr>
        <w:spacing w:after="0" w:line="18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forecasts of future demand and targeted inventory levels, including changing market drivers and demands;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backlog from current or prior quarters, including its effect on growth of in-quarter billings and revenue;</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hire properly qualified and effective sales, support and engineering employees;</w:t>
      </w:r>
    </w:p>
    <w:p>
      <w:pPr>
        <w:spacing w:after="0" w:line="252" w:lineRule="exact"/>
        <w:rPr>
          <w:rFonts w:ascii="Times New Roman" w:cs="Times New Roman" w:eastAsia="Times New Roman" w:hAnsi="Times New Roman"/>
          <w:sz w:val="18"/>
          <w:szCs w:val="18"/>
          <w:color w:val="auto"/>
        </w:rPr>
      </w:pPr>
    </w:p>
    <w:p>
      <w:pPr>
        <w:ind w:left="1300" w:hanging="644"/>
        <w:spacing w:after="0" w:line="267" w:lineRule="auto"/>
        <w:tabs>
          <w:tab w:leader="none" w:pos="129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w:t>
      </w:r>
    </w:p>
    <w:p>
      <w:pPr>
        <w:spacing w:after="0" w:line="200" w:lineRule="exact"/>
        <w:rPr>
          <w:rFonts w:ascii="Times New Roman" w:cs="Times New Roman" w:eastAsia="Times New Roman" w:hAnsi="Times New Roman"/>
          <w:sz w:val="18"/>
          <w:szCs w:val="18"/>
          <w:i w:val="1"/>
          <w:iCs w:val="1"/>
          <w:color w:val="auto"/>
        </w:rPr>
      </w:pPr>
    </w:p>
    <w:p>
      <w:pPr>
        <w:ind w:left="1300" w:right="26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 of revenue and gross margin, including expectations regarding product revenue, service revenue and inventory related charges;</w:t>
      </w:r>
    </w:p>
    <w:p>
      <w:pPr>
        <w:spacing w:after="0" w:line="158" w:lineRule="exact"/>
        <w:rPr>
          <w:rFonts w:ascii="Times New Roman" w:cs="Times New Roman" w:eastAsia="Times New Roman" w:hAnsi="Times New Roman"/>
          <w:sz w:val="18"/>
          <w:szCs w:val="18"/>
          <w:color w:val="auto"/>
        </w:rPr>
      </w:pPr>
    </w:p>
    <w:p>
      <w:pPr>
        <w:ind w:left="1300" w:right="100" w:hanging="644"/>
        <w:spacing w:after="0" w:line="284"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 including sales and marketing expense, research and development expense, general and administrative expense, and expectations regarding these expenses;</w:t>
      </w:r>
    </w:p>
    <w:p>
      <w:pPr>
        <w:sectPr>
          <w:pgSz w:w="11900" w:h="16838" w:orient="portrait"/>
          <w:cols w:equalWidth="0" w:num="1">
            <w:col w:w="11180"/>
          </w:cols>
          <w:pgMar w:left="320" w:top="27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plans and strategy for the acceleration of our data center footprint and our PoPs deployment;</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our operating expense will increase year over year in absolute dollars during the remainder of 2025;</w:t>
      </w:r>
    </w:p>
    <w:p>
      <w:pPr>
        <w:spacing w:after="0" w:line="252" w:lineRule="exact"/>
        <w:rPr>
          <w:rFonts w:ascii="Times New Roman" w:cs="Times New Roman" w:eastAsia="Times New Roman" w:hAnsi="Times New Roman"/>
          <w:sz w:val="18"/>
          <w:szCs w:val="18"/>
          <w:i w:val="1"/>
          <w:iCs w:val="1"/>
          <w:color w:val="auto"/>
        </w:rPr>
      </w:pPr>
    </w:p>
    <w:p>
      <w:pPr>
        <w:ind w:left="1300" w:right="8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that proceeds from the exercise of stock options in future years will be adversely impacted by the increased mix of restricted stock units and performance stock units versus stock options granted or a decline in our stock price;</w:t>
      </w:r>
    </w:p>
    <w:p>
      <w:pPr>
        <w:spacing w:after="0" w:line="185" w:lineRule="exact"/>
        <w:rPr>
          <w:rFonts w:ascii="Times New Roman" w:cs="Times New Roman" w:eastAsia="Times New Roman" w:hAnsi="Times New Roman"/>
          <w:sz w:val="18"/>
          <w:szCs w:val="18"/>
          <w:i w:val="1"/>
          <w:iCs w:val="1"/>
          <w:color w:val="auto"/>
        </w:rPr>
      </w:pPr>
    </w:p>
    <w:p>
      <w:pPr>
        <w:ind w:left="1300" w:right="400" w:hanging="644"/>
        <w:spacing w:after="0" w:line="284" w:lineRule="auto"/>
        <w:tabs>
          <w:tab w:leader="none" w:pos="1295"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benefits and our effective domestic and global tax rates, the impact of interpretations of or changes to tax law, and the timing of tax payments;</w:t>
      </w:r>
    </w:p>
    <w:p>
      <w:pPr>
        <w:spacing w:after="0" w:line="185" w:lineRule="exact"/>
        <w:rPr>
          <w:rFonts w:ascii="Times New Roman" w:cs="Times New Roman" w:eastAsia="Times New Roman" w:hAnsi="Times New Roman"/>
          <w:sz w:val="18"/>
          <w:szCs w:val="18"/>
          <w:i w:val="1"/>
          <w:iCs w:val="1"/>
          <w:color w:val="auto"/>
        </w:rPr>
      </w:pPr>
    </w:p>
    <w:p>
      <w:pPr>
        <w:ind w:left="1300" w:right="520" w:hanging="644"/>
        <w:spacing w:after="0" w:line="259"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spending related to real estate assets, acquisitions and development, including data centers and points of presence, office building and warehouse investments, as well as other capital expenditures and to the impact on free cash flow and expenses;</w:t>
      </w:r>
    </w:p>
    <w:p>
      <w:pPr>
        <w:spacing w:after="0" w:line="19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estimates of a range of 2025 spending on capital expenditures;</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expansions, development, improvements, operating, subleasing and other real property holdings activities;</w:t>
      </w:r>
    </w:p>
    <w:p>
      <w:pPr>
        <w:spacing w:after="0" w:line="238"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outcomes and liabilities in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4"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share repurchases and the sufficiency of our existing cash, cash equivalents and investments to meet our cash needs, including our debt servicing requirements, for at least the next 12 months;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 and</w:t>
      </w:r>
    </w:p>
    <w:p>
      <w:pPr>
        <w:spacing w:after="0" w:line="252"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and impact of new accounting standards.</w:t>
      </w:r>
    </w:p>
    <w:p>
      <w:pPr>
        <w:spacing w:after="0" w:line="25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Fortinet is a leader in cybersecurity, driving the convergence of networking and security. Our mission is to secure people, devices and data everywhere. Our integrated platform, the Fortinet Security Fabric, spans secure networking, unified SASE and AI-driven security operations (“SecOps”). As of March 31, 2025, our end-customers were located in over 100 countries and included enterprises across a wide variety of market verticals, including financial services, retail, healthcare and operational technology (“OT”) market verticals, communication and security service providers, and government organizations. As of March 31, 2025, we had approximately 80% of the Fortune 100 companies and approximately 72% of the Global 2000 companies as customers. As a global company headquartered in Sunnyvale, California, our research and development is centered in the United States and Canada with a global footprint of support and centers of excellence around the world. As of March 31, 2025, we held 1,045 U.S. patents and 1,381 global patents, including 271 AI-related patents. We have been recognized in over 140 enterprise analyst reports demonstrating both our vision and execution across security and networking products.</w:t>
      </w:r>
    </w:p>
    <w:p>
      <w:pPr>
        <w:spacing w:after="0" w:line="202"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Our competitive differentiation lies in our core technologies, which together provide performance, security, flexibility and integration across diverse environments.</w:t>
      </w:r>
    </w:p>
    <w:p>
      <w:pPr>
        <w:spacing w:after="0" w:line="185" w:lineRule="exact"/>
        <w:rPr>
          <w:sz w:val="20"/>
          <w:szCs w:val="20"/>
          <w:color w:val="auto"/>
        </w:rPr>
      </w:pPr>
    </w:p>
    <w:p>
      <w:pPr>
        <w:ind w:left="660" w:right="180" w:hanging="328"/>
        <w:spacing w:after="0" w:line="27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FortiOS</w:t>
      </w:r>
      <w:r>
        <w:rPr>
          <w:rFonts w:ascii="Times New Roman" w:cs="Times New Roman" w:eastAsia="Times New Roman" w:hAnsi="Times New Roman"/>
          <w:sz w:val="18"/>
          <w:szCs w:val="18"/>
          <w:color w:val="auto"/>
        </w:rPr>
        <w:t>—FortiOS enables the convergence of security and networking to enforce consistent security policies across form factors and edges.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foundation of the Fortinet Security Fabric, FortiOS empowers organizations to unify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40"/>
        <w:spacing w:after="0" w:line="250" w:lineRule="auto"/>
        <w:rPr>
          <w:sz w:val="20"/>
          <w:szCs w:val="20"/>
          <w:color w:val="auto"/>
        </w:rPr>
      </w:pPr>
      <w:r>
        <w:rPr>
          <w:rFonts w:ascii="Times New Roman" w:cs="Times New Roman" w:eastAsia="Times New Roman" w:hAnsi="Times New Roman"/>
          <w:sz w:val="18"/>
          <w:szCs w:val="18"/>
          <w:color w:val="auto"/>
        </w:rPr>
        <w:t>management and analytics for comprehensive network visibility and control at scale. To further validate our strategy, FortiOS has been recognized across five Gartner Magic Quadrants, including Firewall, Software-Defined Wide-Area Network (“SD-WAN”), Security Service Edge (“SSE”), SASE Platforms and Wired and Wireless Local Area Network (“LAN”).</w:t>
      </w:r>
    </w:p>
    <w:p>
      <w:pPr>
        <w:spacing w:after="0" w:line="200" w:lineRule="exact"/>
        <w:rPr>
          <w:sz w:val="20"/>
          <w:szCs w:val="20"/>
          <w:color w:val="auto"/>
        </w:rPr>
      </w:pPr>
    </w:p>
    <w:p>
      <w:pPr>
        <w:jc w:val="both"/>
        <w:ind w:left="660" w:right="280" w:hanging="328"/>
        <w:spacing w:after="0" w:line="25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FortiASIC</w:t>
      </w:r>
      <w:r>
        <w:rPr>
          <w:rFonts w:ascii="Times New Roman" w:cs="Times New Roman" w:eastAsia="Times New Roman" w:hAnsi="Times New Roman"/>
          <w:sz w:val="18"/>
          <w:szCs w:val="18"/>
          <w:color w:val="auto"/>
        </w:rPr>
        <w:t>—Our Application-Specific Integrated Circuit (“ASIC”)-based SPUs increase the speed, scale, efficiency and value of our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improving user experience, reducing footprint and power requirements. From branch and campus to data center solutions, SPU-powered Fortinet appliances deliver superior Security Compute Ratings versus industry alternatives.</w:t>
      </w:r>
    </w:p>
    <w:p>
      <w:pPr>
        <w:spacing w:after="0" w:line="212" w:lineRule="exact"/>
        <w:rPr>
          <w:rFonts w:ascii="Times New Roman" w:cs="Times New Roman" w:eastAsia="Times New Roman" w:hAnsi="Times New Roman"/>
          <w:sz w:val="18"/>
          <w:szCs w:val="18"/>
          <w:color w:val="auto"/>
        </w:rPr>
      </w:pPr>
    </w:p>
    <w:p>
      <w:pPr>
        <w:ind w:left="660" w:right="40" w:hanging="328"/>
        <w:spacing w:after="0" w:line="25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FortiCloud</w:t>
      </w:r>
      <w:r>
        <w:rPr>
          <w:rFonts w:ascii="Times New Roman" w:cs="Times New Roman" w:eastAsia="Times New Roman" w:hAnsi="Times New Roman"/>
          <w:sz w:val="18"/>
          <w:szCs w:val="18"/>
          <w:color w:val="auto"/>
        </w:rPr>
        <w:t>—Our organically built global cloud infrastructure provides customers with global reach, flexible connectivity, and cost savings.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FortiCloud is our private cloud software as a service (“SaaS”) platform, powered by FortiStack, and leveraging software and hardware to optimize and secure all layers.</w:t>
      </w:r>
    </w:p>
    <w:p>
      <w:pPr>
        <w:spacing w:after="0" w:line="198" w:lineRule="exact"/>
        <w:rPr>
          <w:rFonts w:ascii="Times New Roman" w:cs="Times New Roman" w:eastAsia="Times New Roman" w:hAnsi="Times New Roman"/>
          <w:sz w:val="18"/>
          <w:szCs w:val="18"/>
          <w:color w:val="auto"/>
        </w:rPr>
      </w:pPr>
    </w:p>
    <w:p>
      <w:pPr>
        <w:ind w:left="660" w:right="160" w:hanging="328"/>
        <w:spacing w:after="0" w:line="23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FortiAI</w:t>
      </w:r>
      <w:r>
        <w:rPr>
          <w:rFonts w:ascii="Times New Roman" w:cs="Times New Roman" w:eastAsia="Times New Roman" w:hAnsi="Times New Roman"/>
          <w:sz w:val="18"/>
          <w:szCs w:val="18"/>
          <w:color w:val="auto"/>
        </w:rPr>
        <w:t>—FortiAI includes FortiAI-Protect, which defends against emerging AI-driven threats and ensures secure AI usage; FortiAI-Assist,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generative AI product with agentic AI, automates Security Operations Center (“SOC”) and Network Operations Center (“NOC”) operations; and FortiAI-SecureAI, which safeguards AI infrastructure and prevents data leakage into large language models. FortiAI helps security teams make faster, educated decisions while integrating into products like FortiAnalyzer, FortiManager, FortiSIEM, and FortiSOAR to streamline threat investigation, response, and automation.</w:t>
      </w:r>
    </w:p>
    <w:p>
      <w:pPr>
        <w:spacing w:after="0" w:line="211" w:lineRule="exact"/>
        <w:rPr>
          <w:rFonts w:ascii="Times New Roman" w:cs="Times New Roman" w:eastAsia="Times New Roman" w:hAnsi="Times New Roman"/>
          <w:sz w:val="18"/>
          <w:szCs w:val="18"/>
          <w:color w:val="auto"/>
        </w:rPr>
      </w:pPr>
    </w:p>
    <w:p>
      <w:pPr>
        <w:ind w:left="660" w:right="40" w:hanging="328"/>
        <w:spacing w:after="0" w:line="24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FortiEndpoint</w:t>
      </w:r>
      <w:r>
        <w:rPr>
          <w:rFonts w:ascii="Times New Roman" w:cs="Times New Roman" w:eastAsia="Times New Roman" w:hAnsi="Times New Roman"/>
          <w:sz w:val="18"/>
          <w:szCs w:val="18"/>
          <w:color w:val="auto"/>
        </w:rPr>
        <w:t>—FortiEndpoint converges secure connectivity, endpoint protection and advanced capabilities like endpoint detection and response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extended detection and response (“XDR”), into a single agent.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all environments.</w:t>
      </w:r>
    </w:p>
    <w:p>
      <w:pPr>
        <w:spacing w:after="0" w:line="204"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 Security</w:t>
      </w:r>
      <w:r>
        <w:rPr>
          <w:rFonts w:ascii="Times New Roman" w:cs="Times New Roman" w:eastAsia="Times New Roman" w:hAnsi="Times New Roman"/>
          <w:sz w:val="18"/>
          <w:szCs w:val="18"/>
          <w:color w:val="auto"/>
        </w:rPr>
        <w:t>—The Fortinet Security Fabric enables security for converged IT/OT ecosystems. It also provides an OT Security Platform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features and products to extend Security Fabric capabilities to OT networks in many areas, including factories, plants, remote locations and ships. To help alleviate security risks across the organization, we have continued to enhance our OT Security Platform offerings. These innovations range from edge products to NOC and SOC tools and services to provide effective and efficient networking and cybersecurity performance and operation.</w:t>
      </w:r>
    </w:p>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These competitive differentiators provide networking and security professionals with a comprehensive cyber security platform comprised of over 50 products across three solution pillars:</w:t>
      </w:r>
    </w:p>
    <w:p>
      <w:pPr>
        <w:spacing w:after="0" w:line="185" w:lineRule="exact"/>
        <w:rPr>
          <w:sz w:val="20"/>
          <w:szCs w:val="20"/>
          <w:color w:val="auto"/>
        </w:rPr>
      </w:pPr>
    </w:p>
    <w:p>
      <w:pPr>
        <w:ind w:left="660" w:right="20" w:hanging="328"/>
        <w:spacing w:after="0" w:line="237" w:lineRule="auto"/>
        <w:tabs>
          <w:tab w:leader="none" w:pos="655" w:val="left"/>
        </w:tabs>
        <w:numPr>
          <w:ilvl w:val="0"/>
          <w:numId w:val="2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b w:val="1"/>
          <w:bCs w:val="1"/>
          <w:i w:val="1"/>
          <w:iCs w:val="1"/>
          <w:color w:val="auto"/>
        </w:rPr>
        <w:t>Secure Networking</w:t>
      </w:r>
      <w:r>
        <w:rPr>
          <w:rFonts w:ascii="Times New Roman" w:cs="Times New Roman" w:eastAsia="Times New Roman" w:hAnsi="Times New Roman"/>
          <w:sz w:val="18"/>
          <w:szCs w:val="18"/>
          <w:color w:val="auto"/>
        </w:rPr>
        <w:t>—Our Secure Networking solutions focus on the convergence of networking and security via FortiOS, our networking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operating system that is the foundation of our Fortinet Security Fabric platform and supports over 30 functions that can be delivered via a physical, virtual, cloud or SaaS solutions.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data center, hyperscale and distributed firewalls, as well as encrypted applications (secure sockets layer inspection, virtual private network and Internet Protocol Security connectivity). Our ability to converge networking and security also enables the ethernet to become an extension of our customers’ security infrastructure through FortiSwitch and FortiLink. Our wireless LAN solution leverages secure networking to provide secure wireless access for the enterprise LAN edge. FortiExtender secures 5G/LTE and remote ethernet extenders to connect and secure any branch environment. Our Secure Connectivity solution includes FortiSwitch secure ethernet switches, FortiAP wireless local area network access points and FortiExtender 5G connectivity gateways.</w:t>
      </w:r>
    </w:p>
    <w:p>
      <w:pPr>
        <w:spacing w:after="0" w:line="208" w:lineRule="exact"/>
        <w:rPr>
          <w:rFonts w:ascii="Times New Roman" w:cs="Times New Roman" w:eastAsia="Times New Roman" w:hAnsi="Times New Roman"/>
          <w:sz w:val="18"/>
          <w:szCs w:val="18"/>
          <w:color w:val="212529"/>
        </w:rPr>
      </w:pPr>
    </w:p>
    <w:p>
      <w:pPr>
        <w:ind w:left="660" w:right="60" w:hanging="328"/>
        <w:spacing w:after="0" w:line="2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Unified Secure Access Service Edge (SASE)</w:t>
      </w:r>
      <w:r>
        <w:rPr>
          <w:rFonts w:ascii="Times New Roman" w:cs="Times New Roman" w:eastAsia="Times New Roman" w:hAnsi="Times New Roman"/>
          <w:sz w:val="18"/>
          <w:szCs w:val="18"/>
          <w:color w:val="auto"/>
        </w:rPr>
        <w:t>—As applications move to the cloud and hybrid workforce is now the norm, enabling secure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users with zero trust framework becomes important. The Fortinet Unified SASE solution includes a single-vendor SASE solution that includes firewall, SD-WAN, secure web gateway, cloud access services broker, DLP and zero trust network access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over 150 PoPs to deliver the seamless secure access experience. Given this, we believe we are well positioned to support customers expanding from SD-WAN to a single-vendor SASE platform. Additionally, we offer a full suite of comprehensive, integrated cloud security solutions that enable customers to secure their applications from code to cloud. Our solutions include application security that includes our web application firewalls, cloud network security with virtualized firewalls and cloud-native firewalls, cloud-native application protection and code security. We deliver a holistic approach to cloud security, offering a single unified platform, consolidating protection across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60" w:right="40"/>
        <w:spacing w:after="0" w:line="242" w:lineRule="auto"/>
        <w:rPr>
          <w:sz w:val="20"/>
          <w:szCs w:val="20"/>
          <w:color w:val="auto"/>
        </w:rPr>
      </w:pPr>
      <w:r>
        <w:rPr>
          <w:rFonts w:ascii="Times New Roman" w:cs="Times New Roman" w:eastAsia="Times New Roman" w:hAnsi="Times New Roman"/>
          <w:sz w:val="18"/>
          <w:szCs w:val="18"/>
          <w:color w:val="auto"/>
        </w:rPr>
        <w:t>multiple disparate tools, including coding, deploying, and running applications across hybrid and multi-clouds. Additionally, we also offer flexible consumption licensing programs that enable organizations to dynamically optimize their cloud security needs and investments as well as readily meet their cloud minimum spend commitment obligations with Cloud Service Providers.</w:t>
      </w:r>
    </w:p>
    <w:p>
      <w:pPr>
        <w:spacing w:after="0" w:line="193" w:lineRule="exact"/>
        <w:rPr>
          <w:sz w:val="20"/>
          <w:szCs w:val="20"/>
          <w:color w:val="auto"/>
        </w:rPr>
      </w:pPr>
    </w:p>
    <w:p>
      <w:pPr>
        <w:ind w:left="660" w:hanging="328"/>
        <w:spacing w:after="0" w:line="23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AI-Driven Security Operations (SecOps)</w:t>
      </w:r>
      <w:r>
        <w:rPr>
          <w:rFonts w:ascii="Times New Roman" w:cs="Times New Roman" w:eastAsia="Times New Roman" w:hAnsi="Times New Roman"/>
          <w:sz w:val="18"/>
          <w:szCs w:val="18"/>
          <w:color w:val="auto"/>
        </w:rPr>
        <w:t>—Our AI-Driven SecOps portfolio provides a comprehensive suite of cybersecurity solutions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identify, protect, detect, respond and recover from threats, all integrated within the Fortinet Security Fabric. At the core is </w:t>
      </w:r>
      <w:r>
        <w:rPr>
          <w:rFonts w:ascii="Times New Roman" w:cs="Times New Roman" w:eastAsia="Times New Roman" w:hAnsi="Times New Roman"/>
          <w:sz w:val="18"/>
          <w:szCs w:val="18"/>
          <w:color w:val="333333"/>
        </w:rPr>
        <w:t>FortiAnalyzer,</w:t>
      </w:r>
      <w:r>
        <w:rPr>
          <w:rFonts w:ascii="Times New Roman" w:cs="Times New Roman" w:eastAsia="Times New Roman" w:hAnsi="Times New Roman"/>
          <w:sz w:val="18"/>
          <w:szCs w:val="18"/>
          <w:color w:val="auto"/>
        </w:rPr>
        <w:t xml:space="preserve"> which serves as the central SOC platform with its unified data lake that provides built-in SIEM, SOAR, XDR and threat intelligence, enabling centralized visibility, analytics and automation with complete control. FortiSIEM delivers robust security information and event management for more advanced SOC requirements, while FortiSOAR enables automated orchestration and playbook-driven response. This solution set also includes FortiEDR, FortiXDR,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SOC-as-a-Service, Managed detection and response, Security Posture Assessment and Incident Response. Finally, FortiAI generative AI assistance streamlines operations, helping security teams stay ahead of an ever-evolving threat landscape.</w:t>
      </w:r>
    </w:p>
    <w:p>
      <w:pPr>
        <w:spacing w:after="0" w:line="21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FortiGuard Labs is our cybersecurity threat intelligence and research organization comprised of experienced threat hunters, researchers, analysts, engineers and data scientists who develop and utilize ML and AI technologies to provide timely protection updates and actionable threat intelligence for the benefit of our customers. Using millions of global network sensors, FortiGuard Labs monitors the worldwide attack surface and employs AI to mine that data for new threats.</w:t>
      </w:r>
    </w:p>
    <w:p>
      <w:pPr>
        <w:spacing w:after="0" w:line="204"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FortiGuard and Other Security Services </w:t>
      </w:r>
      <w:r>
        <w:rPr>
          <w:rFonts w:ascii="Times New Roman" w:cs="Times New Roman" w:eastAsia="Times New Roman" w:hAnsi="Times New Roman"/>
          <w:sz w:val="18"/>
          <w:szCs w:val="18"/>
          <w:color w:val="auto"/>
        </w:rPr>
        <w:t>are a suite of AI-powered security capabilities that are natively integrated as part of the Fortinet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spacing w:after="0" w:line="185" w:lineRule="exact"/>
        <w:rPr>
          <w:sz w:val="20"/>
          <w:szCs w:val="20"/>
          <w:color w:val="auto"/>
        </w:rPr>
      </w:pPr>
    </w:p>
    <w:p>
      <w:pPr>
        <w:ind w:right="140" w:firstLine="648"/>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FortiCare Technical Support Service </w:t>
      </w:r>
      <w:r>
        <w:rPr>
          <w:rFonts w:ascii="Times New Roman" w:cs="Times New Roman" w:eastAsia="Times New Roman" w:hAnsi="Times New Roman"/>
          <w:sz w:val="18"/>
          <w:szCs w:val="18"/>
          <w:color w:val="auto"/>
        </w:rPr>
        <w:t>is a per-device technical support service, which provides customers access to experts to ensure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effective operations and maintenance of their Fortinet capabilities. Global technical support is offered 24x7 with flexible add-ons, including enhanced service-level agreements and priority hardware replacement through in-country and local depots. Organizations have the flexibility to procure different levels of service for different devices based on their availability needs. We offer three per-device support options tailored to the needs of our enterprise customers: FortiCare Elite, FortiCare Premium and FortiCare Essential. The FortiCare Elite service aims to provide a 15-minute response time for key product families.</w:t>
      </w:r>
    </w:p>
    <w:p>
      <w:pPr>
        <w:spacing w:after="0" w:line="202"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18"/>
          <w:szCs w:val="18"/>
          <w:color w:val="auto"/>
        </w:rPr>
        <w:t>In addition to FortiCare device level services, Advanced Support service options are available per account. These services are available for regional account support in three options: Core, Pro and Pro Plus, and can be available or provided on a global basis at the Pro and Pro Plus levels. Advanced Support brings support directly to each account, helping account holders to make their operations more effective and to plan and manage their solution lifecycle.</w:t>
      </w:r>
    </w:p>
    <w:p>
      <w:pPr>
        <w:spacing w:after="0" w:line="21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over two million certifications to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56" w:lineRule="exact"/>
        <w:rPr>
          <w:sz w:val="20"/>
          <w:szCs w:val="20"/>
          <w:color w:val="auto"/>
        </w:rPr>
      </w:pPr>
    </w:p>
    <w:p>
      <w:pPr>
        <w:ind w:left="660" w:right="12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$1.54 billion during the three months ended March 31, 2025, an increase of 14%, compared to $1.35 billion in the same period last year. Product revenue was $459.1 million during the three months ended March 31, 2025, an increase of 12%, compared to $408.9 million in the same period last year. Service revenue was $1.08 billion during the three months ended March 31, 2025, an increase of 14%, compared to $944.4 million in the same period last year.</w:t>
      </w:r>
    </w:p>
    <w:p>
      <w:pPr>
        <w:spacing w:after="0" w:line="206"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$1.25 billion during the three months ended March 31, 2025, an increase of 19%, compared to $1.05 billion in the same period last year.</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was 81.0% during the three months ended March 31, 2025, an increase of 3.5 percentage points, compared to 77.5% in the same period last year.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$453.8 million and during the three months ended March 31, 2025, an increase of 41%, compared to $321.2 million in the same period last year.</w:t>
      </w:r>
    </w:p>
    <w:p>
      <w:pPr>
        <w:spacing w:after="0" w:line="18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was 29.5% during the three months ended March 31, 2025, an increase of 5.8 percentage points, compared to 23.7% in the same period last year.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short-term and long-term investments were $4.82 billion as of March 31,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$6.42 billion, including short-term deferred revenue of $3.34 billion, as of March 31, 2025.</w:t>
      </w:r>
    </w:p>
    <w:p>
      <w:pPr>
        <w:spacing w:after="0" w:line="252"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were $863.3 million, which includes $14.0 million of proceeds from a legal victory around an IP matter, during the three months ended March 31, 2025, an increase of $32.9 million, or 4%, compared to the same period last year.</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Revenue continues to be diversified globally, which remains a key strength of our business. During the three months ended March 31, 2025, the Americas region, the Europe, Middle East and Africa region and the Asia Pacific region contributed 41%, 41% and 18% of our total revenue, respectively, and increased 13%, 16%, and 10% compared to the same period last year, respectively.</w:t>
      </w:r>
    </w:p>
    <w:p>
      <w:pPr>
        <w:spacing w:after="0" w:line="183"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Product revenue increased 12% during the three months ended March 31, 2025 compared to the same period last year. We experienced product revenue growth across our hardware products and software licenses, including secure networking hardware products and term licenses. We expect our product revenue to continue to grow for the remainder of 2025.</w:t>
      </w:r>
    </w:p>
    <w:p>
      <w:pPr>
        <w:spacing w:after="0" w:line="20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Service revenue growth during the three months ended March 31, 2025 was 14%, as compared to the same period last year, was primarily driven by the strength of our security subscription revenue, which grew 16%. The increase was primarily due to the recognition of service revenue from our growing deferred revenue balance related to FortiGuard and other security subscriptions delivered to on-premise and cloud-based environments and strength in unified SASE and SecOps. We expect our service revenue to continue to grow for the remainder of 2025, with growth opportunities that include unified SASE and SecOps offerings as well as the year over year increase in current deferred revenue. While service revenue is expected to grow for the remainder of 2025, we anticipate that the growth rates will continue to decrease for the remainder of 2025 due to slowing short-term deferred revenue growth over the past several quarters.</w:t>
      </w:r>
    </w:p>
    <w:p>
      <w:pPr>
        <w:spacing w:after="0" w:line="23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billings were diversified on a geographic basis. During the three months ended March 31, 2025, eight countries represented approximately 50% of our billings and the remaining approximately 50% in the aggregate were from over 100 countries that each individually contributed less than 3% of our billings.</w:t>
      </w:r>
    </w:p>
    <w:p>
      <w:pPr>
        <w:spacing w:after="0" w:line="18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Total gross margin increased 3.5 percentage points during the three months ended March 31, 2025 compared to the same period last year, primarily driven by increased product gross margin as inventory related reserves expense normalized in comparison to elevated levels we saw in the first half of 2024. Our overall gross margin for the full year of 2025 will be impacted by service and product revenue mix and their respective gross margins. We expect our product gross margin to slightly increase for the full year 2025 compared to 2024 as we continue to benefit from lower impact of inventory reserves expense. We expect our service gross margin to decrease for the full year of 2025 compared to 2024, as we expand our data center footprint and colocation and cloud hosting capacity to support the growth in our unified SASE and SecOps offerings. We currently do not expect the U.S. tariffs to have a meaningful impact on our gross margin. If tariffs increase in the future, we expect any resulting impact on our gross margin to mostly be on our hardware sales to U.S. customers.</w:t>
      </w:r>
    </w:p>
    <w:p>
      <w:pPr>
        <w:spacing w:after="0" w:line="214"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Operating expenses as a percentage of revenue decreased 2.3 percentage points, during the three months ended March 31, 2025 compared to the same period last year, mainly because our revenue growth outpaced our personnel costs growth. Headcount increased to 14,556 employees as of March 31, 2025, an 8% increase compared to 13,522 as of March 31, 2024.</w:t>
      </w:r>
    </w:p>
    <w:p>
      <w:pPr>
        <w:spacing w:after="0" w:line="21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Operating margin increased 5.8 percentage points during the three months ended March 31, 2025, as a result of improvement in gross margin and decrease in operating expenses as a percentage of revenue. We expect our operating margin to decrease for the full year of 2025 compared to 2024 as we grow our sales and marketing and research and development workforce organically and through acquisitions, increase our product development investments, and expand our data center footprint and our colocation and cloud hosting capacity to support business growth.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and Geopolitical Developments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212529"/>
        </w:rPr>
        <w:t>Our overall performance depends in part on worldwide economic and geopolitical conditions, such as trade policies and tariffs, GDP growth or contraction (both domestically and internationally), geopolitical instability and uncertainty, the war</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212529"/>
        </w:rPr>
        <w:t>in Ukraine or tensions between China and Taiwan, and their impact on customer behavior. Worsening economic conditions, including tariffs, inflation, changing interest rates and other trade disruptions, slower growth, any recession, fluctuations in foreign exchange rates and other changes in economic conditions, may result in decreased sales productivity, lower growth and adversely affect our results of operations and financial performance. We have seen, and could continue to see,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 For example, earlier this year the United States announced tariffs on imported goods from most countries, some of which have been temporarily suspended or adjusted from time to time. U.S. tariffs, and any new or additional retaliatory tariffs that could be imposed by other countries in response to such U.S. tariffs could have a material adverse impact on global trade, supply chains worldwide, and other worldwide economic and geopolitical conditions, which could increase our product costs for the remainder of 2025 and beyond, and also affect customer sentiment in deciding whether to purchase our products. We continue to monitor the impact of tariffs on our business.</w:t>
      </w:r>
    </w:p>
    <w:p>
      <w:pPr>
        <w:spacing w:after="0" w:line="199"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212529"/>
        </w:rPr>
        <w:t>Worsening economic conditions may have a material negative impact on our results in future periods and may negatively impact our billings, revenue and costs, and may decrease growth and profitability. The extent of the impact of economic conditions on our operational and financial performance will depend on ongoing developments, including those discussed above and others identified in Part II, Item 1A “Risk Factors” in this Form 10-Q. Given the dynamic nature of these circumstances, the full impact of worsening economic conditions on our business and operations, results of operations, financial condition, cash flows, liquidity and capital and financial resources cannot be reasonably estimated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We typically sell our security solutions to distributors that sell to networking security focused resellers and to certain service providers and managed security service providers (“MSSPs”), who, in turn, sell to end-customers or use our products and services to provide hosted solutions to other enterprises. At times, we also sell directly to enterprise customers, service providers, systems integrators and large enterprises. We also sell our software licenses and cloud delivered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or users, depending on the end-customer’s size and security requirements.</w:t>
      </w:r>
    </w:p>
    <w:p>
      <w:pPr>
        <w:spacing w:after="0" w:line="214"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customers purchase our hardware products, software licenses, SaaS subscriptions and cloud-delivered solutions, including our FortiGuard security subscriptions and FortiCare technical support services. Depending on the solution, these may be sold in a bundle or standalone as part of a solution sale. We generally invoice at the time of our sale for the total price of the products and services. Standard payment terms are generally no more than 60 days, though we may offer extended payment terms to certain distributors or large enterprises.</w:t>
      </w:r>
    </w:p>
    <w:p>
      <w:pPr>
        <w:spacing w:after="0" w:line="208"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offer our products hosted in our own data centers, PoPs, and through colocations and major cloud service providers, including Amazon Web Services, Microsoft Azure and Google Cloud.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3"/>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6,418.4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5,789.9</w:t>
            </w:r>
          </w:p>
        </w:tc>
      </w:tr>
      <w:tr>
        <w:trPr>
          <w:trHeight w:val="229"/>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(non-GAAP)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1,597.2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782.8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short-term and total deferred revenue growth and the mix of short-term and long-term deferred revenue because deferred revenue represents a significant portion of free cash flow and of revenue to be recognized in future periods. Deferred revenue was $6.42 billion as of March 31, 2025, an increase of $57.5 million, or 1%, from December 31, 2024. Short-term deferred revenue was $3.34 billion as of March 31, 2025, an increase of $63.2 million, or 2%, from December 31, 2024.</w:t>
      </w:r>
    </w:p>
    <w:p>
      <w:pPr>
        <w:spacing w:after="0" w:line="198"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 change in deferred revenue from the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end of the period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and cash flows.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$1.60 billion for the three months ended March 31, 2025, an increase of 14% compared to $1.41 billion in the same period last year.</w:t>
      </w:r>
    </w:p>
    <w:p>
      <w:pPr>
        <w:spacing w:after="0" w:line="216"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Our backlog may fluctuate over quarters. A reduction to backlog increases our aggregate billings and revenue during the quarter when delivered. If we experience supply chain shortages and cannot fulfill orders or if customers cancel or delay delivery of orders, our backlog may be affected, which will negatively impact our aggregate backlog to billings conversion and revenue in such quarter.</w:t>
      </w:r>
    </w:p>
    <w:p>
      <w:pPr>
        <w:spacing w:after="0" w:line="217"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A reconciliation of revenue, the most directly comparable financial measure calculated and presented in accordance with GAAP, to billings is provided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w:t>
            </w:r>
          </w:p>
        </w:tc>
      </w:tr>
      <w:tr>
        <w:trPr>
          <w:trHeight w:val="230"/>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combinations</w:t>
            </w:r>
          </w:p>
        </w:tc>
        <w:tc>
          <w:tcPr>
            <w:tcW w:w="1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purchases of property and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any significant non-recurring items, such as proceeds from IP matters. We believe free cash flow to be a liquidity measure that provides useful information to management and investors about the amount of cash generated by the business that, after capital expenditures and net of proceeds from IP matters,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significant non-recurring items, such as proceeds from IP matters, investing activities other than capital expenditures and cash flows from financing activities. Management accounts for this limitation by providing information about our proceeds from IP matters, our capital expenditures and other investing and financing activities on the condensed consolidated statements of cash flows and under “—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25"/>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4"/>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r>
      <w:tr>
        <w:trPr>
          <w:trHeight w:val="23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29"/>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Proceeds from IP matter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21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and estimates as of and for the three months ended March 31, 2025, as compared to the critical accounting policies and estimates described in our Annual Report on Form 10-K filed with the SEC on February 21, 2025 (the “Form 10-K”).</w:t>
      </w:r>
    </w:p>
    <w:p>
      <w:pPr>
        <w:spacing w:after="0" w:line="20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and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0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40" w:type="dxa"/>
            <w:vAlign w:val="bottom"/>
            <w:vMerge w:val="restart"/>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 by geography:</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46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46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20" w:type="dxa"/>
            <w:vAlign w:val="bottom"/>
            <w:tcBorders>
              <w:top w:val="single" w:sz="8" w:color="CCEEFF"/>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Total revenue increased $186.4 million, or 14%, during the three months ended March 31, 2025 compared to the same period last year. We continued to experience diversification of revenue geographically, and across customer and industry verticals. Revenue from all regions grew, with EMEA contributing the largest portion of the increase on an absolute dollar basis and on a percentage basis.</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Product revenue increased $50.2 million, or 12%, during the three months ended March 31, 2025 compared to the same period last year. We experienced product revenue growth across our hardware products and software licenses, including secure networking hardware products and term licenses.</w:t>
      </w:r>
    </w:p>
    <w:p>
      <w:pPr>
        <w:spacing w:after="0" w:line="18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Service revenue increased $136.2 million, or 14%, during the three months ended March 31, 2025 compared to the same period last year. Security subscription revenue increased $86.2 million, or 16%, and technical support and other services revenue increased $50.0 million, or 12%, during the three months ended March 31, 2025 compared to the same period last year.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spacing w:after="0" w:line="21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Of the service revenue recognized during the three months ended March 31, 2025, 90% was included in the deferred revenue balance as of December 31, 2024. Of the service revenue recognized during the three months ended March 31, 2024, 90% was included in the deferred revenue balance as of December 31, 2023. We expect service revenue growth rates to continue to decrease for the remainder of 2025 due to slowing short-term deferred revenue growth over the past several quarters.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11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4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center"/>
              <w:ind w:left="832"/>
              <w:spacing w:after="0"/>
              <w:rPr>
                <w:sz w:val="20"/>
                <w:szCs w:val="20"/>
                <w:color w:val="auto"/>
              </w:rPr>
            </w:pPr>
            <w:r>
              <w:rPr>
                <w:rFonts w:ascii="Times New Roman" w:cs="Times New Roman" w:eastAsia="Times New Roman" w:hAnsi="Times New Roman"/>
                <w:sz w:val="18"/>
                <w:szCs w:val="18"/>
                <w:color w:val="auto"/>
              </w:rPr>
              <w:t>(32.9)</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852"/>
              <w:spacing w:after="0"/>
              <w:rPr>
                <w:sz w:val="20"/>
                <w:szCs w:val="20"/>
                <w:color w:val="auto"/>
              </w:rPr>
            </w:pPr>
            <w:r>
              <w:rPr>
                <w:rFonts w:ascii="Times New Roman" w:cs="Times New Roman" w:eastAsia="Times New Roman" w:hAnsi="Times New Roman"/>
                <w:sz w:val="18"/>
                <w:szCs w:val="18"/>
                <w:color w:val="auto"/>
                <w:w w:val="95"/>
              </w:rPr>
              <w:t>21.3</w:t>
            </w:r>
          </w:p>
        </w:tc>
        <w:tc>
          <w:tcPr>
            <w:tcW w:w="2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832"/>
              <w:spacing w:after="0"/>
              <w:rPr>
                <w:sz w:val="20"/>
                <w:szCs w:val="20"/>
                <w:color w:val="auto"/>
              </w:rPr>
            </w:pPr>
            <w:r>
              <w:rPr>
                <w:rFonts w:ascii="Times New Roman" w:cs="Times New Roman" w:eastAsia="Times New Roman" w:hAnsi="Times New Roman"/>
                <w:sz w:val="18"/>
                <w:szCs w:val="18"/>
                <w:color w:val="auto"/>
              </w:rPr>
              <w:t>(11.6)</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margin (%):</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Service</w:t>
            </w:r>
          </w:p>
        </w:tc>
        <w:tc>
          <w:tcPr>
            <w:tcW w:w="3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gross margin</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700" w:firstLine="648"/>
        <w:spacing w:after="0" w:line="266" w:lineRule="auto"/>
        <w:rPr>
          <w:sz w:val="20"/>
          <w:szCs w:val="20"/>
          <w:color w:val="auto"/>
        </w:rPr>
      </w:pPr>
      <w:r>
        <w:rPr>
          <w:rFonts w:ascii="Times New Roman" w:cs="Times New Roman" w:eastAsia="Times New Roman" w:hAnsi="Times New Roman"/>
          <w:sz w:val="18"/>
          <w:szCs w:val="18"/>
          <w:color w:val="auto"/>
        </w:rPr>
        <w:t>Total gross margin increased 3.5 percentage points during the three months ended March 31, 2025 compared to the same period last year, primarily driven by increased product gross margin.</w:t>
      </w:r>
    </w:p>
    <w:p>
      <w:pPr>
        <w:spacing w:after="0" w:line="189"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Product gross margin increased 12.0 percentage points during the three months ended March 31, 2025 compared to the same period last year, as inventory related reserves expense normalized from the elevated levels we saw in the first half of 2024. Cost of product revenue was comprised primarily of third-party contract manufacturers’ costs, and costs of materials used in production.</w:t>
      </w:r>
    </w:p>
    <w:p>
      <w:pPr>
        <w:spacing w:after="0" w:line="20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Service gross margin decreased 0.4 percentage points during the three months ended March 31, 2025 compared to the same period last year, primarily due to an increase in cloud service costs, partially offset by service revenue growth outpacing labor and replacement costs increase. Cost of service revenue was comprised primarily of personnel-related costs, replacement cost, cloud services costs from data centers, colocation provider and cloud providers, infrastructure, software and delivery costs, and facility-related costs.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6"/>
                <w:szCs w:val="16"/>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77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6"/>
                <w:szCs w:val="16"/>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6"/>
                <w:szCs w:val="16"/>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vMerge w:val="continue"/>
          </w:tcPr>
          <w:p>
            <w:pPr>
              <w:spacing w:after="0"/>
              <w:rPr>
                <w:sz w:val="18"/>
                <w:szCs w:val="18"/>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on intellectual property matters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1"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increased $25.6 million, or 15%, during the three months ended March 31, 2025 compared to the same period last year, primarily due to an increase of $20.7 million in personnel-related costs as a result of increased headcount and compensation rates to support the development of new products and continued enhancements to our existing products and the impact of the recent acquisitions. In addition, non-personnel-related product development costs increased $7.2 million. We currently intend to continue investing in our research and development organization, and expect research and development expense to increase in absolute dollars year over year during the remainder of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4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Sales and marketing expense increased $41.6 million, or 8%, during the three months ended March 31, 2025 compared to the same period last year, primarily due to an increase of $28.4 million in personnel-related costs. In addition, marketing program and related expenses increased $5.6 million and amortization expense of certain intangible assets increased $4.2 million, partially offset by the favorable impact of foreign currency fluctuations. We currently intend to continue to make investments in sales and marketing resources, which are critical to support our future growth, and expect our sales and marketing expense to increase in absolute dollars year over year during the remainder of 2025.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increased $3.4 million, or 6%, during the three months ended March 31, 2025 compared to the same period last year, primarily due to an increase of $3.1 million in personnel-related costs. We currently expect general and administrative expense to increase in absolute dollars year over year during the remainder of 2025.</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income and margin</w:t>
      </w: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generated operating income of $453.8 million during the three months ended March 31, 2025, an increase of $132.6 million, or 41%,</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compared to $321.2 million in the same period last year. Operating margin was 29.5% during the three months ended March 31, 2025, compared to 23.7% in the same period last year. The 5.8 percentage points increase in operating margin was primarily due to 3.5 percentage points increase in gross margin and 1.8 percentage points decrease in sales and marketing expense and a gain on intellectual property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95"/>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80" w:type="dxa"/>
            <w:vAlign w:val="bottom"/>
          </w:tcPr>
          <w:p>
            <w:pPr>
              <w:spacing w:after="0"/>
              <w:rPr>
                <w:sz w:val="16"/>
                <w:szCs w:val="16"/>
                <w:color w:val="auto"/>
              </w:rPr>
            </w:pPr>
          </w:p>
        </w:tc>
        <w:tc>
          <w:tcPr>
            <w:tcW w:w="1460" w:type="dxa"/>
            <w:vAlign w:val="bottom"/>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60" w:type="dxa"/>
            <w:vAlign w:val="bottom"/>
          </w:tcPr>
          <w:p>
            <w:pPr>
              <w:spacing w:after="0"/>
              <w:rPr>
                <w:sz w:val="16"/>
                <w:szCs w:val="16"/>
                <w:color w:val="auto"/>
              </w:rPr>
            </w:pPr>
          </w:p>
        </w:tc>
        <w:tc>
          <w:tcPr>
            <w:tcW w:w="1760" w:type="dxa"/>
            <w:vAlign w:val="bottom"/>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2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80" w:type="dxa"/>
            <w:vAlign w:val="bottom"/>
            <w:gridSpan w:val="3"/>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44.3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12.1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26.1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29.0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increased $12.1 million during the three months ended March 31, 2025 compared to the same period last year, primarily as a result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higher investment balances. Interest income varies depending on our average investment balances during the period, types and mix of investments,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rates. Interest expense remained comparatively flat during the three months ended March 31, 2025 compared to the same period last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$29.0 million change in other income (expense)—net during the three months ended March 31, 2025 compared to the same period last year,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a gain on bargain purchase of $39.9 million related to our acquisition of Linksys and a $4.5 million increase in foreign currency exchange gains,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an increase of $15.1 million loss on marketable equity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326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Borders>
              <w:bottom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300" w:type="dxa"/>
            <w:vAlign w:val="bottom"/>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Pr>
          <w:p>
            <w:pPr>
              <w:spacing w:after="0"/>
              <w:rPr>
                <w:sz w:val="16"/>
                <w:szCs w:val="16"/>
                <w:color w:val="auto"/>
              </w:rPr>
            </w:pPr>
          </w:p>
        </w:tc>
        <w:tc>
          <w:tcPr>
            <w:tcW w:w="136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40" w:type="dxa"/>
            <w:vAlign w:val="bottom"/>
          </w:tcPr>
          <w:p>
            <w:pPr>
              <w:spacing w:after="0"/>
              <w:rPr>
                <w:sz w:val="16"/>
                <w:szCs w:val="16"/>
                <w:color w:val="auto"/>
              </w:rPr>
            </w:pPr>
          </w:p>
        </w:tc>
        <w:tc>
          <w:tcPr>
            <w:tcW w:w="13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spacing w:after="0"/>
              <w:rPr>
                <w:sz w:val="16"/>
                <w:szCs w:val="16"/>
                <w:color w:val="auto"/>
              </w:rPr>
            </w:pPr>
          </w:p>
        </w:tc>
        <w:tc>
          <w:tcPr>
            <w:tcW w:w="1680" w:type="dxa"/>
            <w:vAlign w:val="bottom"/>
            <w:vMerge w:val="restart"/>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580" w:type="dxa"/>
            <w:vAlign w:val="bottom"/>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40" w:type="dxa"/>
            <w:vAlign w:val="bottom"/>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5"/>
              </w:rPr>
              <w:t>96.5</w:t>
            </w:r>
          </w:p>
        </w:tc>
        <w:tc>
          <w:tcPr>
            <w:tcW w:w="136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39.5</w:t>
            </w:r>
          </w:p>
        </w:tc>
        <w:tc>
          <w:tcPr>
            <w:tcW w:w="134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57.0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w:t>
            </w:r>
          </w:p>
        </w:tc>
        <w:tc>
          <w:tcPr>
            <w:tcW w:w="1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Our effective tax rate was 19% for the three months ended March 31, 2025 compared to an effective tax rate of 11% for the same period last year. The provision for income taxes for the three months ended March 31, 2025 was primarily comprised of U.S. federal and state taxes, withholding taxes and foreign taxes totaling $128.5 million, which included a tax provision of $30.6 million related to the derecognition of deferred tax assets from the business combination with Linksys, a tax benefit of $25.8 million from the foreign-derived intangible income deduction (the “FDII deduction”) and excess tax benefits from stock-based compensation expense of $36.8 million.</w:t>
      </w:r>
    </w:p>
    <w:p>
      <w:pPr>
        <w:spacing w:after="0" w:line="21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provision for income taxes for the three months ended March 31, 2024 was comprised of U.S. federal and state taxes, withholding taxes, and foreign taxes totaling $81.7 million, which were favorably affected by a tax benefit of $24.0 million from the FDII deduction, excess tax benefits from stock-based compensation expense of $18.2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from equity method investments</w:t>
      </w:r>
    </w:p>
    <w:p>
      <w:pPr>
        <w:spacing w:after="0" w:line="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19685</wp:posOffset>
            </wp:positionV>
            <wp:extent cx="22885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320" w:type="dxa"/>
            <w:vAlign w:val="bottom"/>
          </w:tcPr>
          <w:p>
            <w:pPr>
              <w:spacing w:after="0"/>
              <w:rPr>
                <w:sz w:val="16"/>
                <w:szCs w:val="16"/>
                <w:color w:val="auto"/>
              </w:rPr>
            </w:pPr>
          </w:p>
        </w:tc>
        <w:tc>
          <w:tcPr>
            <w:tcW w:w="1440" w:type="dxa"/>
            <w:vAlign w:val="bottom"/>
          </w:tcPr>
          <w:p>
            <w:pPr>
              <w:jc w:val="center"/>
              <w:ind w:right="23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vMerge w:val="restart"/>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vMerge w:val="restart"/>
          </w:tcPr>
          <w:p>
            <w:pPr>
              <w:spacing w:after="0"/>
              <w:rPr>
                <w:sz w:val="16"/>
                <w:szCs w:val="16"/>
                <w:color w:val="auto"/>
              </w:rPr>
            </w:pPr>
          </w:p>
        </w:tc>
        <w:tc>
          <w:tcPr>
            <w:tcW w:w="1920" w:type="dxa"/>
            <w:vAlign w:val="bottom"/>
            <w:vMerge w:val="restart"/>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equity method investments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$17.2 million change in gain (loss) from equity method investments during the three months ended March 31, 2025 compared to the same period last year was primarily driven by $10.8 million gain related to our acquisition of Linksys in the three months ended March 31, 2025 and $6.4 million loss due to our proportionate share of Linksys’ financial results including our share of the amortization of the basis differences in the three months ended March 31, 2024. Refer to Note 6. Business Combinations in Part I, Item 1 of this Quarterly Report on Form 10-Q for information on our acquisition of Linksys.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974"/>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300" w:type="dxa"/>
            <w:vAlign w:val="bottom"/>
            <w:tcBorders>
              <w:bottom w:val="single" w:sz="8" w:color="auto"/>
            </w:tcBorders>
          </w:tcPr>
          <w:p>
            <w:pPr>
              <w:spacing w:after="0"/>
              <w:rPr>
                <w:sz w:val="18"/>
                <w:szCs w:val="18"/>
                <w:color w:val="auto"/>
              </w:rPr>
            </w:pP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300" w:type="dxa"/>
            <w:vAlign w:val="bottom"/>
          </w:tcPr>
          <w:p>
            <w:pPr>
              <w:jc w:val="center"/>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0"/>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7"/>
        </w:trPr>
        <w:tc>
          <w:tcPr>
            <w:tcW w:w="8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58"/>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3"/>
                <w:szCs w:val="13"/>
                <w:color w:val="auto"/>
              </w:rPr>
            </w:pPr>
          </w:p>
        </w:tc>
        <w:tc>
          <w:tcPr>
            <w:tcW w:w="130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09"/>
        </w:trPr>
        <w:tc>
          <w:tcPr>
            <w:tcW w:w="8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4"/>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3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Liquidity and capital resources are primarily impacted by our operating activities, as well as real estate purchases, other capital expenditures and business acquisitions, payment of taxes in connection with the net settlement of equity awards and proceeds from the issuance of common stock and investment grade debt and repurchases of our common stock.</w:t>
      </w:r>
    </w:p>
    <w:p>
      <w:pPr>
        <w:spacing w:after="0" w:line="19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tariffs and other trade restrictions, international conflicts, including the war in Ukraine or tensions between China and Taiwan, an increase in installment billing, and our ability to execute. We expect proceeds from the exercise of stock options in future years to continue to be impacted by the increased mix of restricted stock units and performance stock units versus stock options granted to our employees and to vary based on our share price.</w:t>
      </w:r>
    </w:p>
    <w:p>
      <w:pPr>
        <w:spacing w:after="0" w:line="21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There were no shares repurchased under the Repurchase Program during the three months ended March 31, 2025. As of March 31, 2025, approximately $2.03 billion remained available for future share repurchases. Refer to Note 11. Equity Plans and Share Repurchase Program and Note 15. Subsequent Events in Part I, Item 1 of this Quarterly Report on Form 10-Q for information regarding our repurchases of 4.6 million shares of our common stock for an aggregate purchase price of $401.1 million under the Repurchase Program, subsequent to March 31, 2025 through the filing of this Quarterly Report on Form 10-Q.</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expect to continue to increase our data centers, PoPs, office and warehouse capacity to support growth and the expansion of existing services or introduction of new services. As we purchase new properties, we will work to incorporate these properties into the environmental goals we have established. We estimate capital expenditures to be between approximately $380.0 million and $430.0 million in 2025.</w:t>
      </w:r>
    </w:p>
    <w:p>
      <w:pPr>
        <w:spacing w:after="0" w:line="20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cash provided by operating activities, together with our existing cash, cash equivalents and investments will be sufficient to meet our anticipated cash needs and do not currently intend to retire our Senior Notes early. Refer to Note 9. Debt in Part I, Item 1 of this Quarterly Report on Form 10-Q for information on the Senior Notes. As of March 31, 2025, the current portion of long-term debt and long-term debt, net of unamortized discount and debt issuance costs, were $994.9 million.</w:t>
      </w:r>
    </w:p>
    <w:p>
      <w:pPr>
        <w:spacing w:after="0" w:line="20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w:t>
      </w:r>
    </w:p>
    <w:p>
      <w:pPr>
        <w:spacing w:after="0" w:line="201"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18"/>
          <w:szCs w:val="18"/>
          <w:color w:val="auto"/>
        </w:rPr>
        <w:t>These inventory purchase commitments as of March 31, 2025 totaled $689.0 million, an increase of $97.9 million compared to $591.1 million as of December 31, 2024 due to fulfillment of customer demand as our supply availability improved and our continued efforts to work with contract manufacturers and suppliers to optimize our inventory and purchase commitments position. We record a liability for inventory purchase commitments in excess of our future demand forecasts consistent with the valuation of our excess and obsolete inventory. As of March 31, 2025 and December 31, 2024, the liability for these inventory purchase commitments was $47.5 million and $54.0 million, respectively, and was recorded in accrued liabilities on our condensed consolidated balance sheets.</w:t>
      </w:r>
    </w:p>
    <w:p>
      <w:pPr>
        <w:spacing w:after="0" w:line="211"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8"/>
          <w:szCs w:val="18"/>
          <w:color w:val="auto"/>
        </w:rPr>
        <w:t>Inventory and supply chain management remain areas of focus as we balance the need to maintain supply chain flexibility to help ensure 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spacing w:after="0" w:line="213" w:lineRule="exact"/>
        <w:rPr>
          <w:sz w:val="20"/>
          <w:szCs w:val="20"/>
          <w:color w:val="auto"/>
        </w:rPr>
      </w:pPr>
    </w:p>
    <w:p>
      <w:pPr>
        <w:jc w:val="both"/>
        <w:ind w:right="580" w:firstLine="648"/>
        <w:spacing w:after="0" w:line="236" w:lineRule="auto"/>
        <w:rPr>
          <w:sz w:val="20"/>
          <w:szCs w:val="20"/>
          <w:color w:val="auto"/>
        </w:rPr>
      </w:pPr>
      <w:r>
        <w:rPr>
          <w:rFonts w:ascii="Times New Roman" w:cs="Times New Roman" w:eastAsia="Times New Roman" w:hAnsi="Times New Roman"/>
          <w:sz w:val="18"/>
          <w:szCs w:val="18"/>
          <w:color w:val="auto"/>
        </w:rPr>
        <w:t>We also have open purchase orders and contractual obligations in the ordinary course of business for which we have not received goods or services. As of March 31, 2025, we had $94.7 million in other contractual commitments having a remaining term in excess of one year that are non-cancelable.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significant changes to our leases as disclosed in our Annual Report on Form 10-K for the year ended December 31, 2024.</w:t>
      </w:r>
    </w:p>
    <w:p>
      <w:pPr>
        <w:spacing w:after="0" w:line="2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our cash, cash equivalents and short-term and long-term investments of $4.82 billion were invested primarily in deposit accounts, commercial paper, corporate debt securities, U.S. government and agency securities, certificates of deposit and term deposits, money market funds and marketable equity securities. It is our investment policy to invest excess cash in a manner that preserves capital, provides liquidity, and generates return without significantly increasing risk. We believe that we have sufficient liquidity to meet our operating requirements for at least the next twelve months and thereafter for the foreseeable future, including our foreseeable future supply obligations, debt repayment, capital expenditures and share repurchases.</w:t>
      </w:r>
    </w:p>
    <w:p>
      <w:pPr>
        <w:spacing w:after="0" w:line="21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amount of cash, cash equivalents and investments held by our international subsidiaries was $228.8 million as of March 31, 2025 and $207.8 million as of December 31, 2024.</w:t>
      </w:r>
    </w:p>
    <w:p>
      <w:pPr>
        <w:spacing w:after="0" w:line="175"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and debt retirement;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the war in Ukraine and tensions between China and Taiwan.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2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accounts receivable—net, deferred contract costs, accrued liabilities, deferred revenue, inventory, deferred tax assets and accounts payable.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Our operating activities during the three months ended March 31, 2025 provided cash flows of $863.3 million as a result of the continued growth of our business, improved profitability and our ability to successfully manage our working capital. Changes in operating assets and liabilities were primarily driven by a decrease of $303.9 million in accounts receivable—net during three months ended March 31, 2025. Due to seasonality, our billings are highest in the fourth quarter, as such, our collections are highest in the first quarter of the year. In addition, changes in operating assets and liabilities were driven by an increase of $91.3 million in deferred contract costs, an increase of $63.7 million in accrued liabilities, an increase of $57.0 million in our deferred revenue, an increase of $34.1 million in inventory, an increase of $30.0 million in deferred tax assets and an increase of $24.6 million in accounts payable.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ind w:right="380" w:firstLine="648"/>
        <w:spacing w:after="0" w:line="261"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investments in various companies and business acquisitions. Historically,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spacing w:after="0" w:line="207"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used in investing activities was $110.8 million, primarily driven by $66.5 million used for the purchases of property and equipment, $33.3 million spent for purchases of investments, net of maturities and sales of investments and $11.2 million used for the acquisition of Linksys, net of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repurchase and retirement of common stock, and taxes paid related to net share settlement of equity awards, net of proceeds from the issuance of common stock under the Amended Plan.</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cash used in financing activities was $32.7 million, driven by $32.7 million used to pay tax withholding, net of proceeds from the issuance of common stock.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during the three months ended March 31, 2025 compared to the disclosures in Part II, Item 7A of the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9"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March 31, 2025.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4"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March 31, 2025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or 15d-15(f) under the Exchange Act) during the quarter ended March 31, 2025,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10. Commitments and Contingencies in Part I, Item 1 of this Quarterly Report on Form 10-Q for additional information.</w:t>
      </w: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Financial Position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likely to vary significantly and be unpredictable.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62" w:lineRule="exact"/>
        <w:rPr>
          <w:sz w:val="20"/>
          <w:szCs w:val="20"/>
          <w:color w:val="auto"/>
        </w:rPr>
      </w:pPr>
    </w:p>
    <w:p>
      <w:pPr>
        <w:ind w:left="1300" w:right="8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including macroeconomic and regional economic challenges resulting, for example, from a recession, tariffs, disruptions of global supply chains or other economic downturn, increased inflation or possible stagflation in certain geographies, changing interest rates, the war in Ukraine, tensions between China and Taiwan, or other factors;</w:t>
      </w:r>
    </w:p>
    <w:p>
      <w:pPr>
        <w:spacing w:after="0" w:line="202"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strategy, productivity, retention and execution, and our ability to attract and retain new end-customers or sell additional products and services to our existing end-customers, including customer demand for platform solutions like ours versus point solutions;</w:t>
      </w:r>
    </w:p>
    <w:p>
      <w:pPr>
        <w:spacing w:after="0" w:line="188" w:lineRule="exact"/>
        <w:rPr>
          <w:rFonts w:ascii="Times New Roman" w:cs="Times New Roman" w:eastAsia="Times New Roman" w:hAnsi="Times New Roman"/>
          <w:sz w:val="18"/>
          <w:szCs w:val="18"/>
          <w:color w:val="auto"/>
        </w:rPr>
      </w:pPr>
    </w:p>
    <w:p>
      <w:pPr>
        <w:ind w:left="1300" w:right="78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anticipate market changes related to cloud-based solutions and to sell, support and meet service level agreements related to cloud-based solutions;</w:t>
      </w:r>
    </w:p>
    <w:p>
      <w:pPr>
        <w:spacing w:after="0" w:line="188" w:lineRule="exact"/>
        <w:rPr>
          <w:rFonts w:ascii="Times New Roman" w:cs="Times New Roman" w:eastAsia="Times New Roman" w:hAnsi="Times New Roman"/>
          <w:sz w:val="18"/>
          <w:szCs w:val="18"/>
          <w:color w:val="auto"/>
        </w:rPr>
      </w:pPr>
    </w:p>
    <w:p>
      <w:pPr>
        <w:ind w:left="1300" w:right="140" w:hanging="644"/>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component shortages, including chips and other components, and product inventory shortages, including those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 including future inventory purchase commitments;</w:t>
      </w:r>
    </w:p>
    <w:p>
      <w:pPr>
        <w:spacing w:after="0" w:line="252"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 increase backlog or future inventory purchase commitments and lead to price decreases;</w:t>
      </w:r>
    </w:p>
    <w:p>
      <w:pPr>
        <w:spacing w:after="0" w:line="188"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or regulatory cost increases and any lack of market acceptance of our price increases designed to help offset any supplier or regulatory cost increases;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42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 or changes in shipping terms;</w:t>
      </w:r>
    </w:p>
    <w:p>
      <w:pPr>
        <w:spacing w:after="0" w:line="188" w:lineRule="exact"/>
        <w:rPr>
          <w:rFonts w:ascii="Times New Roman" w:cs="Times New Roman" w:eastAsia="Times New Roman" w:hAnsi="Times New Roman"/>
          <w:sz w:val="18"/>
          <w:szCs w:val="18"/>
          <w:color w:val="auto"/>
        </w:rPr>
      </w:pPr>
    </w:p>
    <w:p>
      <w:pPr>
        <w:jc w:val="both"/>
        <w:ind w:left="1300" w:right="12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the global economy, disruption of global supply chains and creation of significant volatility and disruption of the financial markets due to factors such as tariffs and policy disputes, increased inflation or possible stagflation in certain geographies, changing interest rates, the war in Ukraine, tensions between China and Taiwan and other factors;</w:t>
      </w:r>
    </w:p>
    <w:p>
      <w:pPr>
        <w:spacing w:after="0" w:line="202" w:lineRule="exact"/>
        <w:rPr>
          <w:rFonts w:ascii="Times New Roman" w:cs="Times New Roman" w:eastAsia="Times New Roman" w:hAnsi="Times New Roman"/>
          <w:sz w:val="18"/>
          <w:szCs w:val="18"/>
          <w:color w:val="auto"/>
        </w:rPr>
      </w:pPr>
    </w:p>
    <w:p>
      <w:pPr>
        <w:ind w:left="1300" w:right="20" w:hanging="644"/>
        <w:spacing w:after="0" w:line="281" w:lineRule="auto"/>
        <w:tabs>
          <w:tab w:leader="none" w:pos="12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w:t>
      </w:r>
    </w:p>
    <w:p>
      <w:pPr>
        <w:spacing w:after="0" w:line="191" w:lineRule="exact"/>
        <w:rPr>
          <w:rFonts w:ascii="Times New Roman" w:cs="Times New Roman" w:eastAsia="Times New Roman" w:hAnsi="Times New Roman"/>
          <w:sz w:val="17"/>
          <w:szCs w:val="17"/>
          <w:color w:val="auto"/>
        </w:rPr>
      </w:pPr>
    </w:p>
    <w:p>
      <w:pPr>
        <w:ind w:left="1300" w:right="28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compromising of our internal enterprise IT networks, our operational networks, our research and development networks, our back-end labs and cloud stacks hosted in our data centers or PoPs, colocation vendors or public cloud providers, and resulting harm to public perception of our products and services;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spacing w:after="0" w:line="202" w:lineRule="exact"/>
        <w:rPr>
          <w:rFonts w:ascii="Times New Roman" w:cs="Times New Roman" w:eastAsia="Times New Roman" w:hAnsi="Times New Roman"/>
          <w:sz w:val="18"/>
          <w:szCs w:val="18"/>
          <w:color w:val="auto"/>
        </w:rPr>
      </w:pPr>
    </w:p>
    <w:p>
      <w:pPr>
        <w:jc w:val="both"/>
        <w:ind w:left="1300" w:right="60" w:hanging="644"/>
        <w:spacing w:after="0" w:line="266"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negative impact on results of operations from any acquisition or equity investment, as well as integration risks related to product plans and products and risks of negative impact by such acquisitions and equity investments on our financial results;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of our operational performance relating to our sustainability commitments;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customer agreements which contain service-level agreements, under which we guarantee specified availability of our platform and solutions;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and evolving data and other security requirements and enforcement across certain jurisdictions;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as a result of certain events or changes in circumstances;</w:t>
      </w:r>
    </w:p>
    <w:p>
      <w:pPr>
        <w:spacing w:after="0" w:line="252"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and the mix of revenue between products and services, as well as the degree to which products and services are bundled and sold together for a package price;</w:t>
      </w:r>
    </w:p>
    <w:p>
      <w:pPr>
        <w:spacing w:after="0" w:line="188"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purchasing practices and budgeting cycles of our channel partners and end-customers, including the effect of the end of product lifecycles, refresh cycles or price decreases;</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decreases in demand by channel partners or end-customers, including any such decreases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06" w:lineRule="exact"/>
        <w:rPr>
          <w:rFonts w:ascii="Times New Roman" w:cs="Times New Roman" w:eastAsia="Times New Roman" w:hAnsi="Times New Roman"/>
          <w:sz w:val="18"/>
          <w:szCs w:val="18"/>
          <w:color w:val="auto"/>
        </w:rPr>
      </w:pPr>
    </w:p>
    <w:p>
      <w:pPr>
        <w:ind w:left="1300" w:right="16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organization, generally or in a particular geographic region, including the time it takes to hire sales personnel, the timing of hiring and our ability to hire and retain effective sales personnel, our efforts to align our sales capacity and productivity with market demand and any negative impact to our sales and the effectiveness of our sales team based on changes to sales compensation or to our sales compensation plan;</w:t>
      </w:r>
    </w:p>
    <w:p>
      <w:pPr>
        <w:spacing w:after="0" w:line="206" w:lineRule="exact"/>
        <w:rPr>
          <w:rFonts w:ascii="Times New Roman" w:cs="Times New Roman" w:eastAsia="Times New Roman" w:hAnsi="Times New Roman"/>
          <w:sz w:val="18"/>
          <w:szCs w:val="18"/>
          <w:color w:val="auto"/>
        </w:rPr>
      </w:pPr>
    </w:p>
    <w:p>
      <w:pPr>
        <w:ind w:left="1300" w:hanging="644"/>
        <w:spacing w:after="0" w:line="261"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320"/>
        <w:spacing w:after="0" w:line="282" w:lineRule="auto"/>
        <w:rPr>
          <w:sz w:val="20"/>
          <w:szCs w:val="20"/>
          <w:color w:val="auto"/>
        </w:rPr>
      </w:pPr>
      <w:r>
        <w:rPr>
          <w:rFonts w:ascii="Times New Roman" w:cs="Times New Roman" w:eastAsia="Times New Roman" w:hAnsi="Times New Roman"/>
          <w:sz w:val="18"/>
          <w:szCs w:val="18"/>
          <w:color w:val="auto"/>
        </w:rPr>
        <w:t>and unpredictability of timing to close larger enterprise and large organization deals, and the risk that our sales representatives do not effectively sell products and services;</w:t>
      </w:r>
    </w:p>
    <w:p>
      <w:pPr>
        <w:spacing w:after="0" w:line="189" w:lineRule="exact"/>
        <w:rPr>
          <w:sz w:val="20"/>
          <w:szCs w:val="20"/>
          <w:color w:val="auto"/>
        </w:rPr>
      </w:pPr>
    </w:p>
    <w:p>
      <w:pPr>
        <w:ind w:left="1300" w:hanging="644"/>
        <w:spacing w:after="0" w:line="261"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IoT and OT security opportunities and product refresh cycles;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buying patterns of our end-customers;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9" w:lineRule="auto"/>
        <w:tabs>
          <w:tab w:leader="none" w:pos="129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spacing w:after="0" w:line="184" w:lineRule="exact"/>
        <w:rPr>
          <w:rFonts w:ascii="Times New Roman" w:cs="Times New Roman" w:eastAsia="Times New Roman" w:hAnsi="Times New Roman"/>
          <w:sz w:val="17"/>
          <w:szCs w:val="17"/>
          <w:color w:val="auto"/>
        </w:rPr>
      </w:pPr>
    </w:p>
    <w:p>
      <w:pPr>
        <w:ind w:left="1300" w:right="10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our investments in sales and marketing, and the impact of such investments on our operating expenses, operating margin and the productivity, capacity, tenure and effectiveness of execution of our sales and marketing teams;</w:t>
      </w:r>
    </w:p>
    <w:p>
      <w:pPr>
        <w:spacing w:after="0" w:line="16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requirements, market needs or buying practices and patterns of our distributors, resellers or end-customers;</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 including those related to tariffs;</w:t>
      </w:r>
    </w:p>
    <w:p>
      <w:pPr>
        <w:spacing w:after="0" w:line="175" w:lineRule="exact"/>
        <w:rPr>
          <w:rFonts w:ascii="Times New Roman" w:cs="Times New Roman" w:eastAsia="Times New Roman" w:hAnsi="Times New Roman"/>
          <w:sz w:val="18"/>
          <w:szCs w:val="18"/>
          <w:color w:val="auto"/>
        </w:rPr>
      </w:pPr>
    </w:p>
    <w:p>
      <w:pPr>
        <w:jc w:val="both"/>
        <w:ind w:left="1300" w:right="300" w:hanging="644"/>
        <w:spacing w:after="0" w:line="266"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caused by 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existing laws and regulations;</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permits, clearances and certifications that are applicable to our ability to conduct business with the U.S. federal government, other foreign and local governments and other industries and sectors;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litigation fees and costs, settlements, judgments and other equitable and legal relief granted related to litigation;</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cloud-based and hosted security solutions, including increased demand for such services and uncertainty associated with transition to providing such services, on our billings, revenue, operating margins and free cash flow;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00" w:right="66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our market, including the competitive pressure caused by product refresh cycles and inventory levels;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both increase revenue and manage and control operating expenses in order to maintain or improve our operating margins;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or attach rates for our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our billings, collection for our contracts or the contractual term of service sold;</w:t>
      </w:r>
    </w:p>
    <w:p>
      <w:pPr>
        <w:spacing w:after="0" w:line="252"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 and the tax treatment of research and development expenses and the related impact of cash from operations;</w:t>
      </w:r>
    </w:p>
    <w:p>
      <w:pPr>
        <w:spacing w:after="0" w:line="188"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shift or migration from physical appliances that deliver on-premises network security to cloud and SaaS-based security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having insufficient financial resources to withstand changes and challenges in business conditions;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 including as a result of consolidation among distributors and resellers of security solutions;</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92" w:lineRule="exact"/>
        <w:rPr>
          <w:rFonts w:ascii="Times New Roman" w:cs="Times New Roman" w:eastAsia="Times New Roman" w:hAnsi="Times New Roman"/>
          <w:sz w:val="18"/>
          <w:szCs w:val="18"/>
          <w:color w:val="auto"/>
        </w:rPr>
      </w:pPr>
    </w:p>
    <w:p>
      <w:pPr>
        <w:ind w:left="1300" w:right="20" w:hanging="644"/>
        <w:spacing w:after="0" w:line="265"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geo-political instability and uncertainty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such as that caused by the war in Ukraine, tensions between China and Taiwan, and any disruption or negative impact on our ability to sell to, ship product to and support customers in certain regions based on trade restrictions, embargoes and export control law restrictions;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domestic and foreign markets;</w:t>
      </w:r>
    </w:p>
    <w:p>
      <w:pPr>
        <w:spacing w:after="0" w:line="252"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as well as the significant costs that may be incurred to adopt and comply with these new pronouncements;</w:t>
      </w:r>
    </w:p>
    <w:p>
      <w:pPr>
        <w:spacing w:after="0" w:line="188"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impairments or acceleration of depreciation of our existing real estate due to our current real estate investments and future acquisition and development plans; and</w:t>
      </w:r>
    </w:p>
    <w:p>
      <w:pPr>
        <w:spacing w:after="0" w:line="188"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such as with respect to privacy, information and cybersecurity, exports, the environment, regional component bans, and requirements for local manufacture.</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conditions, such as a possible recession and possible impacts of inflation or stagflation, tariffs or other trade disruptions, changing interest rates, reduced information technology spending, including firewall and other security spending, or any economic downturn or recession, may adversely impact our business.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tariffs or other trade disruptions, changing interest rates, geopolitical instability and uncertainty, a reduction in information technology spending regardless of macroeconomic conditions, the effects of epidemics and pandemics and the impact of the war in Ukraine or tensions between China and Taiwan could have a material adverse impacts on our financial condition and results of operations and our business, including resulting in longer sales cycles, lower prices for our products and services, increased component costs, higher default rates among our channel partners, reduced 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w:t>
      </w:r>
    </w:p>
    <w:p>
      <w:pPr>
        <w:spacing w:after="0" w:line="21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existence of inflation in certain economies has resulted in, and may continue to result in, changing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spacing w:after="0" w:line="20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withdraw from or materially modify international trade agreements, change tax provisions related to global manufacturing and sales or impose new tariffs, economic sanctions or related legislation, could adversely affect our financial condition and results of operations.</w:t>
      </w:r>
    </w:p>
    <w:p>
      <w:pPr>
        <w:spacing w:after="0" w:line="18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Given the international nature of our operations,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20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Moreover, efforts to implement changes related to export or import regulations (including the imposition of new or increased border taxes or tariffs on foreign imports), trade barriers, economic sanctions and other related policies could harm our results of operations. Recently, the United States has imposed additional import tariffs on certain goods from different countries. For example, earlier this year, the United States announced tariffs on imported goods from most countries, some of which have been temporarily suspended or adjusted from time to time. As a result, other countries have imposed retaliatory tariffs on goods exported from the United States and both the United States and foreign countries have threatened to alter or terminate current trade agreements. While we do not currently expect these tariffs to have a significant effect on our raw material and product import costs, if the United States expands increased tariffs, or if retaliatory trade measures are taken by other countries in response to the U.S. tariffs, the cost of our products could increase, our operations could be disrupted or we could be required to raise our prices, which may result in the loss of customers and harm to our reputation and operating performance. U.S. tariffs, and any new or additional retaliatory tariffs that may be imposed by foreign countries, may also adversely affect our customers and, consequently, demand for our products. The announcement of these tariffs has recently resulted in significant volatility in the stock market. We are monitoring this evolving situation and there can be no assurance that we will be able to mitigate the impacts of any trade measures on our business, which could adversely impact our business, operating results, financial condition, and our stock price.</w:t>
      </w:r>
    </w:p>
    <w:p>
      <w:pPr>
        <w:spacing w:after="0" w:line="21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Any modification in these areas, any shift in the enforcement or scope of existing regulations or any change in the countries, administrations,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revenue and free cash flow growth may slow or may not continue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and our operating margins may decline.</w:t>
      </w:r>
    </w:p>
    <w:p>
      <w:pPr>
        <w:spacing w:after="0" w:line="21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may experience slowing growth or a decrease in billings, revenue, operating margin and free cash flow for a number of reasons, including a slowdown in pipeline growth or for demand for our products or services generally, a shift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changing interest rates, as a result of regional conflicts,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spacing w:after="0" w:line="2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real estate investments, including construction, acquisition, development or leasing of new data centers, data center expansions or office buildings, could involve significant risks to our business.</w:t>
      </w:r>
    </w:p>
    <w:p>
      <w:pPr>
        <w:spacing w:after="0" w:line="18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order to sustain our growth in certain of our existing and new markets, we may acquire or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spacing w:after="0" w:line="207"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delays;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and delays for data center equipment, including items such as generators and switchgear;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budget changes;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prices for and delays in obtaining building supplies, raw materials and data center equipment;</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labor disputes and work stoppages with contractors, subcontractors and other third parties;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environmental or regulatory issues and geological problems;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permitting and approvals to open from public agencies and utility companies;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lack of power access or unexpected increases in power needs or connectivity;</w:t>
      </w:r>
    </w:p>
    <w:p>
      <w:pPr>
        <w:spacing w:after="0" w:line="252"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inability for any reason to meet customer requirements and service level agreements, and any resulting penalties or liabilities related thereto;</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expectations regarding sustainability;</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site readiness leading to our failure to meet commitments made to customers; and</w:t>
      </w:r>
    </w:p>
    <w:p>
      <w:pPr>
        <w:spacing w:after="0" w:line="252"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customer requirements that would necessitate alternative data center design, making our sites less desirable or leading to increased costs in order to make necessary modifications or retrofits.</w:t>
      </w:r>
    </w:p>
    <w:p>
      <w:pPr>
        <w:spacing w:after="0" w:line="189"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spacing w:after="0" w:line="193"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color w:val="auto"/>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w:t>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spacing w:after="0" w:line="20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w:t>
      </w:r>
    </w:p>
    <w:p>
      <w:pPr>
        <w:spacing w:after="0" w:line="2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2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28% of our total net accounts receivable as of March 31, 2025.</w:t>
      </w:r>
    </w:p>
    <w:p>
      <w:pPr>
        <w:spacing w:after="0" w:line="167"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A significant portion of our sales are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spacing w:after="0" w:line="214"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w:t>
      </w:r>
    </w:p>
    <w:p>
      <w:pPr>
        <w:spacing w:after="0" w:line="215"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18"/>
          <w:szCs w:val="18"/>
          <w:color w:val="auto"/>
        </w:rPr>
        <w:t>Six distributor customers who purchase directly from us accounted for 64% of our total net accounts receivable in the aggregate as of March 31, 2025. See Note 14. Segment Information in Part I, Item 1 of this Quarterly Report on Form 10-Q for distributor customers accounted for 10% or more of our revenue or net accounts receivable. Our largest distributors may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financial difficulties, face liquidity risk or other financial challenges, which may harm our ability to collect on our accounts receivable.</w:t>
      </w:r>
    </w:p>
    <w:p>
      <w:pPr>
        <w:spacing w:after="0" w:line="23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provide channel partners with specific programs to assist them with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1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22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or changes in shipping terms could cause our billings and revenue to fall below expected levels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spacing w:after="0" w:line="213"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anticipated purchase orders to materialize;</w:t>
      </w:r>
    </w:p>
    <w:p>
      <w:pPr>
        <w:spacing w:after="0" w:line="238" w:lineRule="exact"/>
        <w:rPr>
          <w:rFonts w:ascii="Times New Roman" w:cs="Times New Roman" w:eastAsia="Times New Roman" w:hAnsi="Times New Roman"/>
          <w:sz w:val="18"/>
          <w:szCs w:val="18"/>
          <w:color w:val="auto"/>
        </w:rPr>
      </w:pPr>
    </w:p>
    <w:p>
      <w:pPr>
        <w:ind w:left="1300" w:right="500" w:hanging="644"/>
        <w:spacing w:after="0" w:line="26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logistics partners’ failure or inability to ship products prior to quarter-end to fulfill purchase orders received near the end of the quarter;</w:t>
      </w:r>
    </w:p>
    <w:p>
      <w:pPr>
        <w:spacing w:after="0" w:line="189"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manufacturing or shipping based on power outages, system failures, labor disputes or constraints, excessive demand, natural disasters, geopolitical matters or widespread public health problems including pandemics and epidemics;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our inventory requirements and to appropriately manage inventory to meet demand;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new products 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systems related to order review and processing; and</w:t>
      </w:r>
    </w:p>
    <w:p>
      <w:pPr>
        <w:spacing w:after="0" w:line="23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shipments due to trade compliance requirements, labor disputes or logistics changes at shipping ports, airline strikes, severe weather or otherwise.</w:t>
      </w:r>
    </w:p>
    <w:p>
      <w:pPr>
        <w:spacing w:after="0" w:line="19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and other security subscriptions and FortiCare technical support services, and revenue from these services may decline or fluctuate. Because we recognize revenue from these services over the term of the relevant service period, downturns or upturns in sales of FortiGuard and other security subscriptions and FortiCare technical support services are not immediately reflected in full in our operating results.</w:t>
      </w:r>
    </w:p>
    <w:p>
      <w:pPr>
        <w:spacing w:after="0" w:line="19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Our FortiGuard and other security subscriptions and FortiCare technical support services revenue has historically accounted for a significant percentage of our total revenue. Revenue from the sale of new, or from the renewal of existing, FortiGuard and other security subscriptions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subscriptions and FortiCare technical support service contracts decline, our revenue and revenue growth may decrease and our business could suffer. In addition, in the event significant customers require payment terms for FortiGuard and other security subscriptions and FortiCare technical support services in arrears or for shorter periods of time than annually, such as monthly or quarterly, this may negatively impact our billings and revenue. Furthermore, we recognize FortiGuard and other security subscriptions and FortiCare technical support services revenue ratably over the term of the service period, which is typically from one to five years. As a result, much of the FortiGuard and other security subscriptions and FortiCare technical support services revenue we report each quarter is the recognition of deferred revenue from FortiGuard and other security subscriptions and FortiCare technical support service contracts entered into during previous quarters or years. Consequently, a decline in new or renewed FortiGuard and other security subscriptions and FortiCare technical support service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subscriptions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not maintain or improve our competitive position.</w:t>
      </w:r>
    </w:p>
    <w:p>
      <w:pPr>
        <w:spacing w:after="0" w:line="21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dynamic, and we expect competition to continue to intensify. We face many competitors across the different cybersecurity markets. Our competitors include companies such as Check Point Software Technologies Ltd., Cisco Systems, Inc. (“Cisco”), CrowdStrike Holdings, Inc. (“CrowdStrike”), F5 Networks, Inc., Hewlett-Packard Enterprise, Huawei Technologies Co., Ltd., Juniper Networks, Inc., Microsoft Corporation (“Microsoft”), Netskope Inc., Palo Alto Networks, Inc., SonicWALL, Inc., Sophos Group Plc, and Zscaler, Inc. (“Zscaler”).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of our existing and potential competitors enjoy competitive advantages such as:</w:t>
      </w:r>
    </w:p>
    <w:p>
      <w:pPr>
        <w:spacing w:after="0" w:line="198"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and/or longer operating histories;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expertise in certain single point solutions;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U.S. government relationships;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addition, certain of our larger competitors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security threat are often able to deliver these specialized security products to the market more quickly than we can.</w:t>
      </w:r>
    </w:p>
    <w:p>
      <w:pPr>
        <w:spacing w:after="0" w:line="19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16"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February 2025, our Chief Financial Officer, Keith Jensen, announced his upcoming retirement after 11 years at Fortinet.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21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indebtedness and may incur other debt in the future, which may adversely affect our financial condition and future financial results.</w:t>
      </w:r>
    </w:p>
    <w:p>
      <w:pPr>
        <w:spacing w:after="0" w:line="254" w:lineRule="exact"/>
        <w:rPr>
          <w:sz w:val="20"/>
          <w:szCs w:val="20"/>
          <w:color w:val="auto"/>
        </w:rPr>
      </w:pPr>
    </w:p>
    <w:p>
      <w:pPr>
        <w:ind w:right="320" w:firstLine="648"/>
        <w:spacing w:after="0" w:line="250" w:lineRule="auto"/>
        <w:rPr>
          <w:sz w:val="20"/>
          <w:szCs w:val="20"/>
          <w:color w:val="auto"/>
        </w:rPr>
      </w:pPr>
      <w:r>
        <w:rPr>
          <w:rFonts w:ascii="Times New Roman" w:cs="Times New Roman" w:eastAsia="Times New Roman" w:hAnsi="Times New Roman"/>
          <w:sz w:val="18"/>
          <w:szCs w:val="18"/>
          <w:color w:val="auto"/>
        </w:rPr>
        <w:t>As of March 31, 2025, we had an aggregate of $994.9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spacing w:after="0" w:line="204"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to competitive pressures and to adverse economic and industry conditions;</w:t>
      </w:r>
    </w:p>
    <w:p>
      <w:pPr>
        <w:spacing w:after="0" w:line="238"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from operations to service our indebtedness, thereby reducing the amount of expected cash flow available for other purposes, including capital expenditures, share repurchases and acquisitions; and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our industries.</w:t>
      </w:r>
    </w:p>
    <w:p>
      <w:pPr>
        <w:spacing w:after="0" w:line="23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in the future to service our debt, we may be required, among other things, to seek additional financing in the debt or equity markets, refinance or restructure all or a portion of our indebtedness, sell selected assets or reduce or delay planned capital, operating or investment expenditures. Such measures may not be sufficient to enable us to service our debt.</w:t>
      </w:r>
    </w:p>
    <w:p>
      <w:pPr>
        <w:spacing w:after="0" w:line="204" w:lineRule="exact"/>
        <w:rPr>
          <w:sz w:val="20"/>
          <w:szCs w:val="20"/>
          <w:color w:val="auto"/>
        </w:rPr>
      </w:pPr>
    </w:p>
    <w:p>
      <w:pPr>
        <w:jc w:val="both"/>
        <w:ind w:right="60" w:firstLine="648"/>
        <w:spacing w:after="0"/>
        <w:rPr>
          <w:sz w:val="20"/>
          <w:szCs w:val="20"/>
          <w:color w:val="auto"/>
        </w:rPr>
      </w:pPr>
      <w:r>
        <w:rPr>
          <w:rFonts w:ascii="Times New Roman" w:cs="Times New Roman" w:eastAsia="Times New Roman" w:hAnsi="Times New Roman"/>
          <w:sz w:val="18"/>
          <w:szCs w:val="18"/>
          <w:color w:val="auto"/>
        </w:rPr>
        <w:t>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w:t>
      </w:r>
    </w:p>
    <w:p>
      <w:pPr>
        <w:spacing w:after="0" w:line="21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spacing w:after="0" w:line="21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Sales and End-Customers</w:t>
      </w:r>
    </w:p>
    <w:p>
      <w:pPr>
        <w:spacing w:after="0" w:line="2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45"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204" w:lineRule="exact"/>
        <w:rPr>
          <w:sz w:val="20"/>
          <w:szCs w:val="20"/>
          <w:color w:val="auto"/>
        </w:rPr>
      </w:pPr>
    </w:p>
    <w:p>
      <w:pPr>
        <w:ind w:left="1300" w:hanging="644"/>
        <w:spacing w:after="0" w:line="239"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chain or in manufacturing or shipping, or decreases in demand by channel partners or end-customers, including any such disruption or decreases caused by factors outside of our control such as international trade disputes or tariffs, labor or supply chain disruptions, inflation and other cost increases, international conflicts, terrorism, wars, such as the war in Ukraine, tensions between China and Taiwan, critical infrastructure attacks, natural disasters, health emergencies, epidemics and pandemics, power outages and civil unrest;</w:t>
      </w:r>
    </w:p>
    <w:p>
      <w:pPr>
        <w:spacing w:after="0" w:line="211" w:lineRule="exact"/>
        <w:rPr>
          <w:rFonts w:ascii="Times New Roman" w:cs="Times New Roman" w:eastAsia="Times New Roman" w:hAnsi="Times New Roman"/>
          <w:sz w:val="18"/>
          <w:szCs w:val="18"/>
          <w:color w:val="auto"/>
        </w:rPr>
      </w:pPr>
    </w:p>
    <w:p>
      <w:pPr>
        <w:jc w:val="both"/>
        <w:ind w:left="1300" w:hanging="644"/>
        <w:spacing w:after="0" w:line="296" w:lineRule="auto"/>
        <w:tabs>
          <w:tab w:leader="none" w:pos="129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spacing w:after="0" w:line="165" w:lineRule="exact"/>
        <w:rPr>
          <w:rFonts w:ascii="Times New Roman" w:cs="Times New Roman" w:eastAsia="Times New Roman" w:hAnsi="Times New Roman"/>
          <w:sz w:val="17"/>
          <w:szCs w:val="17"/>
          <w:color w:val="auto"/>
        </w:rPr>
      </w:pPr>
    </w:p>
    <w:p>
      <w:pPr>
        <w:ind w:left="1300" w:right="40" w:hanging="644"/>
        <w:spacing w:after="0" w:line="266"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changes in trade agreements, tariffs and conflicts such as the war in Ukraine, tensions between China and Taiwan and any expansions thereof, could adversely affect our business and financial performance;</w:t>
      </w:r>
    </w:p>
    <w:p>
      <w:pPr>
        <w:spacing w:after="0" w:line="189"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foreign markets, such as any economic instability caused by economic downturns or recessions, could adversely affect our business and financial performance;</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including longer collection periods;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processes for larger deals;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IP rights in some countries;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24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89" w:lineRule="exact"/>
        <w:rPr>
          <w:rFonts w:ascii="Times New Roman" w:cs="Times New Roman" w:eastAsia="Times New Roman" w:hAnsi="Times New Roman"/>
          <w:sz w:val="18"/>
          <w:szCs w:val="18"/>
          <w:color w:val="auto"/>
        </w:rPr>
      </w:pPr>
    </w:p>
    <w:p>
      <w:pPr>
        <w:ind w:left="1300" w:right="94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48" w:lineRule="exact"/>
        <w:rPr>
          <w:rFonts w:ascii="Times New Roman" w:cs="Times New Roman" w:eastAsia="Times New Roman" w:hAnsi="Times New Roman"/>
          <w:sz w:val="18"/>
          <w:szCs w:val="18"/>
          <w:color w:val="auto"/>
        </w:rPr>
      </w:pPr>
    </w:p>
    <w:p>
      <w:pPr>
        <w:ind w:left="1300" w:right="60" w:hanging="644"/>
        <w:spacing w:after="0"/>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the Digital Operational Resilience Act (“DORA”), import and export control laws, trade laws and regulations, tariffs and retaliatory measures, trade barriers and economic sanctions;</w:t>
      </w:r>
    </w:p>
    <w:p>
      <w:pPr>
        <w:spacing w:after="0" w:line="211" w:lineRule="exact"/>
        <w:rPr>
          <w:rFonts w:ascii="Times New Roman" w:cs="Times New Roman" w:eastAsia="Times New Roman" w:hAnsi="Times New Roman"/>
          <w:sz w:val="18"/>
          <w:szCs w:val="18"/>
          <w:color w:val="auto"/>
        </w:rPr>
      </w:pPr>
    </w:p>
    <w:p>
      <w:pPr>
        <w:ind w:left="1300" w:right="280" w:hanging="644"/>
        <w:spacing w:after="0" w:line="266"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89" w:lineRule="exact"/>
        <w:rPr>
          <w:rFonts w:ascii="Times New Roman" w:cs="Times New Roman" w:eastAsia="Times New Roman" w:hAnsi="Times New Roman"/>
          <w:sz w:val="18"/>
          <w:szCs w:val="18"/>
          <w:color w:val="auto"/>
        </w:rPr>
      </w:pPr>
    </w:p>
    <w:p>
      <w:pPr>
        <w:jc w:val="both"/>
        <w:ind w:left="1300" w:right="200" w:hanging="644"/>
        <w:spacing w:after="0" w:line="250"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2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changes and uncertainty associated with terrorism, hostilities, war or natural disasters;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tariff, employment and other laws.</w:t>
      </w:r>
    </w:p>
    <w:p>
      <w:pPr>
        <w:spacing w:after="0" w:line="18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218"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45"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right="18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38" w:lineRule="exact"/>
        <w:rPr>
          <w:rFonts w:ascii="Times New Roman" w:cs="Times New Roman" w:eastAsia="Times New Roman" w:hAnsi="Times New Roman"/>
          <w:sz w:val="18"/>
          <w:szCs w:val="18"/>
          <w:color w:val="auto"/>
        </w:rPr>
      </w:pPr>
    </w:p>
    <w:p>
      <w:pPr>
        <w:ind w:left="1300" w:right="140" w:hanging="644"/>
        <w:spacing w:after="0" w:line="250"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49" w:lineRule="exact"/>
        <w:rPr>
          <w:rFonts w:ascii="Times New Roman" w:cs="Times New Roman" w:eastAsia="Times New Roman" w:hAnsi="Times New Roman"/>
          <w:sz w:val="18"/>
          <w:szCs w:val="18"/>
          <w:color w:val="auto"/>
        </w:rPr>
      </w:pPr>
    </w:p>
    <w:p>
      <w:pPr>
        <w:ind w:left="1300" w:right="88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89"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deals are delayed and that substantial time and resources may be spent on a potential end-customer that elects not to purchase our products and services;</w:t>
      </w:r>
    </w:p>
    <w:p>
      <w:pPr>
        <w:spacing w:after="0" w:line="189"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from these customers that we have certain third-party security or other certifications, which we may not have, the lack of which may adversely affect our ability to successfully sell to such customers;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timing to close large deals and any delays in closing those deals;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ramp-up periods for enterprise sales personnel as compared to other sales personnel.</w:t>
      </w:r>
    </w:p>
    <w:p>
      <w:pPr>
        <w:spacing w:after="0" w:line="19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18"/>
          <w:szCs w:val="18"/>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22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spacing w:after="0" w:line="19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spacing w:after="0" w:line="204"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spacing w:after="0" w:line="213"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Some of our sales are to government organizations, which subjects us to a number of regulatory requirements, their own supply chain constraints and contractual requirements, challenges and risks.</w:t>
      </w:r>
    </w:p>
    <w:p>
      <w:pPr>
        <w:spacing w:after="0" w:line="199"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spacing w:after="0" w:line="20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89" w:lineRule="exact"/>
        <w:rPr>
          <w:sz w:val="20"/>
          <w:szCs w:val="20"/>
          <w:color w:val="auto"/>
        </w:rPr>
      </w:pPr>
    </w:p>
    <w:p>
      <w:pPr>
        <w:ind w:left="1300" w:right="200" w:hanging="644"/>
        <w:spacing w:after="0" w:line="250"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spacing w:after="0" w:line="203" w:lineRule="exact"/>
        <w:rPr>
          <w:rFonts w:ascii="Times New Roman" w:cs="Times New Roman" w:eastAsia="Times New Roman" w:hAnsi="Times New Roman"/>
          <w:sz w:val="18"/>
          <w:szCs w:val="18"/>
          <w:color w:val="auto"/>
        </w:rPr>
      </w:pPr>
    </w:p>
    <w:p>
      <w:pPr>
        <w:ind w:left="1300" w:right="100" w:hanging="644"/>
        <w:spacing w:after="0" w:line="237"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 For example, the newly formed Department of Government Efficiency (“DOGE”) has implemented new policies and oversight mechanisms aimed at reducing federal expenditures, streamlining procurement, and increasing operational efficiency. DOGE has reduced the number of federal employees and agencies. Our business operations, contract awards, and revenue streams are subject to DOGE actions, which may introduce risks to our financial performance and strategic growth. In addition, DOGE could eliminate or reduce the operations of an agency that we work with, terminate employees with whom we have business relations with or cancel or modify a contract with us. Any failure to comply with DOGE actions, shifts in federal procurement strategies, or budgetary reductions imposed by the agency could adversely impact our financial results, competitive positioning, and overall business operations; and</w:t>
      </w:r>
    </w:p>
    <w:p>
      <w:pPr>
        <w:spacing w:after="0" w:line="212"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including tariff and trade disputes, government shutdowns, impact of the war in Ukraine, tensions between China and Taiwan, trade protectionism and other political dynamics that may adversely affect our ability to sell in certain locations or obtain the requisite permits and clearances required for certain purchases by government organizations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addition, if we do not have certain certifications, this may restrict our ability to sell to certain customers until we have obtained certain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spacing w:after="0" w:line="208"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w:t>
      </w:r>
    </w:p>
    <w:p>
      <w:pPr>
        <w:spacing w:after="0" w:line="217"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Services, Industry and Customers</w:t>
      </w:r>
    </w:p>
    <w:p>
      <w:pPr>
        <w:spacing w:after="0" w:line="23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errors or vulnerabilities, including critical vulnerabilities, in our products or services, the failure of our products or services to detect or prevent a security incident or the misuse of our products could harm our and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operational results and reputation.</w:t>
      </w:r>
    </w:p>
    <w:p>
      <w:pPr>
        <w:spacing w:after="0" w:line="185"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18"/>
          <w:szCs w:val="18"/>
          <w:color w:val="auto"/>
        </w:rPr>
        <w:t>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Additionally, any perception that our products have vulnerabilities, whether or not accurate, and any actual vulnerabilities may harm our operational results and reputation, more significantly as compared to other companies in other industries.</w:t>
      </w:r>
    </w:p>
    <w:p>
      <w:pPr>
        <w:spacing w:after="0" w:line="21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For example, we recently discovered, and subsequently released to customers an advisory update and patch for, a critical vulnerability in our FortiManager product. We are subject to various risks due to the FortiManager vulnerability, including reputational harm, adverse impacts to customer relationships, potential litigation, and additional regulatory scrutiny, which could negatively impact our business, operating results and financial condition. There can be no assurance that posts on our FortiGuard Labs website, including with respect to the recently announced FortiManager vulnerability, will be sufficiently timely, accurate or complete or that those customers will see such posts or take steps to mitigate the risk of vulnerabilities, and certain customers may be negatively impacted.</w:t>
      </w:r>
    </w:p>
    <w:p>
      <w:pPr>
        <w:spacing w:after="0" w:line="21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Further, customers may choose not to apply patches in a timely manner for business or operational reasons, or may neglect to upgrade at all and may run unpatched or unsupported devices against our guidance and industry best practice. Such lack of action to remediate known product vulnerabilities in the customer environment could negatively impact their own security posture, increasing the likelihood of exploitation and negatively impacting our reputation. Our networks and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products, including cloud-based technology, could be targeted by attacks specifically designed to disrupt our business and harm our operational results and reputation.</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subscriptions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1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including critical vulnerabilities, in our products, or misuse of our products, could result in:</w:t>
      </w:r>
    </w:p>
    <w:p>
      <w:pPr>
        <w:spacing w:after="0" w:line="172" w:lineRule="exact"/>
        <w:rPr>
          <w:sz w:val="20"/>
          <w:szCs w:val="20"/>
          <w:color w:val="auto"/>
        </w:rPr>
      </w:pPr>
    </w:p>
    <w:p>
      <w:pPr>
        <w:ind w:left="1300" w:right="120" w:hanging="644"/>
        <w:spacing w:after="0" w:line="26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and product development resources in efforts to analyze, correct, eliminate or work around errors or defects or to address and eliminate vulnerabilities;</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existing or potential end-customers or channel partners;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harm to our reputation; and</w:t>
      </w:r>
    </w:p>
    <w:p>
      <w:pPr>
        <w:spacing w:after="0" w:line="184" w:lineRule="exact"/>
        <w:rPr>
          <w:rFonts w:ascii="Times New Roman" w:cs="Times New Roman" w:eastAsia="Times New Roman" w:hAnsi="Times New Roman"/>
          <w:sz w:val="18"/>
          <w:szCs w:val="18"/>
          <w:color w:val="auto"/>
        </w:rPr>
      </w:pPr>
    </w:p>
    <w:p>
      <w:pPr>
        <w:ind w:left="1300" w:right="640" w:hanging="644"/>
        <w:spacing w:after="0" w:line="266" w:lineRule="auto"/>
        <w:tabs>
          <w:tab w:leader="none" w:pos="12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litigation, regulatory inquiries or investigations that may be costly and harm our reputation and, in some instances, subject us to potential liability that is not contractually limited.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enterprise IT networks, on which we conduct internal business and interface externally, our operational networks, through which we</w:t>
      </w:r>
    </w:p>
    <w:p>
      <w:pPr>
        <w:spacing w:after="0" w:line="28"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connect to customers</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spacing w:after="0" w:line="213"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AI, and malicious parties may use AI to help attack our solutions, systems, and our customers.</w:t>
      </w:r>
    </w:p>
    <w:p>
      <w:pPr>
        <w:spacing w:after="0" w:line="214"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including critical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spacing w:after="0" w:line="214"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subscriptions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spacing w:after="0" w:line="218"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spacing w:after="0" w:line="2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We order components from third-party manufacturers based on our forecasts of future demand and targeted inventory levels, which exposes us to the risk of product shortages, which may result in lost sales, higher expenses and excess inventory, which may require us to sell our products at discounts and lead to inventory charges or write-offs.</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labor disruption, tariffs, cyber events, international trade disputes, international conflicts, terrorism, wars or other foreign conflicts, such as the war in Ukraine or tensions between China and Taiwan, and critical infrastructure attacks, our business and financial results could be materially and adversely impacted. The conflicts in the Middle East highlights potential risks associated with geopolitical instability in the region, including disruption to shipping routes, longer lead times for components and products, increased insurance costs for vessels passing through conflict zones, 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response to component shortages in previous periods, we increased our purchase order commitments. Our suppliers have in some instances and may in the future require us to accept or pay for components and finished goods regardless of our level of sales in a particular period, which may negatively or unpredictably impact our operating results and financial condition. For additional information and a further discussion of impacts and risks related to our purchase commitments with our suppliers, refer to Note 10. Commitments and Contingencies in Part I, Item 1 of this Quarterly Report on Form 10-Q.</w:t>
      </w:r>
    </w:p>
    <w:p>
      <w:pPr>
        <w:spacing w:after="0" w:line="208"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2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products, services and enhancements do not achieve sufficient market acceptance, our results of operations and competitive position will suffer.</w:t>
      </w:r>
    </w:p>
    <w:p>
      <w:pPr>
        <w:spacing w:after="0" w:line="172"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services or enhancements could fail to attain sufficient market acceptance for many reasons, including:</w:t>
      </w:r>
    </w:p>
    <w:p>
      <w:pPr>
        <w:spacing w:after="0" w:line="18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services or enhancements to the market;</w:t>
      </w:r>
    </w:p>
    <w:p>
      <w:pPr>
        <w:spacing w:after="0" w:line="19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and service functionality and to supply products and services that meet this demand in a timely fashion;</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the appropriate research and development expertise and focus to make our top strategic products and services successful;</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 and services;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and services by our competitors;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requirements around security;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or services incorporating open source software.</w:t>
      </w:r>
    </w:p>
    <w:p>
      <w:pPr>
        <w:spacing w:after="0" w:line="198" w:lineRule="exact"/>
        <w:rPr>
          <w:sz w:val="20"/>
          <w:szCs w:val="20"/>
          <w:color w:val="auto"/>
        </w:rPr>
      </w:pPr>
    </w:p>
    <w:p>
      <w:pPr>
        <w:jc w:val="both"/>
        <w:ind w:right="240" w:firstLine="648"/>
        <w:spacing w:after="0" w:line="242" w:lineRule="auto"/>
        <w:rPr>
          <w:sz w:val="20"/>
          <w:szCs w:val="20"/>
          <w:color w:val="auto"/>
        </w:rPr>
      </w:pPr>
      <w:r>
        <w:rPr>
          <w:rFonts w:ascii="Times New Roman" w:cs="Times New Roman" w:eastAsia="Times New Roman" w:hAnsi="Times New Roman"/>
          <w:sz w:val="18"/>
          <w:szCs w:val="18"/>
          <w:color w:val="auto"/>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spacing w:after="0" w:line="21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7"/>
          <w:szCs w:val="17"/>
          <w:color w:val="auto"/>
        </w:rPr>
        <w:t>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w:t>
      </w:r>
    </w:p>
    <w:p>
      <w:pPr>
        <w:spacing w:after="0" w:line="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w:t>
      </w:r>
    </w:p>
    <w:p>
      <w:pPr>
        <w:spacing w:after="0" w:line="19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products from multiple vendors.</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4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2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additionally third-party manufacturing cost increases and changes in the geopolitical environment could result in lower gross margins and free cash flow.</w:t>
      </w:r>
    </w:p>
    <w:p>
      <w:pPr>
        <w:spacing w:after="0" w:line="18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Accton,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tariffs, international conflicts, terrorism, wars or other foreign conflicts, such as the war in Ukraine or tensions between China and Taiwan,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approximately 93% of our hardware is manufactured in Taiwan. Any increase in tensions between China and Taiwan, including threats of military actions or escalation of military activities, could adversely affect our manufacturing operations in Taiwan, which, given the large percentage of our hardware that is manufactured in Taiwan, could have significant impacts on our business and operations.</w:t>
      </w:r>
    </w:p>
    <w:p>
      <w:pPr>
        <w:spacing w:after="0" w:line="17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72"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models to us, or requires us to find an alternate supplier and we are not able to do so on a timely and reasonable basis, or if these foundries materially increase their prices for fabrication of our ASICs, our business would be harmed.</w:t>
      </w:r>
    </w:p>
    <w:p>
      <w:pPr>
        <w:spacing w:after="0" w:line="18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2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8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Central Processing Units from Intel Corporation (“Intel”) and Advanced Micro Devices, Inc., network and wireless chips from Broadcom Inc., Marvell Technology Group Ltd., Qualcomm Incorporated and Intel, and memory devices from Intel, Micron Technology, ADATA Technology Co., Ltd., Toshiba Corporation, Samsung Electronics Co., Ltd. and Western Digital Technologies, Inc.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17"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spacing w:after="0" w:line="214"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IP;</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 and</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ship products on a timely basis.</w:t>
      </w:r>
    </w:p>
    <w:p>
      <w:pPr>
        <w:spacing w:after="0" w:line="198"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spacing w:after="0" w:line="17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sales prices of our products and services may decrease, which may reduce our gross profits and operating margin and may adversely impact our financial results and the trading price of our common stock.</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20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72"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212"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False positive detection of legitimate non-malicious files as viruses or malware or false identification of legitimate emails as spam, could adversely affect our business.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FortiGuard and other security subscription services may falsely detect, report and act on viruses or other threats that do not actually exist. This risk is heightened by the inclusion of heuristics, ML or AI features in our products, which attempt to identify viruses and other threats not based on any known signatures but based on characteristics or anomalies that may indicate that a particular item is a threat. 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4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our cloud-based subscription services does not meet our service-level commitments to our customers, our current and future revenue may be negatively impacted.</w:t>
      </w:r>
    </w:p>
    <w:p>
      <w:pPr>
        <w:spacing w:after="0" w:line="17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Systems and Technology</w:t>
      </w:r>
    </w:p>
    <w:p>
      <w:pPr>
        <w:spacing w:after="0" w:line="225"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5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 of customer purchase orders received through email and electronic data interchange. Due to the use of manual processes and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211"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existing systems, processes, and controls may not prevent or detect all errors, omissions, or fraud.</w:t>
      </w:r>
    </w:p>
    <w:p>
      <w:pPr>
        <w:spacing w:after="0" w:line="212"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8" w:lineRule="exact"/>
        <w:rPr>
          <w:sz w:val="20"/>
          <w:szCs w:val="20"/>
          <w:color w:val="auto"/>
        </w:rPr>
      </w:pPr>
    </w:p>
    <w:p>
      <w:pPr>
        <w:jc w:val="both"/>
        <w:ind w:right="40" w:firstLine="648"/>
        <w:spacing w:after="0" w:line="239" w:lineRule="auto"/>
        <w:rPr>
          <w:sz w:val="20"/>
          <w:szCs w:val="20"/>
          <w:color w:val="auto"/>
        </w:rPr>
      </w:pPr>
      <w:r>
        <w:rPr>
          <w:rFonts w:ascii="Times New Roman" w:cs="Times New Roman" w:eastAsia="Times New Roman" w:hAnsi="Times New Roman"/>
          <w:sz w:val="18"/>
          <w:szCs w:val="18"/>
          <w:color w:val="auto"/>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maintaining and expanding our internal business management systems.</w:t>
      </w:r>
    </w:p>
    <w:p>
      <w:pPr>
        <w:spacing w:after="0" w:line="21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artificial intelligence initiatives, which could adversely affect our business, reputation, or financial results</w:t>
      </w:r>
      <w:r>
        <w:rPr>
          <w:rFonts w:ascii="Times New Roman" w:cs="Times New Roman" w:eastAsia="Times New Roman" w:hAnsi="Times New Roman"/>
          <w:sz w:val="21"/>
          <w:szCs w:val="21"/>
          <w:b w:val="1"/>
          <w:bCs w:val="1"/>
          <w:i w:val="1"/>
          <w:iCs w:val="1"/>
          <w:color w:val="auto"/>
        </w:rPr>
        <w:t>.</w:t>
      </w:r>
    </w:p>
    <w:p>
      <w:pPr>
        <w:spacing w:after="0" w:line="26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AI presents new risks and challenges that may affect our business. We have made, and expect to continue to make investments to integrate AI and ML technology into our solutions, as evidenced by our acquisition of Lacework. AI presents risks, challenges, and potentially unintended consequences that could impact our ability to effectively use of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 could impair our ability to compete effectively and adversely affect our financial results. Data practices by us or others that result in controversy could also impair the acceptance of AI solutions. This in turn could undermine confidence in the decisions, predictions, analysis, and effectiveness of our AI-related initiatives. The rapid evolution of AI, including potential government regulation of AI, may require significant additional resources related to AI in our solutions. Our AI-related initiatives may result in new or enhanced governmental or regulatory 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(hallucinations) or flawed, or contains copyrighted or other protected material, and if our customers or others use this flawed content to their detriment,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technology in our IT infrastructure could improve internal process but poses security and privacy risks.</w:t>
      </w:r>
    </w:p>
    <w:p>
      <w:pPr>
        <w:spacing w:after="0" w:line="25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adoption of AI in internal processes presents an opportunity to bolster decision making, productivity and customer satisfaction, but the new technology poses risks. AI can be exploited by hackers and malicious actors to develop advanced cyberattacks, bypass security measures, and exploit system vulnerabilities. The use of AI involves handling large amounts of data. If the security measures around the usage of AI are insufficient, there’s risk of data breaches, leading to unauthorized access to sensitive information. Failure to comply with data protection regulations (such as GDPR or the California Consumer Privacy Act (the “CCPA”) and DORA) can result in legal consequences. 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the AI models by us or our vendors, could result in legal risk, especially if it involves customer data. Other risks that have been observed in AI models and documented, include risks related to bias, discrimination, job displacements, and violating human rights.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and we may be subject to claims by others that we infringe their propriety technology.</w:t>
      </w:r>
    </w:p>
    <w:p>
      <w:pPr>
        <w:spacing w:after="0" w:line="21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5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2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open-source software components, and failure to comply with the terms of the underlying open-source software licenses could restrict our ability to sell our products or result in loss of IP.</w:t>
      </w:r>
    </w:p>
    <w:p>
      <w:pPr>
        <w:spacing w:after="0" w:line="14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1"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as well as general commercial litigation, such as the Alorica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21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Financial Position</w:t>
      </w:r>
    </w:p>
    <w:p>
      <w:pPr>
        <w:spacing w:after="0" w:line="23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spacing w:after="0" w:line="188"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technologies or IP, such as patents, and to make equity investments in businesses coupled with strategic alliances. For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development practices, procedures and policies. For example, we may experience difficulties integrating an acquired company’s ERP or CRM systems, SaaS delivery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results of certain businesses that we invest in are, or may in the future, be reflected in our operating results, and we depend on these companies to provide us financial information in a timely manner in order to meet our financial reporting requirements. 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spacing w:after="0" w:line="22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end-customers or negatively impact our ability to contract.</w:t>
      </w:r>
    </w:p>
    <w:p>
      <w:pPr>
        <w:spacing w:after="0" w:line="17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(the “Framework”) following certain changes to U.S. law intended to address the concerns underlying that court decision with respect to transfers of personal data to the United States. As of December 2024,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updates to U.S. law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spacing w:after="0" w:line="215"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Additionally, we may be subject to other legal regimes throughout the world governing data handling, protection and privacy. For example, in June 2018, California passed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Selling our solutions to governments, both within the U.S and internationally, whether directly or through channel partners, also subjects us to certain regulatory and contractual requirements, government permit and clearance requirements and 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198"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spacing w:after="0" w:line="259"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color w:val="auto"/>
        </w:rPr>
        <w:t>These laws, regulations and other requirements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restrictions on sales, and that could impair our ability to compete in international markets.</w:t>
      </w:r>
    </w:p>
    <w:p>
      <w:pPr>
        <w:spacing w:after="0" w:line="17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4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laws relating to our real property and future expansion plans and laws concerning the recycling of</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p>
    <w:p>
      <w:pPr>
        <w:spacing w:after="0" w:line="21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spacing w:after="0" w:line="205"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in articles and in complex objects. The SCIP database is established under the WFD and managed by the European Chemicals Agency. We have incurred costs in order to comply with this new requirement. Similar laws and regulations have been passed or are pending in the European Economic Area and the UK.</w:t>
      </w:r>
    </w:p>
    <w:p>
      <w:pPr>
        <w:spacing w:after="0" w:line="212"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Additional regulations involving single-use plastics in packaging resulting in import taxes in certain countries in the EU have resulted in additional costs to source appropriate packaging for hardware. Alternatively, for our cloud based systems, new EU energy efficiency laws relating to the power usage effectiveness of data centers will require us to source specific data centers or retrofit existing ones to meet the stringent energy efficiency requirements.</w:t>
      </w:r>
    </w:p>
    <w:p>
      <w:pPr>
        <w:spacing w:after="0" w:line="204"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spacing w:after="0" w:line="22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corporate responsibility and sustainability factors may impose additional costs and expose us to new risks.</w:t>
      </w:r>
    </w:p>
    <w:p>
      <w:pPr>
        <w:spacing w:after="0" w:line="17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Certain investors, employees, customers and other stakeholders have a focus on corporate responsibility. Some investors may use these non-financial performance factors to guide their investment strategies and, in some cases, may choose not to invest in us if they believe our policies and actions relating to corporate responsibility are inadequate. Investor demand for measurement of non-financial performance is addressed by third-party providers of sustainability assessment and ratings on companies. The criteria by which our corporate responsibility practices are assessed may change due to the constant evolution of the global sustainability landscape, which could result in greater expectations of us and cause us to undertake costly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initiatives to satisfy such new criteria.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standards set by various constituencies.</w:t>
      </w:r>
    </w:p>
    <w:p>
      <w:pPr>
        <w:spacing w:after="0" w:line="20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Furthermore, in the event that we communicate certain initiatives and goals regarding corporate responsibility and sustainability matters,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Finance, Accounting and Tax Matters</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deferred contract costs and commission expense, accounting for business combinations, contingent liabilities and accounting for income taxes.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 While we are not currently engaged in material hedging activities, we have been hedging currency exposures relating to certain balance sheet 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2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exposure to additional tax liabilities or impacts from the timing of tax payments.</w:t>
      </w:r>
    </w:p>
    <w:p>
      <w:pPr>
        <w:spacing w:after="0" w:line="172" w:lineRule="exact"/>
        <w:rPr>
          <w:sz w:val="20"/>
          <w:szCs w:val="20"/>
          <w:color w:val="auto"/>
        </w:rPr>
      </w:pPr>
    </w:p>
    <w:p>
      <w:pPr>
        <w:ind w:right="160" w:firstLine="648"/>
        <w:spacing w:after="0" w:line="296" w:lineRule="auto"/>
        <w:rPr>
          <w:sz w:val="20"/>
          <w:szCs w:val="20"/>
          <w:color w:val="auto"/>
        </w:rPr>
      </w:pPr>
      <w:r>
        <w:rPr>
          <w:rFonts w:ascii="Times New Roman" w:cs="Times New Roman" w:eastAsia="Times New Roman" w:hAnsi="Times New Roman"/>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66"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corporate tax rates;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of tax credits and/or tax deductions;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tax payments;</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38"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89" w:lineRule="exact"/>
        <w:rPr>
          <w:rFonts w:ascii="Times New Roman" w:cs="Times New Roman" w:eastAsia="Times New Roman" w:hAnsi="Times New Roman"/>
          <w:sz w:val="18"/>
          <w:szCs w:val="18"/>
          <w:color w:val="auto"/>
        </w:rPr>
      </w:pPr>
    </w:p>
    <w:p>
      <w:pPr>
        <w:ind w:left="1300" w:right="840" w:hanging="644"/>
        <w:spacing w:after="0" w:line="266" w:lineRule="auto"/>
        <w:tabs>
          <w:tab w:leader="none" w:pos="1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court decisions, tax rulings, and interpretations of or changes to tax laws, and regulations by international, federal or local governmental authorities.</w:t>
      </w:r>
    </w:p>
    <w:p>
      <w:pPr>
        <w:spacing w:after="0" w:line="189"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We have open tax years that could be subject to the examination by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condensed consolidated financial statements and may materially affect our financial results.</w:t>
      </w:r>
    </w:p>
    <w:p>
      <w:pPr>
        <w:spacing w:after="0" w:line="21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211"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21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216"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2024, our internal controls over financial reporting were effective, we cannot predict the outcome of our testing in</w:t>
      </w:r>
    </w:p>
    <w:p>
      <w:pPr>
        <w:spacing w:after="0" w:line="5"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8"/>
          <w:szCs w:val="18"/>
          <w:color w:val="auto"/>
        </w:rPr>
        <w:t>2025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w:t>
      </w:r>
    </w:p>
    <w:p>
      <w:pPr>
        <w:spacing w:after="0" w:line="2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or industry analysts stop publishing research or reports about our business, issue unfavorable commentary, downgrade our shares of common stock or publish inaccurate information, our stock price and trading volume could decline.</w:t>
      </w:r>
    </w:p>
    <w:p>
      <w:pPr>
        <w:spacing w:after="0" w:line="172"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share price to decline if our actual results do not match their projections. If one of these analysts were to publish inaccurate negative information about us or our business, our stock price could decline. Moreover, if securities analysts publish inaccurate positive information, stockholders could buy our stock and the stock price may later decline.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which may be exacerbated by share repurchases under our Share Repurchase Program.</w:t>
      </w:r>
    </w:p>
    <w:p>
      <w:pPr>
        <w:spacing w:after="0" w:line="243"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three months ended March 31, 2025, the closing price of our common stock ranged from $92.49 to $114.57 per share.</w:t>
      </w:r>
    </w:p>
    <w:p>
      <w:pPr>
        <w:spacing w:after="0" w:line="212"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67" w:lineRule="exact"/>
        <w:rPr>
          <w:sz w:val="20"/>
          <w:szCs w:val="20"/>
          <w:color w:val="auto"/>
        </w:rPr>
      </w:pPr>
    </w:p>
    <w:p>
      <w:pPr>
        <w:jc w:val="both"/>
        <w:ind w:right="700" w:firstLine="648"/>
        <w:spacing w:after="0" w:line="250"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1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72"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18"/>
          <w:szCs w:val="18"/>
          <w:color w:val="auto"/>
        </w:rPr>
        <w:t>In October 2024, our board of directors approved a $1.0 billion increase in the authorized stock repurchase amount under the Repurchase Program and extended the term of the Repurchase Program to February 28, 2026, bringing the aggregate amount authorized to be repurchased to $8.25 billion of our outstanding common stock through February 28, 2026. As of March 31, 2025, approximately $2.03 billion remained available for future share repurchases. Share repurchases under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spacing w:after="0" w:line="22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4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89" w:lineRule="exact"/>
        <w:rPr>
          <w:sz w:val="20"/>
          <w:szCs w:val="20"/>
          <w:color w:val="auto"/>
        </w:rPr>
      </w:pPr>
    </w:p>
    <w:p>
      <w:pPr>
        <w:ind w:left="1300" w:right="360" w:hanging="644"/>
        <w:spacing w:after="0" w:line="266"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4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98" w:lineRule="exact"/>
        <w:rPr>
          <w:rFonts w:ascii="Times New Roman" w:cs="Times New Roman" w:eastAsia="Times New Roman" w:hAnsi="Times New Roman"/>
          <w:sz w:val="18"/>
          <w:szCs w:val="18"/>
          <w:color w:val="auto"/>
        </w:rPr>
      </w:pPr>
    </w:p>
    <w:p>
      <w:pPr>
        <w:ind w:left="1300" w:right="260" w:hanging="644"/>
        <w:spacing w:after="0" w:line="266"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184" w:lineRule="exact"/>
        <w:rPr>
          <w:rFonts w:ascii="Times New Roman" w:cs="Times New Roman" w:eastAsia="Times New Roman" w:hAnsi="Times New Roman"/>
          <w:sz w:val="18"/>
          <w:szCs w:val="18"/>
          <w:color w:val="auto"/>
        </w:rPr>
      </w:pPr>
    </w:p>
    <w:p>
      <w:pPr>
        <w:ind w:left="1300" w:right="480" w:hanging="644"/>
        <w:spacing w:after="0" w:line="266" w:lineRule="auto"/>
        <w:tabs>
          <w:tab w:leader="none" w:pos="12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spacing w:after="0" w:line="21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5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4"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18"/>
          <w:szCs w:val="18"/>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professionals to advise and assist us on activist stockholder matters, including legal, financial, communications advisors and solicitation experts, which may negatively impact our future financial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 economic downturn, the possibility of a recession, inflation, changing interest rates, changes to government spending and regulations, and weakening product demand could adversely affect our business and financial performance.</w:t>
      </w:r>
    </w:p>
    <w:p>
      <w:pPr>
        <w:spacing w:after="0" w:line="185"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18"/>
          <w:szCs w:val="18"/>
          <w:color w:val="auto"/>
        </w:rPr>
        <w:t>Economic challenges caused by economic downturn, any resulting recession, inflation, GDP impact (both domestically and internationally) or change in interest rates can weaken and harm our financial position. The U.S. capital markets have experienced and continue to experience extreme volatility and disruption. Further deterioration of the macroeconomic environment and regulatory action may adversely affect our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 changes in trade policies and agreements and conflicts could adversely affect our business and financial performance.</w:t>
      </w:r>
    </w:p>
    <w:p>
      <w:pPr>
        <w:spacing w:after="0" w:line="24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Economic uncertainty in various global markets caused by political instability and conflict, such as the war in Ukraine or tensions between China and Taiwan has resulted, and may continue to result in weakened demand for our products and services and difficulty in forecasting our financial results and managing inventory levels. 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the transition in administrations, changing in the U.S. government’s trade policy and the United States’ ongoing trade disputes with Russia, China and other countries, including the United States’ tariffs, and any new or additional retaliatory tariffs from foreign countries. The continuing effect of any or all of these events could adversely impact demand for our products, harm our operations and weaken our financial results.</w:t>
      </w:r>
    </w:p>
    <w:p>
      <w:pPr>
        <w:spacing w:after="0" w:line="22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spacing w:after="0" w:line="18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18"/>
          <w:szCs w:val="18"/>
          <w:color w:val="auto"/>
        </w:rPr>
        <w:t>A significant natural disaster, such as an earthquake, drought, fire, power outage,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or tensions between China and Taiwan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4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spacing w:after="0" w:line="212"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41" w:lineRule="exact"/>
        <w:rPr>
          <w:sz w:val="20"/>
          <w:szCs w:val="20"/>
          <w:color w:val="auto"/>
        </w:rPr>
      </w:pPr>
    </w:p>
    <w:p>
      <w:pPr>
        <w:ind w:right="720" w:firstLine="648"/>
        <w:spacing w:after="0" w:line="250" w:lineRule="auto"/>
        <w:rPr>
          <w:sz w:val="20"/>
          <w:szCs w:val="20"/>
          <w:color w:val="auto"/>
        </w:rPr>
      </w:pPr>
      <w:r>
        <w:rPr>
          <w:rFonts w:ascii="Times New Roman" w:cs="Times New Roman" w:eastAsia="Times New Roman" w:hAnsi="Times New Roman"/>
          <w:sz w:val="18"/>
          <w:szCs w:val="18"/>
          <w:color w:val="auto"/>
        </w:rPr>
        <w:t>There were no shares repurchased under the Repurchase Program during the three months ended March 31, 2025. As of March 31, 2025, approximately $2.03 billion remained available for future share repurchases under the Repurchase Program.</w:t>
      </w:r>
    </w:p>
    <w:p>
      <w:pPr>
        <w:spacing w:after="0" w:line="200" w:lineRule="exact"/>
        <w:rPr>
          <w:sz w:val="20"/>
          <w:szCs w:val="20"/>
          <w:color w:val="auto"/>
        </w:rPr>
      </w:pPr>
    </w:p>
    <w:p>
      <w:pPr>
        <w:spacing w:after="0" w:line="2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43"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On March 7, 2025, Margrit Christiane Ohlgart, our Chief Accounting Officer, entered into a pre-arranged written stock sale plan in accordance with Rule 10b5-1 under the Exchange Act for the sale of shares of our common stock (the “Ohlgart Plan”) during an open trading window in accordance with our insider trading policy. The Ohlgart Plan is intended to satisfy the affirmative defense of Rule 10b5-1(c) under the Exchange Act. The Ohlgart Plan provides for the potential sale by Mrs. Ohlgart of net shares (which are not yet determinable) after shares are withheld to satisfy tax obligations upon vesting and settlement of RSUs and PSUs, in each case, at the market price, all between June 6, 2025 and September 5, 2026.</w:t>
      </w:r>
    </w:p>
    <w:p>
      <w:pPr>
        <w:spacing w:after="0" w:line="208"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On March 3, 2025, John Whittle, our Chief Operating Officer, entered into a pre-arranged written stock sale plan in accordance with Rule 10b5-1 under the Exchange Act for the sale of shares of our common stock (the “Whittle Plan”) during an open trading window in accordance with our insider trading policy. The Whittle Plan is intended to satisfy the affirmative defense of Rule 10b5-1(c) under the Exchange Act. The Whittle Plan provides for the potential sale by Mr. Whittle of up to 146,015 shares of our common stock, issued upon the exercise of vested stock options for shares of our common stock, at the market price, between June 2, 2025 and July 31, 2026.</w:t>
      </w:r>
    </w:p>
    <w:p>
      <w:pPr>
        <w:spacing w:after="0" w:line="21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Each of the Ohlgart Plan and the Whittle Plan (each, a “10b5-1 Plan,” and together, the “10b5-1 Plans”) includes a representation from Mrs. Ohlgart and Mr. Whittle, respectively, to the broker administering the plan that they were not in possession of any material nonpublic information regarding us or the securities subject to their respective 10b5-1 Plan at the time their respective 10b5-1 Plan was entered into. A similar representation was made to us in connection with the adoption of each 10b5-1 Plan under our insider trading policy. Those representations for each 10b5-1 Plan were made as of the respective date of adoption of the applicable 10b5-1 Plan, and speak only as of that date. In making those representations, there is no assurance with respect to any material nonpublic information of which Mrs. Ohlgart and Mr. Whittle, as applicable, were unaware, or with respect to any material nonpublic information acquired by Mrs. Ohlgart and Mr. Whittle or us, as applicable, after the date of each such representation.</w:t>
      </w: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Once executed, transactions under the 10b5-1 Plans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Mrs. Ohlgart or Mr. Whittle or our other officers or directors, or their affiliated entities.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4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5" w:lineRule="exact"/>
        <w:rPr>
          <w:sz w:val="20"/>
          <w:szCs w:val="20"/>
          <w:color w:val="auto"/>
        </w:rPr>
      </w:pPr>
    </w:p>
    <w:p>
      <w:pPr>
        <w:jc w:val="both"/>
        <w:ind w:left="6280"/>
        <w:spacing w:after="0"/>
        <w:tabs>
          <w:tab w:leader="none" w:pos="8420" w:val="left"/>
          <w:tab w:leader="none" w:pos="98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33655</wp:posOffset>
            </wp:positionV>
            <wp:extent cx="3145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00"/>
              </w:rPr>
              <w:t>*</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w:t>
            </w:r>
          </w:p>
        </w:tc>
        <w:tc>
          <w:tcPr>
            <w:tcW w:w="0" w:type="dxa"/>
            <w:vAlign w:val="bottom"/>
          </w:tcPr>
          <w:p>
            <w:pPr>
              <w:spacing w:after="0"/>
              <w:rPr>
                <w:sz w:val="1"/>
                <w:szCs w:val="1"/>
                <w:color w:val="auto"/>
              </w:rPr>
            </w:pPr>
          </w:p>
        </w:tc>
      </w:tr>
      <w:tr>
        <w:trPr>
          <w:trHeight w:val="27"/>
        </w:trPr>
        <w:tc>
          <w:tcPr>
            <w:tcW w:w="2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14(a), as adopted pursuant to Section 302 of the Sarbanes-Oxley Act of 2002</w:t>
            </w:r>
          </w:p>
        </w:tc>
        <w:tc>
          <w:tcPr>
            <w:tcW w:w="0" w:type="dxa"/>
            <w:vAlign w:val="bottom"/>
          </w:tcPr>
          <w:p>
            <w:pPr>
              <w:spacing w:after="0" w:line="20" w:lineRule="exact"/>
              <w:rPr>
                <w:sz w:val="1"/>
                <w:szCs w:val="1"/>
                <w:color w:val="auto"/>
              </w:rPr>
            </w:pPr>
          </w:p>
        </w:tc>
      </w:tr>
      <w:tr>
        <w:trPr>
          <w:trHeight w:val="161"/>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8"/>
                <w:szCs w:val="18"/>
                <w:color w:val="000000"/>
                <w:vertAlign w:val="superscript"/>
              </w:rPr>
              <w:t>#</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w:t>
            </w:r>
          </w:p>
        </w:tc>
        <w:tc>
          <w:tcPr>
            <w:tcW w:w="0" w:type="dxa"/>
            <w:vAlign w:val="bottom"/>
          </w:tcPr>
          <w:p>
            <w:pPr>
              <w:spacing w:after="0"/>
              <w:rPr>
                <w:sz w:val="1"/>
                <w:szCs w:val="1"/>
                <w:color w:val="auto"/>
              </w:rPr>
            </w:pPr>
          </w:p>
        </w:tc>
      </w:tr>
      <w:tr>
        <w:trPr>
          <w:trHeight w:val="161"/>
        </w:trPr>
        <w:tc>
          <w:tcPr>
            <w:tcW w:w="2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Section 1350, as adopted pursuant to Section 906 of the Sarbanes-Oxley Act of 2002</w:t>
            </w:r>
          </w:p>
        </w:tc>
        <w:tc>
          <w:tcPr>
            <w:tcW w:w="0" w:type="dxa"/>
            <w:vAlign w:val="bottom"/>
          </w:tcPr>
          <w:p>
            <w:pPr>
              <w:spacing w:after="0"/>
              <w:rPr>
                <w:sz w:val="1"/>
                <w:szCs w:val="1"/>
                <w:color w:val="auto"/>
              </w:rPr>
            </w:pPr>
          </w:p>
        </w:tc>
      </w:tr>
      <w:tr>
        <w:trPr>
          <w:trHeight w:val="20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4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256"/>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5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1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Cover Page Interactive Data File - the cover page from the Company’s Quarterly Report on</w:t>
            </w:r>
          </w:p>
        </w:tc>
        <w:tc>
          <w:tcPr>
            <w:tcW w:w="0" w:type="dxa"/>
            <w:vAlign w:val="bottom"/>
          </w:tcPr>
          <w:p>
            <w:pPr>
              <w:spacing w:after="0"/>
              <w:rPr>
                <w:sz w:val="1"/>
                <w:szCs w:val="1"/>
                <w:color w:val="auto"/>
              </w:rPr>
            </w:pPr>
          </w:p>
        </w:tc>
      </w:tr>
      <w:tr>
        <w:trPr>
          <w:trHeight w:val="188"/>
        </w:trPr>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Form 10-Q for the quarter ended March 31, 2025 is formatted in inline XBRL.</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9" w:lineRule="exact"/>
        <w:rPr>
          <w:sz w:val="20"/>
          <w:szCs w:val="20"/>
          <w:color w:val="auto"/>
        </w:rPr>
      </w:pPr>
    </w:p>
    <w:p>
      <w:pPr>
        <w:ind w:left="140" w:hanging="132"/>
        <w:spacing w:after="0"/>
        <w:tabs>
          <w:tab w:leader="none" w:pos="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ind w:left="100" w:hanging="92"/>
        <w:spacing w:after="0" w:line="195" w:lineRule="auto"/>
        <w:tabs>
          <w:tab w:leader="none" w:pos="10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279" w:right="6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2025</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383"/>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Ken Xie</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Ken Xie, Chief Executive Officer and Chairman</w:t>
            </w:r>
          </w:p>
        </w:tc>
        <w:tc>
          <w:tcPr>
            <w:tcW w:w="0" w:type="dxa"/>
            <w:vAlign w:val="bottom"/>
          </w:tcPr>
          <w:p>
            <w:pPr>
              <w:spacing w:after="0"/>
              <w:rPr>
                <w:sz w:val="1"/>
                <w:szCs w:val="1"/>
                <w:color w:val="auto"/>
              </w:rPr>
            </w:pPr>
          </w:p>
        </w:tc>
      </w:tr>
      <w:tr>
        <w:trPr>
          <w:trHeight w:val="302"/>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(Duly Authorized Officer and Principal Executive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Keith Jensen</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Keith Jensen, Chief Financial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Financial Officer)</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714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FORTINET, INC.</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06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By:</w:t>
            </w:r>
          </w:p>
        </w:tc>
        <w:tc>
          <w:tcPr>
            <w:tcW w:w="71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/s/  Christiane Ohlgart</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Christiane Ohlgart, Chief Accounting Officer</w:t>
            </w:r>
          </w:p>
        </w:tc>
        <w:tc>
          <w:tcPr>
            <w:tcW w:w="0" w:type="dxa"/>
            <w:vAlign w:val="bottom"/>
          </w:tcPr>
          <w:p>
            <w:pPr>
              <w:spacing w:after="0"/>
              <w:rPr>
                <w:sz w:val="1"/>
                <w:szCs w:val="1"/>
                <w:color w:val="auto"/>
              </w:rPr>
            </w:pPr>
          </w:p>
        </w:tc>
      </w:tr>
      <w:tr>
        <w:trPr>
          <w:trHeight w:val="315"/>
        </w:trPr>
        <w:tc>
          <w:tcPr>
            <w:tcW w:w="4060" w:type="dxa"/>
            <w:vAlign w:val="bottom"/>
          </w:tcPr>
          <w:p>
            <w:pPr>
              <w:spacing w:after="0"/>
              <w:rPr>
                <w:sz w:val="24"/>
                <w:szCs w:val="24"/>
                <w:color w:val="auto"/>
              </w:rPr>
            </w:pPr>
          </w:p>
        </w:tc>
        <w:tc>
          <w:tcPr>
            <w:tcW w:w="7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(Duly Authorized Officer and 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279" w:right="3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17145</wp:posOffset>
            </wp:positionV>
            <wp:extent cx="29229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Ken Xie</w:t>
      </w:r>
    </w:p>
    <w:p>
      <w:pPr>
        <w:spacing w:after="0" w:line="1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ind w:left="6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9229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Keith Jensen</w:t>
      </w:r>
    </w:p>
    <w:p>
      <w:pPr>
        <w:spacing w:after="0" w:line="1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Chief Financial Officer</w:t>
      </w:r>
    </w:p>
    <w:p>
      <w:pPr>
        <w:ind w:left="6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 ended March 31, 2025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 Xie</w:t>
            </w: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Xie</w:t>
            </w:r>
          </w:p>
        </w:tc>
      </w:tr>
      <w:tr>
        <w:trPr>
          <w:trHeight w:val="180"/>
        </w:trPr>
        <w:tc>
          <w:tcPr>
            <w:tcW w:w="3720" w:type="dxa"/>
            <w:vAlign w:val="bottom"/>
          </w:tcPr>
          <w:p>
            <w:pPr>
              <w:spacing w:after="0"/>
              <w:rPr>
                <w:sz w:val="15"/>
                <w:szCs w:val="15"/>
                <w:color w:val="auto"/>
              </w:rPr>
            </w:pPr>
          </w:p>
        </w:tc>
        <w:tc>
          <w:tcPr>
            <w:tcW w:w="2900" w:type="dxa"/>
            <w:vAlign w:val="bottom"/>
          </w:tcPr>
          <w:p>
            <w:pPr>
              <w:ind w:left="22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395"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 Keith Jensen, certify, pursuant to 18 U.S.C. Section 1350, as adopted pursuant to Section 906 of the Sarbanes-Oxley Act of 2002, that the Quarterly Report on Form 10-Q of Fortinet, Inc. for the quarter ended March 31, 2025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Jensen</w:t>
            </w:r>
          </w:p>
        </w:tc>
      </w:t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29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Jensen</w:t>
            </w:r>
          </w:p>
        </w:tc>
      </w:tr>
      <w:tr>
        <w:trPr>
          <w:trHeight w:val="180"/>
        </w:trPr>
        <w:tc>
          <w:tcPr>
            <w:tcW w:w="3720" w:type="dxa"/>
            <w:vAlign w:val="bottom"/>
          </w:tcPr>
          <w:p>
            <w:pPr>
              <w:spacing w:after="0"/>
              <w:rPr>
                <w:sz w:val="15"/>
                <w:szCs w:val="15"/>
                <w:color w:val="auto"/>
              </w:rPr>
            </w:pPr>
          </w:p>
        </w:tc>
        <w:tc>
          <w:tcPr>
            <w:tcW w:w="2900" w:type="dxa"/>
            <w:vAlign w:val="bottom"/>
          </w:tcPr>
          <w:p>
            <w:pPr>
              <w:ind w:left="22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90"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8"/>
    </w:lvl>
  </w:abstractNum>
  <w:abstractNum w:abstractNumId="9">
    <w:nsid w:val="2901D82"/>
    <w:multiLevelType w:val="hybridMultilevel"/>
    <w:lvl w:ilvl="0">
      <w:lvlJc w:val="left"/>
      <w:lvlText w:val="%1."/>
      <w:numFmt w:val="decimal"/>
      <w:start w:val="9"/>
    </w:lvl>
  </w:abstractNum>
  <w:abstractNum w:abstractNumId="10">
    <w:nsid w:val="3A95F874"/>
    <w:multiLevelType w:val="hybridMultilevel"/>
    <w:lvl w:ilvl="0">
      <w:lvlJc w:val="left"/>
      <w:lvlText w:val="%1."/>
      <w:numFmt w:val="decimal"/>
      <w:start w:val="10"/>
    </w:lvl>
  </w:abstractNum>
  <w:abstractNum w:abstractNumId="11">
    <w:nsid w:val="8138641"/>
    <w:multiLevelType w:val="hybridMultilevel"/>
    <w:lvl w:ilvl="0">
      <w:lvlJc w:val="left"/>
      <w:lvlText w:val="%1."/>
      <w:numFmt w:val="decimal"/>
      <w:start w:val="11"/>
    </w:lvl>
  </w:abstractNum>
  <w:abstractNum w:abstractNumId="12">
    <w:nsid w:val="1E7FF521"/>
    <w:multiLevelType w:val="hybridMultilevel"/>
    <w:lvl w:ilvl="0">
      <w:lvlJc w:val="left"/>
      <w:lvlText w:val="%1."/>
      <w:numFmt w:val="decimal"/>
      <w:start w:val="13"/>
    </w:lvl>
  </w:abstractNum>
  <w:abstractNum w:abstractNumId="13">
    <w:nsid w:val="7C3DBD3D"/>
    <w:multiLevelType w:val="hybridMultilevel"/>
    <w:lvl w:ilvl="0">
      <w:lvlJc w:val="left"/>
      <w:lvlText w:val="%1."/>
      <w:numFmt w:val="decimal"/>
      <w:start w:val="14"/>
    </w:lvl>
  </w:abstractNum>
  <w:abstractNum w:abstractNumId="14">
    <w:nsid w:val="737B8DDC"/>
    <w:multiLevelType w:val="hybridMultilevel"/>
    <w:lvl w:ilvl="0">
      <w:lvlJc w:val="left"/>
      <w:lvlText w:val="%1."/>
      <w:numFmt w:val="decimal"/>
      <w:start w:val="15"/>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2025-05-08T15:59:52Z</dcterms:created>
  <dcterms:modified xsi:type="dcterms:W3CDTF">2025-05-08T15:59:52Z</dcterms:modified>
</cp:coreProperties>
</file>