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9" w:lineRule="exact"/>
        <w:rPr>
          <w:sz w:val="24"/>
          <w:szCs w:val="24"/>
          <w:color w:val="auto"/>
        </w:rPr>
      </w:pPr>
    </w:p>
    <w:p>
      <w:pPr>
        <w:ind w:left="3700"/>
        <w:spacing w:after="0"/>
        <w:tabs>
          <w:tab w:leader="none" w:pos="69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921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49" w:lineRule="exact"/>
        <w:rPr>
          <w:sz w:val="24"/>
          <w:szCs w:val="24"/>
          <w:color w:val="auto"/>
        </w:rPr>
      </w:pPr>
    </w:p>
    <w:tbl>
      <w:tblPr>
        <w:tblLayout w:type="fixed"/>
        <w:tblInd w:w="1520" w:type="dxa"/>
        <w:tblCellMar>
          <w:top w:w="0" w:type="dxa"/>
          <w:left w:w="0" w:type="dxa"/>
          <w:bottom w:w="0" w:type="dxa"/>
          <w:right w:w="0" w:type="dxa"/>
        </w:tblCellMar>
      </w:tblPr>
      <w:tr>
        <w:trPr>
          <w:trHeight w:val="243"/>
        </w:trPr>
        <w:tc>
          <w:tcPr>
            <w:tcW w:w="6300" w:type="dxa"/>
            <w:vAlign w:val="bottom"/>
          </w:tcPr>
          <w:p>
            <w:pPr>
              <w:jc w:val="center"/>
              <w:ind w:left="2009"/>
              <w:spacing w:after="0"/>
              <w:rPr>
                <w:sz w:val="20"/>
                <w:szCs w:val="20"/>
                <w:color w:val="auto"/>
              </w:rPr>
            </w:pPr>
            <w:r>
              <w:rPr>
                <w:rFonts w:ascii="Arial" w:cs="Arial" w:eastAsia="Arial" w:hAnsi="Arial"/>
                <w:sz w:val="20"/>
                <w:szCs w:val="20"/>
                <w:b w:val="1"/>
                <w:bCs w:val="1"/>
                <w:color w:val="auto"/>
                <w:w w:val="89"/>
              </w:rPr>
              <w:t>Commission file number: 001-34511</w:t>
            </w:r>
          </w:p>
        </w:tc>
        <w:tc>
          <w:tcPr>
            <w:tcW w:w="1380" w:type="dxa"/>
            <w:vAlign w:val="bottom"/>
          </w:tcPr>
          <w:p>
            <w:pPr>
              <w:spacing w:after="0"/>
              <w:rPr>
                <w:sz w:val="21"/>
                <w:szCs w:val="21"/>
                <w:color w:val="auto"/>
              </w:rPr>
            </w:pPr>
          </w:p>
        </w:tc>
      </w:tr>
      <w:tr>
        <w:trPr>
          <w:trHeight w:val="167"/>
        </w:trPr>
        <w:tc>
          <w:tcPr>
            <w:tcW w:w="6300" w:type="dxa"/>
            <w:vAlign w:val="bottom"/>
          </w:tcPr>
          <w:p>
            <w:pPr>
              <w:jc w:val="center"/>
              <w:ind w:left="2009"/>
              <w:spacing w:after="0" w:line="167" w:lineRule="exact"/>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4"/>
                <w:szCs w:val="14"/>
                <w:color w:val="auto"/>
              </w:rPr>
            </w:pPr>
          </w:p>
        </w:tc>
      </w:tr>
      <w:tr>
        <w:trPr>
          <w:trHeight w:val="351"/>
        </w:trPr>
        <w:tc>
          <w:tcPr>
            <w:tcW w:w="6300" w:type="dxa"/>
            <w:vAlign w:val="bottom"/>
          </w:tcPr>
          <w:p>
            <w:pPr>
              <w:ind w:left="3120"/>
              <w:spacing w:after="0"/>
              <w:rPr>
                <w:sz w:val="20"/>
                <w:szCs w:val="20"/>
                <w:color w:val="auto"/>
              </w:rPr>
            </w:pPr>
            <w:r>
              <w:rPr>
                <w:rFonts w:ascii="Arial" w:cs="Arial" w:eastAsia="Arial" w:hAnsi="Arial"/>
                <w:sz w:val="29"/>
                <w:szCs w:val="29"/>
                <w:b w:val="1"/>
                <w:bCs w:val="1"/>
                <w:color w:val="auto"/>
              </w:rPr>
              <w:t>FORTINET, INC.</w:t>
            </w:r>
          </w:p>
        </w:tc>
        <w:tc>
          <w:tcPr>
            <w:tcW w:w="1380" w:type="dxa"/>
            <w:vAlign w:val="bottom"/>
          </w:tcPr>
          <w:p>
            <w:pPr>
              <w:spacing w:after="0"/>
              <w:rPr>
                <w:sz w:val="24"/>
                <w:szCs w:val="24"/>
                <w:color w:val="auto"/>
              </w:rPr>
            </w:pPr>
          </w:p>
        </w:tc>
      </w:tr>
      <w:tr>
        <w:trPr>
          <w:trHeight w:val="225"/>
        </w:trPr>
        <w:tc>
          <w:tcPr>
            <w:tcW w:w="6300" w:type="dxa"/>
            <w:vAlign w:val="bottom"/>
          </w:tcPr>
          <w:p>
            <w:pPr>
              <w:jc w:val="center"/>
              <w:ind w:left="198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80" w:type="dxa"/>
            <w:vAlign w:val="bottom"/>
          </w:tcPr>
          <w:p>
            <w:pPr>
              <w:spacing w:after="0"/>
              <w:rPr>
                <w:sz w:val="19"/>
                <w:szCs w:val="19"/>
                <w:color w:val="auto"/>
              </w:rPr>
            </w:pPr>
          </w:p>
        </w:tc>
      </w:tr>
      <w:tr>
        <w:trPr>
          <w:trHeight w:val="206"/>
        </w:trPr>
        <w:tc>
          <w:tcPr>
            <w:tcW w:w="6300" w:type="dxa"/>
            <w:vAlign w:val="bottom"/>
          </w:tcPr>
          <w:p>
            <w:pPr>
              <w:jc w:val="center"/>
              <w:ind w:left="2009"/>
              <w:spacing w:after="0"/>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7"/>
                <w:szCs w:val="17"/>
                <w:color w:val="auto"/>
              </w:rPr>
            </w:pPr>
          </w:p>
        </w:tc>
      </w:tr>
      <w:tr>
        <w:trPr>
          <w:trHeight w:val="587"/>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300" w:type="dxa"/>
            <w:vAlign w:val="bottom"/>
          </w:tcPr>
          <w:p>
            <w:pPr>
              <w:jc w:val="center"/>
              <w:ind w:right="350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92"/>
              </w:rPr>
              <w:t>incorporation or organization)</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4"/>
              </w:rPr>
              <w:t>1090 Kifer Road</w:t>
            </w:r>
          </w:p>
        </w:tc>
        <w:tc>
          <w:tcPr>
            <w:tcW w:w="1380" w:type="dxa"/>
            <w:vAlign w:val="bottom"/>
          </w:tcPr>
          <w:p>
            <w:pPr>
              <w:spacing w:after="0"/>
              <w:rPr>
                <w:sz w:val="24"/>
                <w:szCs w:val="24"/>
                <w:color w:val="auto"/>
              </w:rPr>
            </w:pPr>
          </w:p>
        </w:tc>
      </w:tr>
      <w:tr>
        <w:trPr>
          <w:trHeight w:val="234"/>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Sunnyvale, California</w:t>
            </w:r>
          </w:p>
        </w:tc>
        <w:tc>
          <w:tcPr>
            <w:tcW w:w="138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300" w:type="dxa"/>
            <w:vAlign w:val="bottom"/>
          </w:tcPr>
          <w:p>
            <w:pPr>
              <w:jc w:val="center"/>
              <w:ind w:left="2009"/>
              <w:spacing w:after="0"/>
              <w:rPr>
                <w:sz w:val="20"/>
                <w:szCs w:val="20"/>
                <w:color w:val="auto"/>
              </w:rPr>
            </w:pPr>
            <w:r>
              <w:rPr>
                <w:rFonts w:ascii="Arial" w:cs="Arial" w:eastAsia="Arial" w:hAnsi="Arial"/>
                <w:sz w:val="18"/>
                <w:szCs w:val="18"/>
                <w:b w:val="1"/>
                <w:bCs w:val="1"/>
                <w:color w:val="auto"/>
                <w:w w:val="90"/>
              </w:rPr>
              <w:t>(408) 235-7700</w:t>
            </w:r>
          </w:p>
        </w:tc>
        <w:tc>
          <w:tcPr>
            <w:tcW w:w="1380" w:type="dxa"/>
            <w:vAlign w:val="bottom"/>
          </w:tcPr>
          <w:p>
            <w:pPr>
              <w:spacing w:after="0"/>
              <w:rPr>
                <w:sz w:val="20"/>
                <w:szCs w:val="20"/>
                <w:color w:val="auto"/>
              </w:rPr>
            </w:pPr>
          </w:p>
        </w:tc>
      </w:tr>
      <w:tr>
        <w:trPr>
          <w:trHeight w:val="210"/>
        </w:trPr>
        <w:tc>
          <w:tcPr>
            <w:tcW w:w="6300" w:type="dxa"/>
            <w:vAlign w:val="bottom"/>
          </w:tcPr>
          <w:p>
            <w:pPr>
              <w:jc w:val="center"/>
              <w:ind w:left="198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194" w:lineRule="exact"/>
        <w:rPr>
          <w:sz w:val="24"/>
          <w:szCs w:val="24"/>
          <w:color w:val="auto"/>
        </w:rPr>
      </w:pPr>
    </w:p>
    <w:p>
      <w:pPr>
        <w:ind w:right="16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8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ind w:left="280" w:right="168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October 29, 2013, there were 163,460,178 shares of the registrant’s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8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September 30, 2013 and December 31, 2012</w:t>
              </w:r>
            </w:hyperlink>
          </w:p>
        </w:tc>
        <w:tc>
          <w:tcPr>
            <w:tcW w:w="29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and Nine Months Ended September 30, 2013 and 2012</w:t>
              </w:r>
            </w:hyperlink>
          </w:p>
        </w:tc>
        <w:tc>
          <w:tcPr>
            <w:tcW w:w="9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1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and Nine Months Ended September 30, 2013 and</w:t>
              </w:r>
            </w:hyperlink>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0" w:type="dxa"/>
            <w:vAlign w:val="bottom"/>
            <w:gridSpan w:val="2"/>
          </w:tcPr>
          <w:p>
            <w:pPr>
              <w:ind w:left="240"/>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2012</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Nine Months Ended September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920" w:type="dxa"/>
            <w:vAlign w:val="bottom"/>
            <w:tcBorders>
              <w:top w:val="single" w:sz="8" w:color="0000FF"/>
            </w:tcBorders>
            <w:gridSpan w:val="4"/>
          </w:tcPr>
          <w:p>
            <w:pPr>
              <w:spacing w:after="0"/>
              <w:rPr>
                <w:sz w:val="21"/>
                <w:szCs w:val="21"/>
                <w:color w:val="auto"/>
              </w:rPr>
            </w:pPr>
          </w:p>
        </w:tc>
        <w:tc>
          <w:tcPr>
            <w:tcW w:w="162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1"/>
                <w:szCs w:val="21"/>
                <w:color w:val="auto"/>
              </w:rPr>
            </w:pPr>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746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802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Exhibits</w:t>
              </w:r>
            </w:hyperlink>
          </w:p>
        </w:tc>
        <w:tc>
          <w:tcPr>
            <w:tcW w:w="700" w:type="dxa"/>
            <w:vAlign w:val="bottom"/>
            <w:gridSpan w:val="3"/>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66">
              <w:r>
                <w:rPr>
                  <w:rFonts w:ascii="Arial" w:cs="Arial" w:eastAsia="Arial" w:hAnsi="Arial"/>
                  <w:sz w:val="18"/>
                  <w:szCs w:val="18"/>
                  <w:color w:val="0000FF"/>
                  <w:w w:val="85"/>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48"/>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rPr>
              <w:t>FORTINET, INC.</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9"/>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81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49"/>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368,472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290,719</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107,642</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21,060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26,878</w:t>
            </w: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705,967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569,274</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325,892</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TAX ASSETS—Non-current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48,525</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1,128,142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22,263</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247,268</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319,304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115,917</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564</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464,563</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500"/>
              <w:spacing w:after="0"/>
              <w:rPr>
                <w:sz w:val="20"/>
                <w:szCs w:val="20"/>
                <w:color w:val="auto"/>
              </w:rPr>
            </w:pPr>
            <w:r>
              <w:rPr>
                <w:rFonts w:ascii="Arial" w:cs="Arial" w:eastAsia="Arial" w:hAnsi="Arial"/>
                <w:sz w:val="18"/>
                <w:szCs w:val="18"/>
                <w:color w:val="auto"/>
                <w:w w:val="90"/>
              </w:rPr>
              <w:t>Common stock, $0.001 par value — 300,000 shares authorized; 163,329 and 161,757 shares issued and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00" w:type="dxa"/>
            <w:vAlign w:val="bottom"/>
          </w:tcPr>
          <w:p>
            <w:pPr>
              <w:ind w:left="500"/>
              <w:spacing w:after="0"/>
              <w:rPr>
                <w:sz w:val="20"/>
                <w:szCs w:val="20"/>
                <w:color w:val="auto"/>
              </w:rPr>
            </w:pPr>
            <w:r>
              <w:rPr>
                <w:rFonts w:ascii="Arial" w:cs="Arial" w:eastAsia="Arial" w:hAnsi="Arial"/>
                <w:sz w:val="18"/>
                <w:szCs w:val="18"/>
                <w:color w:val="auto"/>
                <w:w w:val="89"/>
              </w:rPr>
              <w:t>163,329 and 160,348 shares outstanding as of September 30, 2013 and December 31, 2012, respectively</w:t>
            </w:r>
          </w:p>
        </w:tc>
        <w:tc>
          <w:tcPr>
            <w:tcW w:w="1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142,858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110,601</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510,934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1,128,142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69,687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194,162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177,923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197,332</w:t>
            </w: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437,947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382,477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66,997</w:t>
            </w: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37"/>
        </w:trPr>
        <w:tc>
          <w:tcPr>
            <w:tcW w:w="558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126,766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110,926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160,486</w:t>
            </w: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276,499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60,553</w:t>
            </w:r>
          </w:p>
        </w:tc>
        <w:tc>
          <w:tcPr>
            <w:tcW w:w="0" w:type="dxa"/>
            <w:vAlign w:val="bottom"/>
          </w:tcPr>
          <w:p>
            <w:pPr>
              <w:spacing w:after="0"/>
              <w:rPr>
                <w:sz w:val="1"/>
                <w:szCs w:val="1"/>
                <w:color w:val="auto"/>
              </w:rPr>
            </w:pPr>
          </w:p>
        </w:tc>
      </w:tr>
      <w:tr>
        <w:trPr>
          <w:trHeight w:val="243"/>
        </w:trPr>
        <w:tc>
          <w:tcPr>
            <w:tcW w:w="558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56,687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162,660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131,038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37"/>
        </w:trPr>
        <w:tc>
          <w:tcPr>
            <w:tcW w:w="558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92,490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263,734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211,064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68,726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23,397</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32,257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45,329</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162,906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158,751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162,150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157,416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80" w:type="dxa"/>
            <w:vAlign w:val="bottom"/>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168,666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166,791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168,054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166,127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2" w:right="29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45,329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w w:val="97"/>
              </w:rPr>
              <w:t>Other comprehensive income (loss), net of reclassification adjustments: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3,441</w:t>
            </w: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380"/>
              <w:spacing w:after="0"/>
              <w:rPr>
                <w:sz w:val="20"/>
                <w:szCs w:val="20"/>
                <w:color w:val="auto"/>
              </w:rPr>
            </w:pPr>
            <w:r>
              <w:rPr>
                <w:rFonts w:ascii="Arial" w:cs="Arial" w:eastAsia="Arial" w:hAnsi="Arial"/>
                <w:sz w:val="18"/>
                <w:szCs w:val="18"/>
                <w:color w:val="auto"/>
                <w:w w:val="92"/>
              </w:rPr>
              <w:t>Tax (provision) benefit related to items of other comprehensive income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or loss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3,175</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48,504</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32,257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45,329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11,511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8,076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w:t>
            </w:r>
          </w:p>
        </w:tc>
        <w:tc>
          <w:tcPr>
            <w:tcW w:w="0" w:type="dxa"/>
            <w:vAlign w:val="bottom"/>
          </w:tcPr>
          <w:p>
            <w:pPr>
              <w:spacing w:after="0"/>
              <w:rPr>
                <w:sz w:val="1"/>
                <w:szCs w:val="1"/>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31,784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23,928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(9,611)</w:t>
            </w:r>
          </w:p>
        </w:tc>
        <w:tc>
          <w:tcPr>
            <w:tcW w:w="0" w:type="dxa"/>
            <w:vAlign w:val="bottom"/>
          </w:tcPr>
          <w:p>
            <w:pPr>
              <w:spacing w:after="0"/>
              <w:rPr>
                <w:sz w:val="1"/>
                <w:szCs w:val="1"/>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 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(14,977)</w:t>
            </w:r>
          </w:p>
        </w:tc>
        <w:tc>
          <w:tcPr>
            <w:tcW w:w="0" w:type="dxa"/>
            <w:vAlign w:val="bottom"/>
          </w:tcPr>
          <w:p>
            <w:pPr>
              <w:spacing w:after="0"/>
              <w:rPr>
                <w:sz w:val="1"/>
                <w:szCs w:val="1"/>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0" w:type="dxa"/>
            <w:vAlign w:val="bottom"/>
          </w:tcPr>
          <w:p>
            <w:pPr>
              <w:spacing w:after="0"/>
              <w:rPr>
                <w:sz w:val="1"/>
                <w:szCs w:val="1"/>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11,054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and other liabilities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45,192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15,849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100,716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133,573</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(419,124)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(523,389)</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25,488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25,768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343,174</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(6,729)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(20,283)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 net of cash acquired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(104,148)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(175,479)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24,470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36,006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9,611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122,975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71,990</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75,466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Cash paid for income taxes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right="604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unaudited condensed consolidated financial statements of Fortinet, Inc. and its wholly owned subsidiaries (collectively, “we,” “us,” or “our”) have been prepared in accordance with U.S. generally accepted accounting principles (“GAAP”) for interim financial information as well as the instructions to Form 10-Q and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2012, contained in our Annual Report on Form 10-K (“Form 10-K”) filed with the SEC on February 27, 2013. In the opinion of management, all adjustments, which only includes normal recurring adjustments, considered necessary for a fair presentation have been included. All intercompany balances, transactions and cash flows have been eliminated. The results of operations for the three and nine months ended September 30, 2013 are not necessarily indicative of the operating results for any subsequent quarter, for the full year or for any future periods. The condensed consolidated balance sheets as of December 31, 2012 are derived from the audited consolidated financial statements for the year ended December 31, 2012.</w:t>
      </w:r>
    </w:p>
    <w:p>
      <w:pPr>
        <w:spacing w:after="0" w:line="19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During the three and nine months ended September 30, 2013, we recorded a non-recurring out-of-period adjustment of $3.0 million to correct the presentation on our condensed consolidated balance sheets relating to our repurchase of 1,409,264 shares during the fiscal year ended December 31, 2009. This reclassification adjustment resulted in a decrease to the outstanding treasury stock balance and a corresponding decrease to additional paid-in capital. We believe the impact of the adjustment is not material to the current or prior fiscal periods. The shares that we repurchased in 2009 were retired immediately after repurchase. There was no outstanding treasury stock balance at September 30, 2013.</w:t>
      </w:r>
    </w:p>
    <w:p>
      <w:pPr>
        <w:spacing w:after="0" w:line="17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There have been no material changes in our significant accounting policies as of and for the three and nine months ended September 30, 2013, as compared to the significant accounting policies described in the Form 10-K, except for the inclusion of policies related to goodwill and other indefinite-lived assets, long-term investments, and stock-based compensation expense pertaining to performance stock units (“PSUs”).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 the fourth quarter. We perform our annual goodwill impairment analysis at the reporting unit level. As of September 30, 2013, we had one reporting unit.</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Determining the fair value of the reporting unit requires us to make judgments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Investments in privately held companies where we own less than 20% of the voting stock and have no indicators of significant influence over operating and financial policies of those companies are included in Long-term investments in the consolidated balance sheets and are accounted for under the cost method. For these non-quoted investments, we regularly review the assumptions underlying the operating performance and cash flow forecasts based on information provided by these privately held companies. If it is determined that an other-than-temporary decline exists in an equity security, we write down the investment to its fair value and record the related impairment as an investment loss in our consolidated statements of operations. As of September 30, 2013, we only have one investment of $2.0 million in a privately-held company accounted for under the cost method.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 Expense - Performance Stock Units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PSUs are restricted stock units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grant date and is based on the market price of our common stock on the grant date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Certain prior period amounts have been combined on the condensed consolidated balance sheets and statements of cash flows to conform to the current period presentation.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No.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220)—Reporting of Amounts Reclassified Out of Accumulated Other Comprehensive Income </w:t>
      </w:r>
      <w:r>
        <w:rPr>
          <w:rFonts w:ascii="Arial" w:cs="Arial" w:eastAsia="Arial" w:hAnsi="Arial"/>
          <w:sz w:val="18"/>
          <w:szCs w:val="18"/>
          <w:color w:val="auto"/>
        </w:rPr>
        <w:t>(“ASU 2013-02”). ASU 2013-02 requires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16, </w:t>
      </w:r>
      <w:r>
        <w:rPr>
          <w:rFonts w:ascii="Arial" w:cs="Arial" w:eastAsia="Arial" w:hAnsi="Arial"/>
          <w:sz w:val="18"/>
          <w:szCs w:val="18"/>
          <w:i w:val="1"/>
          <w:iCs w:val="1"/>
          <w:color w:val="auto"/>
        </w:rPr>
        <w:t>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w:t>
      </w:r>
    </w:p>
    <w:p>
      <w:pPr>
        <w:spacing w:after="0" w:line="20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July 2013, the FASB issued ASU No. 2013-11,</w:t>
      </w:r>
      <w:r>
        <w:rPr>
          <w:rFonts w:ascii="Arial" w:cs="Arial" w:eastAsia="Arial" w:hAnsi="Arial"/>
          <w:sz w:val="20"/>
          <w:szCs w:val="20"/>
          <w:color w:val="auto"/>
        </w:rPr>
        <w:t xml:space="preserve"> </w:t>
      </w:r>
      <w:r>
        <w:rPr>
          <w:rFonts w:ascii="Arial" w:cs="Arial" w:eastAsia="Arial" w:hAnsi="Arial"/>
          <w:sz w:val="18"/>
          <w:szCs w:val="18"/>
          <w:i w:val="1"/>
          <w:iCs w:val="1"/>
          <w:color w:val="auto"/>
        </w:rPr>
        <w:t>Income Taxes (Topic 740)-Presentation of an Unrecognized Tax Benefit When a Net Operating</w:t>
      </w:r>
      <w:r>
        <w:rPr>
          <w:rFonts w:ascii="Arial" w:cs="Arial" w:eastAsia="Arial" w:hAnsi="Arial"/>
          <w:sz w:val="20"/>
          <w:szCs w:val="20"/>
          <w:color w:val="auto"/>
        </w:rPr>
        <w:t xml:space="preserve"> </w:t>
      </w:r>
      <w:r>
        <w:rPr>
          <w:rFonts w:ascii="Arial" w:cs="Arial" w:eastAsia="Arial" w:hAnsi="Arial"/>
          <w:sz w:val="18"/>
          <w:szCs w:val="18"/>
          <w:i w:val="1"/>
          <w:iCs w:val="1"/>
          <w:color w:val="auto"/>
        </w:rPr>
        <w:t xml:space="preserve">Loss Carryforward, a Similar Tax Loss, or a Tax Credit Carryforward Exists </w:t>
      </w:r>
      <w:r>
        <w:rPr>
          <w:rFonts w:ascii="Arial" w:cs="Arial" w:eastAsia="Arial" w:hAnsi="Arial"/>
          <w:sz w:val="18"/>
          <w:szCs w:val="18"/>
          <w:color w:val="auto"/>
        </w:rPr>
        <w:t>(“ASU 2013-11”). ASU 2013-11 provides guidance on the financial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125"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PRIVATELY-HELD COMPANY</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August 2013, we invested $2.0 million in equity securities in HyTrust, a privately-held company. This investment is accounted for as a cost-basis investment, as we own less than 20% of the voting securities and do not have the ability to exercise significant influence over operating and financial policies of the entity. As of September 30, 2013, no events have occurred that would adversely affect the carrying value of this investment. We did not record any impairment charges for this investment during the three and nine months ended September 30,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 2013</w:t>
            </w:r>
          </w:p>
        </w:tc>
        <w:tc>
          <w:tcPr>
            <w:tcW w:w="146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Gains</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government and agency securities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r>
      <w:tr>
        <w:trPr>
          <w:trHeight w:val="243"/>
        </w:trPr>
        <w:tc>
          <w:tcPr>
            <w:tcW w:w="51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566,962</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567,857</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81,962</w:t>
            </w:r>
          </w:p>
        </w:tc>
      </w:tr>
      <w:tr>
        <w:trPr>
          <w:trHeight w:val="243"/>
        </w:trPr>
        <w:tc>
          <w:tcPr>
            <w:tcW w:w="5140" w:type="dxa"/>
            <w:vAlign w:val="bottom"/>
          </w:tcPr>
          <w:p>
            <w:pPr>
              <w:ind w:left="480"/>
              <w:spacing w:after="0"/>
              <w:rPr>
                <w:sz w:val="20"/>
                <w:szCs w:val="20"/>
                <w:color w:val="auto"/>
              </w:rPr>
            </w:pPr>
            <w:r>
              <w:rPr>
                <w:rFonts w:ascii="Arial" w:cs="Arial" w:eastAsia="Arial" w:hAnsi="Arial"/>
                <w:sz w:val="18"/>
                <w:szCs w:val="18"/>
                <w:color w:val="auto"/>
              </w:rPr>
              <w:t>Municipal bonds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34,554</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34,584</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8,056</w:t>
            </w:r>
          </w:p>
        </w:tc>
      </w:tr>
      <w:tr>
        <w:trPr>
          <w:trHeight w:val="257"/>
        </w:trPr>
        <w:tc>
          <w:tcPr>
            <w:tcW w:w="5140" w:type="dxa"/>
            <w:vAlign w:val="bottom"/>
          </w:tcPr>
          <w:p>
            <w:pPr>
              <w:ind w:left="70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693,524</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694,459</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97"/>
        </w:trPr>
        <w:tc>
          <w:tcPr>
            <w:tcW w:w="5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 2012</w:t>
            </w:r>
          </w:p>
        </w:tc>
        <w:tc>
          <w:tcPr>
            <w:tcW w:w="1460" w:type="dxa"/>
            <w:vAlign w:val="bottom"/>
          </w:tcPr>
          <w:p>
            <w:pPr>
              <w:spacing w:after="0"/>
              <w:rPr>
                <w:sz w:val="24"/>
                <w:szCs w:val="24"/>
                <w:color w:val="auto"/>
              </w:rPr>
            </w:pPr>
          </w:p>
        </w:tc>
      </w:tr>
      <w:tr>
        <w:trPr>
          <w:trHeight w:val="33"/>
        </w:trPr>
        <w:tc>
          <w:tcPr>
            <w:tcW w:w="51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Gains</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531,391</w:t>
            </w:r>
          </w:p>
        </w:tc>
      </w:tr>
      <w:tr>
        <w:trPr>
          <w:trHeight w:val="243"/>
        </w:trPr>
        <w:tc>
          <w:tcPr>
            <w:tcW w:w="514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39,245</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36,870</w:t>
            </w:r>
          </w:p>
        </w:tc>
      </w:tr>
      <w:tr>
        <w:trPr>
          <w:trHeight w:val="243"/>
        </w:trPr>
        <w:tc>
          <w:tcPr>
            <w:tcW w:w="514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9,099</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9,105</w:t>
            </w: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616,611</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September 30, 2013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6"/>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6"/>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6"/>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232,721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238,030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20,076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12,941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265,738</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271,047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5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2012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tcPr>
          <w:p>
            <w:pPr>
              <w:jc w:val="right"/>
              <w:ind w:right="214"/>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20" w:type="dxa"/>
            <w:vAlign w:val="bottom"/>
          </w:tcPr>
          <w:p>
            <w:pPr>
              <w:jc w:val="right"/>
              <w:ind w:right="174"/>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8,464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141,470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08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960" w:type="dxa"/>
            <w:vAlign w:val="bottom"/>
          </w:tcPr>
          <w:p>
            <w:pPr>
              <w:jc w:val="right"/>
              <w:ind w:right="7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0" w:type="dxa"/>
            <w:vAlign w:val="bottom"/>
          </w:tcPr>
          <w:p>
            <w:pPr>
              <w:jc w:val="right"/>
              <w:ind w:right="654"/>
              <w:spacing w:after="0"/>
              <w:rPr>
                <w:sz w:val="20"/>
                <w:szCs w:val="20"/>
                <w:color w:val="auto"/>
              </w:rPr>
            </w:pPr>
            <w:r>
              <w:rPr>
                <w:rFonts w:ascii="Arial" w:cs="Arial" w:eastAsia="Arial" w:hAnsi="Arial"/>
                <w:sz w:val="16"/>
                <w:szCs w:val="16"/>
                <w:b w:val="1"/>
                <w:bCs w:val="1"/>
                <w:color w:val="auto"/>
              </w:rPr>
              <w:t>2012</w:t>
            </w:r>
          </w:p>
        </w:tc>
      </w:tr>
      <w:tr>
        <w:trPr>
          <w:trHeight w:val="33"/>
        </w:trPr>
        <w:tc>
          <w:tcPr>
            <w:tcW w:w="75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368,472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290,719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325,987</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325,892</w:t>
            </w:r>
          </w:p>
        </w:tc>
      </w:tr>
      <w:tr>
        <w:trPr>
          <w:trHeight w:val="27"/>
        </w:trPr>
        <w:tc>
          <w:tcPr>
            <w:tcW w:w="75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694,459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616,611</w:t>
            </w:r>
          </w:p>
        </w:tc>
      </w:tr>
      <w:tr>
        <w:trPr>
          <w:trHeight w:val="20"/>
        </w:trPr>
        <w:tc>
          <w:tcPr>
            <w:tcW w:w="75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 of our financial assets measured at fair value on a recurring basis as of September 30,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 amounts in 000’s):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September 30, 2013</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December 31, 2012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
        </w:trPr>
        <w:tc>
          <w:tcPr>
            <w:tcW w:w="3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37"/>
        </w:trPr>
        <w:tc>
          <w:tcPr>
            <w:tcW w:w="3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Prices in</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Prices in</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Active</w:t>
            </w: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Active</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8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4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Observable</w:t>
            </w:r>
          </w:p>
        </w:tc>
      </w:tr>
      <w:tr>
        <w:trPr>
          <w:trHeight w:val="135"/>
        </w:trPr>
        <w:tc>
          <w:tcPr>
            <w:tcW w:w="38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4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Remaining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8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r>
      <w:tr>
        <w:trPr>
          <w:trHeight w:val="224"/>
        </w:trPr>
        <w:tc>
          <w:tcPr>
            <w:tcW w:w="3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r>
      <w:tr>
        <w:trPr>
          <w:trHeight w:val="33"/>
        </w:trPr>
        <w:tc>
          <w:tcPr>
            <w:tcW w:w="38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574,578</w:t>
            </w:r>
          </w:p>
        </w:tc>
        <w:tc>
          <w:tcPr>
            <w:tcW w:w="120" w:type="dxa"/>
            <w:vAlign w:val="bottom"/>
          </w:tcPr>
          <w:p>
            <w:pPr>
              <w:spacing w:after="0"/>
              <w:rPr>
                <w:sz w:val="21"/>
                <w:szCs w:val="21"/>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574,578</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531,391</w:t>
            </w:r>
          </w:p>
        </w:tc>
        <w:tc>
          <w:tcPr>
            <w:tcW w:w="100" w:type="dxa"/>
            <w:vAlign w:val="bottom"/>
          </w:tcPr>
          <w:p>
            <w:pPr>
              <w:spacing w:after="0"/>
              <w:rPr>
                <w:sz w:val="21"/>
                <w:szCs w:val="21"/>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531,391</w:t>
            </w:r>
          </w:p>
        </w:tc>
        <w:tc>
          <w:tcPr>
            <w:tcW w:w="1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83,262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83,262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41,994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34,584</w:t>
            </w:r>
          </w:p>
        </w:tc>
        <w:tc>
          <w:tcPr>
            <w:tcW w:w="120" w:type="dxa"/>
            <w:vAlign w:val="bottom"/>
          </w:tcPr>
          <w:p>
            <w:pPr>
              <w:spacing w:after="0"/>
              <w:rPr>
                <w:sz w:val="21"/>
                <w:szCs w:val="21"/>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34,584</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36,870</w:t>
            </w:r>
          </w:p>
        </w:tc>
        <w:tc>
          <w:tcPr>
            <w:tcW w:w="1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8,056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8,056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9,105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45,897</w:t>
            </w:r>
          </w:p>
        </w:tc>
        <w:tc>
          <w:tcPr>
            <w:tcW w:w="1260" w:type="dxa"/>
            <w:vAlign w:val="bottom"/>
            <w:gridSpan w:val="2"/>
          </w:tcPr>
          <w:p>
            <w:pPr>
              <w:jc w:val="right"/>
              <w:ind w:right="44"/>
              <w:spacing w:after="0"/>
              <w:rPr>
                <w:sz w:val="20"/>
                <w:szCs w:val="20"/>
                <w:color w:val="auto"/>
              </w:rPr>
            </w:pPr>
            <w:r>
              <w:rPr>
                <w:rFonts w:ascii="Arial" w:cs="Arial" w:eastAsia="Arial" w:hAnsi="Arial"/>
                <w:sz w:val="18"/>
                <w:szCs w:val="18"/>
                <w:color w:val="auto"/>
              </w:rPr>
              <w:t>45,897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39,871</w:t>
            </w:r>
          </w:p>
        </w:tc>
        <w:tc>
          <w:tcPr>
            <w:tcW w:w="1220" w:type="dxa"/>
            <w:vAlign w:val="bottom"/>
            <w:gridSpan w:val="2"/>
          </w:tcPr>
          <w:p>
            <w:pPr>
              <w:jc w:val="right"/>
              <w:ind w:right="44"/>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748,377</w:t>
            </w:r>
          </w:p>
        </w:tc>
        <w:tc>
          <w:tcPr>
            <w:tcW w:w="126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45,897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702,480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659,231</w:t>
            </w:r>
          </w:p>
        </w:tc>
        <w:tc>
          <w:tcPr>
            <w:tcW w:w="12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39,871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619,360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8"/>
        </w:trPr>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53,918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42,620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368,472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290,719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325,987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325,892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748,377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659,231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There were no transfers between Level 1 and Level 2 of the fair value hierarchy during the three and nine months ended September 30,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4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39,111</w:t>
            </w:r>
          </w:p>
        </w:tc>
        <w:tc>
          <w:tcPr>
            <w:tcW w:w="1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16,102</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46,876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21,060</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4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9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9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22,785</w:t>
            </w:r>
          </w:p>
        </w:tc>
        <w:tc>
          <w:tcPr>
            <w:tcW w:w="10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17,176</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Construction-in-process</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 and tooling</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5,354</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67,812</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56,858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28,380</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25,638</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$3.8 million and $2.7 million for the three months ended September 30, 2013 and September 30,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$10.4 million and $7.2 million for the nine months ended September 30, 2013 and September 30, 2012,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and the employee stock purchase plan (“ESPP”). Potentially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3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3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11,029</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32,257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45,329</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162,906</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158,751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162,150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157,416</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162,906</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158,751</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162,150</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157,416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920"/>
              <w:spacing w:after="0"/>
              <w:rPr>
                <w:sz w:val="20"/>
                <w:szCs w:val="20"/>
                <w:color w:val="auto"/>
              </w:rPr>
            </w:pPr>
            <w:r>
              <w:rPr>
                <w:rFonts w:ascii="Arial" w:cs="Arial" w:eastAsia="Arial" w:hAnsi="Arial"/>
                <w:sz w:val="18"/>
                <w:szCs w:val="18"/>
                <w:color w:val="auto"/>
              </w:rPr>
              <w:t>ESPP</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Weighted-average shares used to compute diluted net income per share</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168,666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166,791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168,054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166,127</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3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3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6,847</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130</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r>
      <w:tr>
        <w:trPr>
          <w:trHeight w:val="237"/>
        </w:trPr>
        <w:tc>
          <w:tcPr>
            <w:tcW w:w="5580" w:type="dxa"/>
            <w:vAlign w:val="bottom"/>
          </w:tcPr>
          <w:p>
            <w:pPr>
              <w:spacing w:after="0"/>
              <w:rPr>
                <w:sz w:val="20"/>
                <w:szCs w:val="20"/>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7,277</w:t>
            </w: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1380" w:type="dxa"/>
            <w:vAlign w:val="bottom"/>
          </w:tcPr>
          <w:p>
            <w:pPr>
              <w:jc w:val="right"/>
              <w:ind w:right="1113"/>
              <w:spacing w:after="0"/>
              <w:rPr>
                <w:sz w:val="20"/>
                <w:szCs w:val="20"/>
                <w:color w:val="auto"/>
              </w:rPr>
            </w:pPr>
            <w:r>
              <w:rPr>
                <w:rFonts w:ascii="Arial" w:cs="Arial" w:eastAsia="Arial" w:hAnsi="Arial"/>
                <w:sz w:val="18"/>
                <w:szCs w:val="18"/>
                <w:color w:val="auto"/>
                <w:w w:val="79"/>
              </w:rPr>
              <w:t>13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960" w:type="dxa"/>
            <w:vAlign w:val="bottom"/>
            <w:gridSpan w:val="2"/>
          </w:tcPr>
          <w:p>
            <w:pPr>
              <w:ind w:left="420"/>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66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389,571</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348,548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5,488</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400,173</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Current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271,302</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247,268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Non-current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128,871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115,917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400,173</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lease certain facilities under various non-cancelable operating leases, which expire through 2020. Rent expense was $2.4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$2.1 million for the three months ended September 30, 2013 and September 30, 2012, respectively. Rent expense was $7.1 million and $6.5 million for the nine months ended September 30, 2013 and September 30, 2012, respectively. Rent expense is recognized using the straight-line method over the term of the lease. The aggregate future non-cancelable minimum rental payments on operating leases as of September 30, 2013 are as follows ($ amounts in 000’s):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tcPr>
          <w:p>
            <w:pPr>
              <w:jc w:val="right"/>
              <w:ind w:right="772"/>
              <w:spacing w:after="0"/>
              <w:rPr>
                <w:sz w:val="20"/>
                <w:szCs w:val="20"/>
                <w:color w:val="auto"/>
              </w:rPr>
            </w:pPr>
            <w:r>
              <w:rPr>
                <w:rFonts w:ascii="Arial" w:cs="Arial" w:eastAsia="Arial" w:hAnsi="Arial"/>
                <w:sz w:val="16"/>
                <w:szCs w:val="16"/>
                <w:b w:val="1"/>
                <w:bCs w:val="1"/>
                <w:color w:val="auto"/>
              </w:rPr>
              <w:t>Rental</w:t>
            </w:r>
          </w:p>
        </w:tc>
      </w:tr>
      <w:tr>
        <w:trPr>
          <w:trHeight w:val="210"/>
        </w:trPr>
        <w:tc>
          <w:tcPr>
            <w:tcW w:w="9260" w:type="dxa"/>
            <w:vAlign w:val="bottom"/>
          </w:tcPr>
          <w:p>
            <w:pPr>
              <w:spacing w:after="0"/>
              <w:rPr>
                <w:sz w:val="18"/>
                <w:szCs w:val="18"/>
                <w:color w:val="auto"/>
              </w:rPr>
            </w:pPr>
          </w:p>
        </w:tc>
        <w:tc>
          <w:tcPr>
            <w:tcW w:w="2160" w:type="dxa"/>
            <w:vAlign w:val="bottom"/>
          </w:tcPr>
          <w:p>
            <w:pPr>
              <w:jc w:val="right"/>
              <w:ind w:right="692"/>
              <w:spacing w:after="0"/>
              <w:rPr>
                <w:sz w:val="20"/>
                <w:szCs w:val="20"/>
                <w:color w:val="auto"/>
              </w:rPr>
            </w:pPr>
            <w:r>
              <w:rPr>
                <w:rFonts w:ascii="Arial" w:cs="Arial" w:eastAsia="Arial" w:hAnsi="Arial"/>
                <w:sz w:val="16"/>
                <w:szCs w:val="16"/>
                <w:b w:val="1"/>
                <w:bCs w:val="1"/>
                <w:color w:val="auto"/>
              </w:rPr>
              <w:t>Payment</w:t>
            </w:r>
          </w:p>
        </w:tc>
      </w:tr>
      <w:tr>
        <w:trPr>
          <w:trHeight w:val="33"/>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2013 (remainder)</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2,675</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2014</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7,715</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2015</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5,342</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2016</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4,279</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2017</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3,738</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Thereafter</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7,779</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31,528</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issue non-cancelable purchase orders to some of our independent contract manufacturers. As of September 30, 2013, we had $46.6 million of open purchase orders with our independent contract manufacturers that may not be cancelable.</w:t>
      </w:r>
    </w:p>
    <w:p>
      <w:pPr>
        <w:spacing w:after="0" w:line="14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September 30, 2013, we had $10.2 million in other purchase commitments.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1-year warranty on hardware products and a 90-day warranty on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rPr>
              <w:t>For The Nine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50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including warranty assumed from Xtera</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including, but not limited to, the matters described below. We are</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Unless otherwise noted below, during the period presented, we have not: recorded any material accrual for loss contingencies associated with such legal proceedings; determined that an unfavorable outcome is probable or reasonably possible; or determined that the amount or range of any possible loss is reasonably estimable.</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thereafter proceeded with Fortinet as the sole defendant. Between June and August 2013, we filed a number of pretrial motions with the Court. As a result of those motions, the Court found that NPS had engaged in litigation misconduct. The Court also granted our motion to strike NPS’s expert report on the issue of damages. Shortly thereafter, in September 2013, NPS agreed to abandon the case and we did not make any payments related to this case. NPS and its principals furthermore agreed not to sue us on related patents. The litigation related to NPS is no longer material to us.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 The case is currently in the early stages, and we have determined that, as of this time, there is not a reasonable possibility that a material loss has been incurred.</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2009 Equity Incentive Plan (the “Plan”) permits us to grant awards of stock options, stock appreciation rights, restricted stock, restricted stock units, and performance units or performance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2012, we began to primarily grant RSUs instead of stock options to employees, non-employees and members of the board of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102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Three Months Ended</w:t>
            </w:r>
          </w:p>
        </w:tc>
        <w:tc>
          <w:tcPr>
            <w:tcW w:w="34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414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78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tcPr>
          <w:p>
            <w:pPr>
              <w:jc w:val="right"/>
              <w:ind w:right="2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68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80" w:type="dxa"/>
            <w:vAlign w:val="bottom"/>
          </w:tcPr>
          <w:p>
            <w:pPr>
              <w:jc w:val="right"/>
              <w:ind w:right="593"/>
              <w:spacing w:after="0"/>
              <w:rPr>
                <w:sz w:val="20"/>
                <w:szCs w:val="20"/>
                <w:color w:val="auto"/>
              </w:rPr>
            </w:pPr>
            <w:r>
              <w:rPr>
                <w:rFonts w:ascii="Arial" w:cs="Arial" w:eastAsia="Arial" w:hAnsi="Arial"/>
                <w:sz w:val="16"/>
                <w:szCs w:val="16"/>
                <w:b w:val="1"/>
                <w:bCs w:val="1"/>
                <w:color w:val="auto"/>
              </w:rPr>
              <w:t>2012</w:t>
            </w:r>
          </w:p>
        </w:tc>
      </w:tr>
      <w:tr>
        <w:trPr>
          <w:trHeight w:val="33"/>
        </w:trPr>
        <w:tc>
          <w:tcPr>
            <w:tcW w:w="4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46.4 - 51.9</w:t>
            </w:r>
          </w:p>
        </w:tc>
      </w:tr>
      <w:tr>
        <w:trPr>
          <w:trHeight w:val="27"/>
        </w:trPr>
        <w:tc>
          <w:tcPr>
            <w:tcW w:w="4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0.7 - 0.9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months ended September 30, 2012.</w:t>
      </w:r>
    </w:p>
    <w:p>
      <w:pPr>
        <w:spacing w:after="0" w:line="27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000’s, except per share amounts,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Options Outstanding</w:t>
            </w: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29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Price ($)</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18,571</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(2,210)</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2013</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15,939</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134,415</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Options vested and expected to vest—September 30, 2013</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15,914</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134,407</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exercisable—September 30, 2013</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11,781</w:t>
            </w:r>
          </w:p>
        </w:tc>
        <w:tc>
          <w:tcPr>
            <w:tcW w:w="14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129,937</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September 30, 2013, for all in-the-money options. As of September 30, 2013, total compensation expense related to unvested stock options granted to employees but not yet recognized was $46.0 million, net of estimated forfeitures. This expense is expected to be amortized on a straight-line basis over a weighted-average period of 2.0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240" w:type="dxa"/>
            <w:vAlign w:val="bottom"/>
            <w:gridSpan w:val="4"/>
          </w:tcPr>
          <w:p>
            <w:pPr>
              <w:ind w:left="76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3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38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36,997</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83,313</w:t>
            </w:r>
          </w:p>
        </w:tc>
      </w:tr>
      <w:tr>
        <w:trPr>
          <w:trHeight w:val="27"/>
        </w:trPr>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19,897</w:t>
            </w:r>
          </w:p>
        </w:tc>
      </w:tr>
      <w:tr>
        <w:trPr>
          <w:trHeight w:val="27"/>
        </w:trPr>
        <w:tc>
          <w:tcPr>
            <w:tcW w:w="4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and related information for RSUs for the period presented below (in 000’s,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400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4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7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210"/>
        </w:trPr>
        <w:tc>
          <w:tcPr>
            <w:tcW w:w="7400" w:type="dxa"/>
            <w:vAlign w:val="bottom"/>
          </w:tcPr>
          <w:p>
            <w:pPr>
              <w:spacing w:after="0"/>
              <w:rPr>
                <w:sz w:val="18"/>
                <w:szCs w:val="18"/>
                <w:color w:val="auto"/>
              </w:rPr>
            </w:pPr>
          </w:p>
        </w:tc>
        <w:tc>
          <w:tcPr>
            <w:tcW w:w="2080" w:type="dxa"/>
            <w:vAlign w:val="bottom"/>
            <w:gridSpan w:val="2"/>
          </w:tcPr>
          <w:p>
            <w:pPr>
              <w:ind w:left="360"/>
              <w:spacing w:after="0"/>
              <w:rPr>
                <w:sz w:val="20"/>
                <w:szCs w:val="20"/>
                <w:color w:val="auto"/>
              </w:rPr>
            </w:pPr>
            <w:r>
              <w:rPr>
                <w:rFonts w:ascii="Arial" w:cs="Arial" w:eastAsia="Arial" w:hAnsi="Arial"/>
                <w:sz w:val="16"/>
                <w:szCs w:val="16"/>
                <w:b w:val="1"/>
                <w:bCs w:val="1"/>
                <w:color w:val="auto"/>
              </w:rPr>
              <w:t>Number of Shares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23.73</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3,871</w:t>
            </w:r>
          </w:p>
        </w:tc>
        <w:tc>
          <w:tcPr>
            <w:tcW w:w="1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21.86</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22.97</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Vested</w:t>
            </w:r>
          </w:p>
        </w:tc>
        <w:tc>
          <w:tcPr>
            <w:tcW w:w="19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24.86</w:t>
            </w:r>
          </w:p>
        </w:tc>
      </w:tr>
      <w:tr>
        <w:trPr>
          <w:trHeight w:val="27"/>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2013</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4,306</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21.98</w:t>
            </w: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7400" w:type="dxa"/>
            <w:vAlign w:val="bottom"/>
          </w:tcPr>
          <w:p>
            <w:pPr>
              <w:ind w:left="40"/>
              <w:spacing w:after="0"/>
              <w:rPr>
                <w:sz w:val="20"/>
                <w:szCs w:val="20"/>
                <w:color w:val="auto"/>
              </w:rPr>
            </w:pPr>
            <w:r>
              <w:rPr>
                <w:rFonts w:ascii="Arial" w:cs="Arial" w:eastAsia="Arial" w:hAnsi="Arial"/>
                <w:sz w:val="18"/>
                <w:szCs w:val="18"/>
                <w:color w:val="auto"/>
              </w:rPr>
              <w:t>RSUs expected to vest—September 30, 2013</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0"/>
                <w:szCs w:val="20"/>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22.01</w:t>
            </w:r>
          </w:p>
        </w:tc>
      </w:tr>
    </w:tbl>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2013, total compensation expense related to unvested RSUs that were granted to employees and non-employees, but not yet recognized, was $86.3 million, net of estimated forfeitures. This expense is expected to be amortized on a straight-line basis over a weighted-average vesting period of 3.4 years.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RSUs settle into shares of common stock upon vesting. RSUs that were previously granted began vesting in August 2013. Upon the vesting of the RSUs, we net-settled the RSUs and withheld a portion of the shares to satisfy minimum statutory employee withholding taxes. Total payment for the employees’ tax obligations to the taxing authorities is reflected as a financing activity within the condensed consolidated statements of cash flows. These net settlements had the effect of share repurchases by us as they reduced and retired the number of shares that would have otherwise been issued as a result of the vesting and did not represent an expense to us.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summarizes the number and value of the shares withheld for employee taxes for the three and nine months ended September 30, 2013 ($ amount in 000’s, except share amount):</w:t>
      </w:r>
    </w:p>
    <w:p>
      <w:pPr>
        <w:spacing w:after="0" w:line="320" w:lineRule="exact"/>
        <w:rPr>
          <w:sz w:val="20"/>
          <w:szCs w:val="20"/>
          <w:color w:val="auto"/>
        </w:rPr>
      </w:pPr>
    </w:p>
    <w:tbl>
      <w:tblPr>
        <w:tblLayout w:type="fixed"/>
        <w:tblInd w:w="2740" w:type="dxa"/>
        <w:tblCellMar>
          <w:top w:w="0" w:type="dxa"/>
          <w:left w:w="0" w:type="dxa"/>
          <w:bottom w:w="0" w:type="dxa"/>
          <w:right w:w="0" w:type="dxa"/>
        </w:tblCellMar>
      </w:tblPr>
      <w:tr>
        <w:trPr>
          <w:trHeight w:val="27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354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702"/>
        </w:trPr>
        <w:tc>
          <w:tcPr>
            <w:tcW w:w="2420" w:type="dxa"/>
            <w:vAlign w:val="bottom"/>
          </w:tcPr>
          <w:p>
            <w:pPr>
              <w:spacing w:after="0"/>
              <w:rPr>
                <w:sz w:val="24"/>
                <w:szCs w:val="24"/>
                <w:color w:val="auto"/>
              </w:rPr>
            </w:pPr>
          </w:p>
        </w:tc>
        <w:tc>
          <w:tcPr>
            <w:tcW w:w="3540" w:type="dxa"/>
            <w:vAlign w:val="bottom"/>
          </w:tcPr>
          <w:p>
            <w:pPr>
              <w:jc w:val="right"/>
              <w:ind w:right="281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Stock Units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and nine months ended September 30, 2013, we granted PSUs under the Plan to certain of our executive officers.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weighted-average assumptions relating to our PSUs for the three and nine months ended September 30, 2013:</w:t>
      </w:r>
    </w:p>
    <w:p>
      <w:pPr>
        <w:spacing w:after="0" w:line="371" w:lineRule="exact"/>
        <w:rPr>
          <w:sz w:val="20"/>
          <w:szCs w:val="20"/>
          <w:color w:val="auto"/>
        </w:rPr>
      </w:pPr>
    </w:p>
    <w:tbl>
      <w:tblPr>
        <w:tblLayout w:type="fixed"/>
        <w:tblInd w:w="2740" w:type="dxa"/>
        <w:tblCellMar>
          <w:top w:w="0" w:type="dxa"/>
          <w:left w:w="0" w:type="dxa"/>
          <w:bottom w:w="0" w:type="dxa"/>
          <w:right w:w="0" w:type="dxa"/>
        </w:tblCellMar>
      </w:tblP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224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7"/>
        </w:trPr>
        <w:tc>
          <w:tcPr>
            <w:tcW w:w="37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target number of shares underlying the PSUs that were granted to certain of our executive officers during the three months ended September 30, 2013, totaled 180,000 shares that had a grant date fair value of $22.06 per share.</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of September 30, 2013, total compensation expense related to unvested PSUs that were granted to certain of our executive officers, but not yet recognized, was $3.8 million, net of estimated forfeitures. This expense is expected to be amortized on a straight-line basis over a weighted-average vesting period of 2.8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determining the fair value of the shares subject to our ESPP, we use the Black-Scholes option pricing model that employs the following weighted-average assumptions: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40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6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September 30, 2013</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September 30, 2012</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 2013</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30, 2012</w:t>
            </w: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58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ESPP is provided below (in 000’s, except per share amounts):</w:t>
      </w:r>
    </w:p>
    <w:p>
      <w:pPr>
        <w:sectPr>
          <w:pgSz w:w="11900" w:h="16838" w:orient="portrait"/>
          <w:cols w:equalWidth="0" w:num="1">
            <w:col w:w="11360"/>
          </w:cols>
          <w:pgMar w:left="240" w:top="125" w:right="299" w:bottom="1440" w:gutter="0" w:footer="0" w:header="0"/>
        </w:sectPr>
      </w:pPr>
    </w:p>
    <w:p>
      <w:pPr>
        <w:spacing w:after="0" w:line="38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34290</wp:posOffset>
            </wp:positionV>
            <wp:extent cx="2084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57" w:lineRule="exact"/>
        <w:rPr>
          <w:sz w:val="20"/>
          <w:szCs w:val="20"/>
          <w:color w:val="auto"/>
        </w:rPr>
      </w:pPr>
    </w:p>
    <w:p>
      <w:pPr>
        <w:jc w:val="center"/>
        <w:ind w:left="4760"/>
        <w:spacing w:after="0"/>
        <w:tabs>
          <w:tab w:leader="none" w:pos="180" w:val="left"/>
        </w:tabs>
        <w:rPr>
          <w:sz w:val="20"/>
          <w:szCs w:val="20"/>
          <w:color w:val="auto"/>
        </w:rPr>
      </w:pPr>
      <w:r>
        <w:rPr>
          <w:rFonts w:ascii="Arial" w:cs="Arial" w:eastAsia="Arial" w:hAnsi="Arial"/>
          <w:sz w:val="18"/>
          <w:szCs w:val="18"/>
          <w:b w:val="1"/>
          <w:bCs w:val="1"/>
          <w:color w:val="auto"/>
        </w:rPr>
        <w:t>September 30, 2013</w:t>
      </w:r>
      <w:r>
        <w:rPr>
          <w:sz w:val="20"/>
          <w:szCs w:val="20"/>
          <w:color w:val="auto"/>
        </w:rPr>
        <w:tab/>
      </w:r>
      <w:r>
        <w:rPr>
          <w:rFonts w:ascii="Arial" w:cs="Arial" w:eastAsia="Arial" w:hAnsi="Arial"/>
          <w:sz w:val="16"/>
          <w:szCs w:val="16"/>
          <w:b w:val="1"/>
          <w:bCs w:val="1"/>
          <w:color w:val="auto"/>
        </w:rPr>
        <w:t>September 30, 2012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058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tabs>
          <w:tab w:leader="none" w:pos="140" w:val="left"/>
        </w:tabs>
        <w:rPr>
          <w:sz w:val="20"/>
          <w:szCs w:val="20"/>
          <w:color w:val="auto"/>
        </w:rPr>
      </w:pPr>
      <w:r>
        <w:rPr>
          <w:rFonts w:ascii="Arial" w:cs="Arial" w:eastAsia="Arial" w:hAnsi="Arial"/>
          <w:sz w:val="18"/>
          <w:szCs w:val="18"/>
          <w:b w:val="1"/>
          <w:bCs w:val="1"/>
          <w:color w:val="auto"/>
        </w:rPr>
        <w:t>September 30, 2013</w:t>
      </w:r>
      <w:r>
        <w:rPr>
          <w:sz w:val="20"/>
          <w:szCs w:val="20"/>
          <w:color w:val="auto"/>
        </w:rPr>
        <w:tab/>
      </w:r>
      <w:r>
        <w:rPr>
          <w:rFonts w:ascii="Arial" w:cs="Arial" w:eastAsia="Arial" w:hAnsi="Arial"/>
          <w:sz w:val="16"/>
          <w:szCs w:val="16"/>
          <w:b w:val="1"/>
          <w:bCs w:val="1"/>
          <w:color w:val="auto"/>
        </w:rPr>
        <w:t>September 30, 2012</w:t>
      </w:r>
    </w:p>
    <w:p>
      <w:pPr>
        <w:spacing w:after="0" w:line="34" w:lineRule="exact"/>
        <w:rPr>
          <w:sz w:val="20"/>
          <w:szCs w:val="20"/>
          <w:color w:val="auto"/>
        </w:rPr>
      </w:pPr>
    </w:p>
    <w:p>
      <w:pPr>
        <w:sectPr>
          <w:pgSz w:w="11900" w:h="16838" w:orient="portrait"/>
          <w:cols w:equalWidth="0" w:num="2">
            <w:col w:w="7960" w:space="160"/>
            <w:col w:w="3240"/>
          </w:cols>
          <w:pgMar w:left="240" w:top="125" w:right="299" w:bottom="1440" w:gutter="0" w:footer="0" w:header="0"/>
          <w:type w:val="continuous"/>
        </w:sectPr>
      </w:pPr>
    </w:p>
    <w:tbl>
      <w:tblPr>
        <w:tblLayout w:type="fixed"/>
        <w:tblInd w:w="80" w:type="dxa"/>
        <w:tblCellMar>
          <w:top w:w="0" w:type="dxa"/>
          <w:left w:w="0" w:type="dxa"/>
          <w:bottom w:w="0" w:type="dxa"/>
          <w:right w:w="0" w:type="dxa"/>
        </w:tblCellMar>
      </w:tblPr>
      <w:tr>
        <w:trPr>
          <w:trHeight w:val="264"/>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 ($)</w:t>
            </w:r>
          </w:p>
        </w:tc>
        <w:tc>
          <w:tcPr>
            <w:tcW w:w="20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5.04</w:t>
            </w: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343,761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288,884</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672,397</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576,833</w:t>
            </w:r>
          </w:p>
        </w:tc>
      </w:tr>
      <w:tr>
        <w:trPr>
          <w:trHeight w:val="27"/>
        </w:trPr>
        <w:tc>
          <w:tcPr>
            <w:tcW w:w="4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 ($)</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r>
      <w:tr>
        <w:trPr>
          <w:trHeight w:val="27"/>
        </w:trPr>
        <w:tc>
          <w:tcPr>
            <w:tcW w:w="46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40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40" w:type="dxa"/>
            <w:vAlign w:val="bottom"/>
            <w:gridSpan w:val="3"/>
          </w:tcPr>
          <w:p>
            <w:pPr>
              <w:jc w:val="right"/>
              <w:ind w:right="8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6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72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tcPr>
          <w:p>
            <w:pPr>
              <w:jc w:val="right"/>
              <w:ind w:right="23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620" w:type="dxa"/>
            <w:vAlign w:val="bottom"/>
          </w:tcPr>
          <w:p>
            <w:pPr>
              <w:spacing w:after="0"/>
              <w:rPr>
                <w:sz w:val="18"/>
                <w:szCs w:val="18"/>
                <w:color w:val="auto"/>
              </w:rPr>
            </w:pPr>
          </w:p>
        </w:tc>
        <w:tc>
          <w:tcPr>
            <w:tcW w:w="16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r>
      <w:tr>
        <w:trPr>
          <w:trHeight w:val="33"/>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2,704</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13,927</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10,797</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3,416</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31,784</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23,928</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40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6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72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tcPr>
          <w:p>
            <w:pPr>
              <w:jc w:val="right"/>
              <w:ind w:right="23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620" w:type="dxa"/>
            <w:vAlign w:val="bottom"/>
          </w:tcPr>
          <w:p>
            <w:pPr>
              <w:spacing w:after="0"/>
              <w:rPr>
                <w:sz w:val="18"/>
                <w:szCs w:val="18"/>
                <w:color w:val="auto"/>
              </w:rPr>
            </w:pPr>
          </w:p>
        </w:tc>
        <w:tc>
          <w:tcPr>
            <w:tcW w:w="1600" w:type="dxa"/>
            <w:vAlign w:val="bottom"/>
          </w:tcPr>
          <w:p>
            <w:pPr>
              <w:jc w:val="right"/>
              <w:ind w:right="55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2012</w:t>
            </w:r>
          </w:p>
        </w:tc>
      </w:tr>
      <w:tr>
        <w:trPr>
          <w:trHeight w:val="33"/>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RSUs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12,439</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3,370</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31,784</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23,928</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income tax benefit from employee stock option plans that is recognized in the consolidated statements of operations is as follows ($ amounts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000’s):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2820" w:type="dxa"/>
            <w:vAlign w:val="bottom"/>
            <w:gridSpan w:val="3"/>
          </w:tcPr>
          <w:p>
            <w:pPr>
              <w:jc w:val="right"/>
              <w:ind w:right="536"/>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September 30,</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September 30,</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3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3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2012</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from employee stock option plans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17,073</w:t>
            </w:r>
          </w:p>
        </w:tc>
      </w:tr>
      <w:tr>
        <w:trPr>
          <w:trHeight w:val="891"/>
        </w:trPr>
        <w:tc>
          <w:tcPr>
            <w:tcW w:w="5580" w:type="dxa"/>
            <w:vAlign w:val="bottom"/>
          </w:tcPr>
          <w:p>
            <w:pPr>
              <w:spacing w:after="0"/>
              <w:rPr>
                <w:sz w:val="24"/>
                <w:szCs w:val="24"/>
                <w:color w:val="auto"/>
              </w:rPr>
            </w:pPr>
          </w:p>
        </w:tc>
        <w:tc>
          <w:tcPr>
            <w:tcW w:w="1380" w:type="dxa"/>
            <w:vAlign w:val="bottom"/>
          </w:tcPr>
          <w:p>
            <w:pPr>
              <w:jc w:val="right"/>
              <w:ind w:right="1114"/>
              <w:spacing w:after="0"/>
              <w:rPr>
                <w:sz w:val="20"/>
                <w:szCs w:val="20"/>
                <w:color w:val="auto"/>
              </w:rPr>
            </w:pPr>
            <w:r>
              <w:rPr>
                <w:rFonts w:ascii="Arial" w:cs="Arial" w:eastAsia="Arial" w:hAnsi="Arial"/>
                <w:sz w:val="18"/>
                <w:szCs w:val="18"/>
                <w:color w:val="auto"/>
                <w:w w:val="79"/>
              </w:rPr>
              <w:t>19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effective tax rate was 40% for the three months ended September 30, 2013, compared to an effective tax rate of 36% for the three months ended September 30, 2012. The effective tax rate was 36% for the nine months ended September 30, 2013, compared to an effective tax rate of 34% for the nine months ended September 30, 2012. The provision for income taxes for the periods presented is comprised of foreign income taxes, U.S. federal and state taxes, and withholding tax.</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2013 and December 31, 2012, unrecognized tax benefits were $28.7 million and $27.8 million, respectively. The total amount of $28.3 million in unrecognized tax benefits, if recognized, would favorably impact the effective tax rate.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September 30, 2013, we had accrued approximately $2.3 million for estimated interest related to uncertain tax provisions.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annual contribution limit specified by the Internal Revenue Service (“IRS”). In Canada, we have a Group Registered Retirement Savings Plan program (the “RRSP”) which permits participants to make tax deductible contributions up to the maximum contribution limits under the Income Tax Act. Our matching contributions to the 401(k) Plan and RRSP were $0.6 million and $0.4 million for the three months ended September 30, 2013 and September 30, 2012, respectively. Our matching contributions to the 401(k) Plan and RRSP were $1.6 million and $1.4 million for the nine months ended September 30, 2013 and September 30, 2012,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SIGNIFICANT CUSTOMER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 and property and equipment by geographic region ($ amounts in 000’s):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September 30,</w:t>
            </w:r>
          </w:p>
        </w:tc>
      </w:tr>
      <w:tr>
        <w:trPr>
          <w:trHeight w:val="176"/>
        </w:trPr>
        <w:tc>
          <w:tcPr>
            <w:tcW w:w="558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Revenue</w:t>
            </w:r>
          </w:p>
        </w:tc>
        <w:tc>
          <w:tcPr>
            <w:tcW w:w="1380" w:type="dxa"/>
            <w:vAlign w:val="bottom"/>
          </w:tcPr>
          <w:p>
            <w:pPr>
              <w:jc w:val="right"/>
              <w:ind w:right="453"/>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360" w:type="dxa"/>
            <w:vAlign w:val="bottom"/>
          </w:tcPr>
          <w:p>
            <w:pPr>
              <w:jc w:val="right"/>
              <w:ind w:right="432"/>
              <w:spacing w:after="0" w:line="176"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1360" w:type="dxa"/>
            <w:vAlign w:val="bottom"/>
          </w:tcPr>
          <w:p>
            <w:pPr>
              <w:jc w:val="right"/>
              <w:ind w:right="433"/>
              <w:spacing w:after="0" w:line="176" w:lineRule="exact"/>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5"/>
                <w:szCs w:val="15"/>
                <w:color w:val="auto"/>
              </w:rPr>
            </w:pPr>
          </w:p>
        </w:tc>
        <w:tc>
          <w:tcPr>
            <w:tcW w:w="1360" w:type="dxa"/>
            <w:vAlign w:val="bottom"/>
          </w:tcPr>
          <w:p>
            <w:pPr>
              <w:jc w:val="right"/>
              <w:ind w:right="432"/>
              <w:spacing w:after="0" w:line="176" w:lineRule="exact"/>
              <w:rPr>
                <w:sz w:val="20"/>
                <w:szCs w:val="20"/>
                <w:color w:val="auto"/>
              </w:rPr>
            </w:pPr>
            <w:r>
              <w:rPr>
                <w:rFonts w:ascii="Arial" w:cs="Arial" w:eastAsia="Arial" w:hAnsi="Arial"/>
                <w:sz w:val="16"/>
                <w:szCs w:val="16"/>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40,654</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38,674</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114,257</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103,983</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24,794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63,844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51,587</w:t>
            </w:r>
          </w:p>
        </w:tc>
      </w:tr>
      <w:tr>
        <w:trPr>
          <w:trHeight w:val="237"/>
        </w:trPr>
        <w:tc>
          <w:tcPr>
            <w:tcW w:w="20" w:type="dxa"/>
            <w:vAlign w:val="bottom"/>
          </w:tcPr>
          <w:p>
            <w:pPr>
              <w:spacing w:after="0"/>
              <w:rPr>
                <w:sz w:val="20"/>
                <w:szCs w:val="20"/>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65,448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57,217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178,101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155,570</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 Middle East and Africa (“EMEA”)</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51,373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149,500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130,116</w:t>
            </w:r>
          </w:p>
        </w:tc>
      </w:tr>
      <w:tr>
        <w:trPr>
          <w:trHeight w:val="243"/>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Asia Pacific and Japan (“APAC”)</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37,878</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33,485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110,346</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96,791</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154,699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136,268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437,947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382,477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each of the three and nine months ended September 30, 2013, Exclusive Networks Group accounted for 11% of total revenue. During the three and nine months ended September 30, 2012, Exclusive Networks Group accounted for 10% and 11% of total revenue, respectively. No other customers accounted for more than 10% of our total revenue during the three and nine months ended September 30, 2013 and 2012.</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2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81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 —Net</w:t>
            </w:r>
          </w:p>
        </w:tc>
        <w:tc>
          <w:tcPr>
            <w:tcW w:w="16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58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color w:val="auto"/>
              </w:rPr>
              <w:t>Americas:</w:t>
            </w: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gridSpan w:val="3"/>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3,924</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25,273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APAC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28,380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FOREIGN CURRENCY DERIVATIVES</w:t>
      </w:r>
    </w:p>
    <w:p>
      <w:pPr>
        <w:spacing w:after="0" w:line="31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notional amounts of forward exchange contracts to hedge balance sheet accounts as of September 30, 2013 and December 31, 2012 were ($ amounts in 000’s):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Buy/Sell</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3"/>
        </w:trPr>
        <w:tc>
          <w:tcPr>
            <w:tcW w:w="81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 - As of September 30, 2013</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7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w:t>
            </w:r>
          </w:p>
        </w:tc>
      </w:tr>
      <w:tr>
        <w:trPr>
          <w:trHeight w:val="297"/>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Currency - As of December 31, 2012</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6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Canadian dollar</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17,968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Xtera</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September 13, 2013, we acquired certain assets of Xtera Communications, Inc. (“Xtera”), including certain load balancing products and certain patents, for a total consideration of $1.8 million, of which $1.7 million was paid in cash on the acquisition date and $0.1 million payment in cash is contingent upon attainment of revenue milestones. This acquisition will enable us to enhance our load balancing solutions in our product portfolio.</w:t>
      </w:r>
    </w:p>
    <w:p>
      <w:pPr>
        <w:spacing w:after="0" w:line="16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the identifiable 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this acquisition, we acquired net tangible assets of $0.2 million, intangible assets of $1.5 million, and recognized an estimated contingent obligation of $0.1 million payable upon attainment of revenue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60" w:type="dxa"/>
            <w:vAlign w:val="bottom"/>
            <w:gridSpan w:val="2"/>
          </w:tcPr>
          <w:p>
            <w:pPr>
              <w:ind w:left="5020"/>
              <w:spacing w:after="0"/>
              <w:rPr>
                <w:sz w:val="20"/>
                <w:szCs w:val="20"/>
                <w:color w:val="auto"/>
              </w:rPr>
            </w:pPr>
            <w:r>
              <w:rPr>
                <w:rFonts w:ascii="Arial" w:cs="Arial" w:eastAsia="Arial" w:hAnsi="Arial"/>
                <w:sz w:val="18"/>
                <w:szCs w:val="18"/>
                <w:b w:val="1"/>
                <w:bCs w:val="1"/>
                <w:color w:val="auto"/>
              </w:rPr>
              <w:t>FORTINET, INC.</w:t>
            </w:r>
          </w:p>
        </w:tc>
        <w:tc>
          <w:tcPr>
            <w:tcW w:w="760" w:type="dxa"/>
            <w:vAlign w:val="bottom"/>
          </w:tcPr>
          <w:p>
            <w:pPr>
              <w:spacing w:after="0"/>
              <w:rPr>
                <w:sz w:val="17"/>
                <w:szCs w:val="17"/>
                <w:color w:val="auto"/>
              </w:rPr>
            </w:pPr>
          </w:p>
        </w:tc>
      </w:tr>
      <w:tr>
        <w:trPr>
          <w:trHeight w:val="234"/>
        </w:trPr>
        <w:tc>
          <w:tcPr>
            <w:tcW w:w="10660" w:type="dxa"/>
            <w:vAlign w:val="bottom"/>
            <w:gridSpan w:val="2"/>
          </w:tcPr>
          <w:p>
            <w:pPr>
              <w:ind w:left="2220"/>
              <w:spacing w:after="0"/>
              <w:rPr>
                <w:sz w:val="20"/>
                <w:szCs w:val="20"/>
                <w:color w:val="auto"/>
              </w:rPr>
            </w:pPr>
            <w:r>
              <w:rPr>
                <w:rFonts w:ascii="Arial" w:cs="Arial" w:eastAsia="Arial" w:hAnsi="Arial"/>
                <w:sz w:val="18"/>
                <w:szCs w:val="18"/>
                <w:b w:val="1"/>
                <w:bCs w:val="1"/>
                <w:color w:val="auto"/>
              </w:rPr>
              <w:t>NOTES TO CONDENSED CONSOLIDATED FINANCIAL STATEMENTS—(Continued)</w:t>
            </w:r>
          </w:p>
        </w:tc>
        <w:tc>
          <w:tcPr>
            <w:tcW w:w="760" w:type="dxa"/>
            <w:vAlign w:val="bottom"/>
          </w:tcPr>
          <w:p>
            <w:pPr>
              <w:spacing w:after="0"/>
              <w:rPr>
                <w:sz w:val="20"/>
                <w:szCs w:val="20"/>
                <w:color w:val="auto"/>
              </w:rPr>
            </w:pPr>
          </w:p>
        </w:tc>
      </w:tr>
      <w:tr>
        <w:trPr>
          <w:trHeight w:val="675"/>
        </w:trPr>
        <w:tc>
          <w:tcPr>
            <w:tcW w:w="1066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summarizes the fair value of assets acquired and liabilities assumed as of the acquisition date ($ amounts in 000’s):</w:t>
            </w:r>
          </w:p>
        </w:tc>
        <w:tc>
          <w:tcPr>
            <w:tcW w:w="760" w:type="dxa"/>
            <w:vAlign w:val="bottom"/>
          </w:tcPr>
          <w:p>
            <w:pPr>
              <w:spacing w:after="0"/>
              <w:rPr>
                <w:sz w:val="24"/>
                <w:szCs w:val="24"/>
                <w:color w:val="auto"/>
              </w:rPr>
            </w:pPr>
          </w:p>
        </w:tc>
      </w:tr>
      <w:tr>
        <w:trPr>
          <w:trHeight w:val="135"/>
        </w:trPr>
        <w:tc>
          <w:tcPr>
            <w:tcW w:w="10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Finite-lived intangible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57"/>
        </w:trPr>
        <w:tc>
          <w:tcPr>
            <w:tcW w:w="1006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6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w:t>
            </w:r>
          </w:p>
        </w:tc>
      </w:tr>
      <w:tr>
        <w:trPr>
          <w:trHeight w:val="20"/>
        </w:trPr>
        <w:tc>
          <w:tcPr>
            <w:tcW w:w="10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Identified finite-lived intangible assets consist of developed technology that will be amortized as cost of revenue, ratably on a straight-line basis over an estimated useful life of 3 years. Pro-forma results of operations have not been presented because the acquisitions, individually and collectively, were not material to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Coyote Point Systems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March 21, 2013, we acquired all of the outstanding equity securities of Coyote Point Systems, Inc. (“Coyote”), a provider of application delivery, load balancing and acceleration solutions, for $6.0 million in cash. The acquisition also includes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employment during the earn-out period, these contingent obligations are being recorded as compensation expense ratably over the earn-out periods.</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summarizes the fair value of assets acquired and liabilities assumed as of the acquisition date ($ amounts in 000’s):</w:t>
            </w:r>
          </w:p>
        </w:tc>
        <w:tc>
          <w:tcPr>
            <w:tcW w:w="76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r>
      <w:tr>
        <w:trPr>
          <w:trHeight w:val="237"/>
        </w:trPr>
        <w:tc>
          <w:tcPr>
            <w:tcW w:w="1006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2,976</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Of the total acquired identified intangible assets, we allocated $2.3 million to developed technology, $0.5 million to customer relationships, and $2.6 million to in-process research and development (“IPR&amp;D”) as of the acquisition date. Identified finite-lived intangible assets consist of developed technology and customer relationships that are being amortized as cost of revenue and sales and marketing expense, respectively, ratably on a straight-line basis, each over an estimated useful life of 6 years. Identified indefinite-lived intangible assets consisted of acquired IPR&amp;D relating to existing research and development projects at the time of acquisition. The goodwill of $2.8 million represents the premium we paid over the fair value of the net tangible liabilities assumed and identified intangible assets acquired. We paid this premium for a number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reasons, primarily for acquiring developed and in-process technology. None of the goodwill recognized as a result of the acquisition is deductible for income tax purposes. The financial results of this acquisition were considered immaterial for purposes of pro-forma financial disclosures. During the three months ended September 30, 2013, we completed the development of technology associated with the IPR&amp;D projects, and started amortizing this developed technology as cost of revenue ratably on a straight-line basis over an estimated useful life of 6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XDN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December 7, 2012, we completed the acquisition of XDN, Inc., a provider of cloud-based content delivery solutions, for a total consideration of $0.5 million. We accounted for this acquisition as a purchase of a business and, accordingly, the total purchase price was allocated to identifiable intangible assets acquired based on their estimated fair market value as of the acquisition date. The purchase price allocation resulted in purchased identifiable intangible assets of $0.5 million. Identifiable intangible assets consist of developed technology. The fair value assigned to identifiable intangible assets acquired was determined using the market approach, which compares the value of the purchased assets to similar assets in similar lines of business. These purchased identifiable intangible assets are being amortized as cost of revenue ratably over three years. The financial results of this acquisition were considered immaterial for purposes of pro forma financial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IntruGuard</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March 8, 2012, we completed the acquisition of IntruGuard Devices, Inc. (“IntruGuard”), a supplier of Distributed Denial of Services ("DDoS"), prevention products, for a total consideration of $1.0 million. Of the total consideration, $0.4 million was withheld in escrow as security for IntruGuard’s indemnification obligations. We accounted for this acquisition as a purchase of a business and, accordingly, the total purchase price was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$0.9 million.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amortized as cost of revenue ratably over three years. Of the $0.4 million previously withheld in escrow, $0.2 million and $0.2 million were released to the selling stockholders during the three months ended September 30, 2012 and the three months ended March 31, 2013, respectively. The financial results of this acquisition were considered immaterial for purposes of pro forma financial disclosures.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0" w:firstLine="648"/>
        <w:spacing w:after="0" w:line="308" w:lineRule="auto"/>
        <w:rPr>
          <w:sz w:val="20"/>
          <w:szCs w:val="20"/>
          <w:color w:val="auto"/>
        </w:rPr>
      </w:pPr>
      <w:r>
        <w:rPr>
          <w:rFonts w:ascii="Arial" w:cs="Arial" w:eastAsia="Arial" w:hAnsi="Arial"/>
          <w:sz w:val="17"/>
          <w:szCs w:val="17"/>
          <w:color w:val="auto"/>
        </w:rPr>
        <w:t>We recorded $2.8 million of goodwill based on the purchase price allocation of the acquisition of Coyote during the nine months ended September 30, 2013. There were no impairments to goodwill during the three and nine months ended September 30,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 ($ amounts in 000’s):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2013</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580" w:type="dxa"/>
            <w:vAlign w:val="bottom"/>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740" w:type="dxa"/>
            <w:vAlign w:val="bottom"/>
            <w:gridSpan w:val="2"/>
          </w:tcPr>
          <w:p>
            <w:pPr>
              <w:ind w:left="62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1580" w:type="dxa"/>
            <w:vAlign w:val="bottom"/>
          </w:tcPr>
          <w:p>
            <w:pPr>
              <w:jc w:val="right"/>
              <w:ind w:right="572"/>
              <w:spacing w:after="0"/>
              <w:rPr>
                <w:sz w:val="20"/>
                <w:szCs w:val="20"/>
                <w:color w:val="auto"/>
              </w:rPr>
            </w:pPr>
            <w:r>
              <w:rPr>
                <w:rFonts w:ascii="Arial" w:cs="Arial" w:eastAsia="Arial" w:hAnsi="Arial"/>
                <w:sz w:val="16"/>
                <w:szCs w:val="16"/>
                <w:b w:val="1"/>
                <w:bCs w:val="1"/>
                <w:color w:val="auto"/>
              </w:rPr>
              <w:t>Net</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other intangible assets: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62"/>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18"/>
                <w:szCs w:val="18"/>
                <w:b w:val="1"/>
                <w:bCs w:val="1"/>
                <w:color w:val="auto"/>
                <w:vertAlign w:val="superscript"/>
              </w:rPr>
              <w:t>(1)</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7,389</w:t>
            </w:r>
          </w:p>
        </w:tc>
      </w:tr>
      <w:tr>
        <w:trPr>
          <w:trHeight w:val="278"/>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intangible assets</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10,409</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7,846</w:t>
            </w:r>
          </w:p>
        </w:tc>
      </w:tr>
      <w:tr>
        <w:trPr>
          <w:trHeight w:val="284"/>
        </w:trPr>
        <w:tc>
          <w:tcPr>
            <w:tcW w:w="64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bl>
    <w:p>
      <w:pPr>
        <w:spacing w:after="0" w:line="8" w:lineRule="exact"/>
        <w:rPr>
          <w:sz w:val="20"/>
          <w:szCs w:val="20"/>
          <w:color w:val="auto"/>
        </w:rPr>
      </w:pPr>
    </w:p>
    <w:p>
      <w:pPr>
        <w:ind w:left="40" w:right="520" w:hanging="5"/>
        <w:spacing w:after="0" w:line="291" w:lineRule="auto"/>
        <w:tabs>
          <w:tab w:leader="none" w:pos="178" w:val="left"/>
        </w:tabs>
        <w:numPr>
          <w:ilvl w:val="0"/>
          <w:numId w:val="4"/>
        </w:numPr>
        <w:rPr>
          <w:rFonts w:ascii="Arial" w:cs="Arial" w:eastAsia="Arial" w:hAnsi="Arial"/>
          <w:sz w:val="8"/>
          <w:szCs w:val="8"/>
          <w:color w:val="auto"/>
        </w:rPr>
      </w:pPr>
      <w:r>
        <w:rPr>
          <w:rFonts w:ascii="Arial" w:cs="Arial" w:eastAsia="Arial" w:hAnsi="Arial"/>
          <w:sz w:val="13"/>
          <w:szCs w:val="13"/>
          <w:color w:val="auto"/>
        </w:rPr>
        <w:t>This amount includes the completed IPR&amp;D acquired from Coyote of $2.6 million. During the three months ended September 30, 2013, we completed the associated IPR&amp;D projects and transferred the IPR&amp;D to developed technology. We started amortizing this developed technology as cost of revenue ratably on a straight-line basis over an estimated useful life of 6 years.</w:t>
      </w:r>
    </w:p>
    <w:p>
      <w:pPr>
        <w:spacing w:after="0" w:line="358"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Accumulated</w:t>
            </w:r>
          </w:p>
        </w:tc>
        <w:tc>
          <w:tcPr>
            <w:tcW w:w="1560" w:type="dxa"/>
            <w:vAlign w:val="bottom"/>
          </w:tcPr>
          <w:p>
            <w:pPr>
              <w:spacing w:after="0"/>
              <w:rPr>
                <w:sz w:val="17"/>
                <w:szCs w:val="17"/>
                <w:color w:val="auto"/>
              </w:rPr>
            </w:pPr>
          </w:p>
        </w:tc>
      </w:tr>
      <w:tr>
        <w:trPr>
          <w:trHeight w:val="210"/>
        </w:trPr>
        <w:tc>
          <w:tcPr>
            <w:tcW w:w="63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6"/>
                <w:szCs w:val="16"/>
                <w:b w:val="1"/>
                <w:bCs w:val="1"/>
                <w:color w:val="auto"/>
                <w:w w:val="90"/>
              </w:rPr>
              <w:t>Gross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Amortization</w:t>
            </w:r>
          </w:p>
        </w:tc>
        <w:tc>
          <w:tcPr>
            <w:tcW w:w="1560" w:type="dxa"/>
            <w:vAlign w:val="bottom"/>
          </w:tcPr>
          <w:p>
            <w:pPr>
              <w:jc w:val="right"/>
              <w:ind w:right="573"/>
              <w:spacing w:after="0"/>
              <w:rPr>
                <w:sz w:val="20"/>
                <w:szCs w:val="20"/>
                <w:color w:val="auto"/>
              </w:rPr>
            </w:pPr>
            <w:r>
              <w:rPr>
                <w:rFonts w:ascii="Arial" w:cs="Arial" w:eastAsia="Arial" w:hAnsi="Arial"/>
                <w:sz w:val="16"/>
                <w:szCs w:val="16"/>
                <w:b w:val="1"/>
                <w:bCs w:val="1"/>
                <w:color w:val="auto"/>
              </w:rPr>
              <w:t>Net</w:t>
            </w:r>
          </w:p>
        </w:tc>
      </w:tr>
      <w:tr>
        <w:trPr>
          <w:trHeight w:val="33"/>
        </w:trPr>
        <w:tc>
          <w:tcPr>
            <w:tcW w:w="6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other intangible assets: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260"/>
              <w:spacing w:after="0"/>
              <w:rPr>
                <w:sz w:val="20"/>
                <w:szCs w:val="20"/>
                <w:color w:val="auto"/>
              </w:rPr>
            </w:pPr>
            <w:r>
              <w:rPr>
                <w:rFonts w:ascii="Arial" w:cs="Arial" w:eastAsia="Arial" w:hAnsi="Arial"/>
                <w:sz w:val="18"/>
                <w:szCs w:val="18"/>
                <w:color w:val="auto"/>
              </w:rPr>
              <w:t>Developed technology</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3,541</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2,117</w:t>
            </w:r>
          </w:p>
        </w:tc>
      </w:tr>
      <w:tr>
        <w:trPr>
          <w:trHeight w:val="27"/>
        </w:trPr>
        <w:tc>
          <w:tcPr>
            <w:tcW w:w="6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intangible assets</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3,541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Amortization expense was $0.4 million and $0.3 million for the three months ended September 30, 2013 and September 30, 2012, respectively. Amortization expense was $1.1 million and $0.7 million for the nine months ended September 30, 2013 and September 30, 2012, respectively. The following table summarizes estimated future amortization expense of other intangible assets with finite lives for future fiscal years ($ amounts in 000’s):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jc w:val="right"/>
              <w:ind w:right="71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56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2013 (remainder)</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2015</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2017</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620" w:type="dxa"/>
            <w:vAlign w:val="bottom"/>
            <w:vMerge w:val="restart"/>
          </w:tcPr>
          <w:p>
            <w:pPr>
              <w:jc w:val="right"/>
              <w:ind w:right="3370"/>
              <w:spacing w:after="0"/>
              <w:rPr>
                <w:sz w:val="20"/>
                <w:szCs w:val="20"/>
                <w:color w:val="auto"/>
              </w:rPr>
            </w:pPr>
            <w:r>
              <w:rPr>
                <w:rFonts w:ascii="Arial" w:cs="Arial" w:eastAsia="Arial" w:hAnsi="Arial"/>
                <w:sz w:val="18"/>
                <w:szCs w:val="18"/>
                <w:color w:val="auto"/>
              </w:rPr>
              <w:t>24</w:t>
            </w: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nine months ended September 30, 2013 ($ amounts in 000's):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Tax benefit or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provision related to</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Foreign Currency</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Unrealized Gains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items of other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Translation Gains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 on</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5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Investments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income or loss</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details about the reclassification out of accumulated other comprehensive income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 amounts in 000s):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Amount Reclassified from</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2"/>
              </w:rPr>
              <w:t>Affected Line Item in the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Accumulated Other</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Where Net Income is</w:t>
            </w:r>
          </w:p>
        </w:tc>
        <w:tc>
          <w:tcPr>
            <w:tcW w:w="0" w:type="dxa"/>
            <w:vAlign w:val="bottom"/>
          </w:tcPr>
          <w:p>
            <w:pPr>
              <w:spacing w:after="0"/>
              <w:rPr>
                <w:sz w:val="1"/>
                <w:szCs w:val="1"/>
                <w:color w:val="auto"/>
              </w:rPr>
            </w:pPr>
          </w:p>
        </w:tc>
      </w:tr>
      <w:tr>
        <w:trPr>
          <w:trHeight w:val="234"/>
        </w:trPr>
        <w:tc>
          <w:tcPr>
            <w:tcW w:w="654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Details about Accumulated Other Comprehensive Income Components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Comprehensive Income</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Presented</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These statements include, among other things, statements concerning our expectations regarding:</w:t>
      </w:r>
    </w:p>
    <w:p>
      <w:pPr>
        <w:spacing w:after="0" w:line="7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expected impact of certain acquisitions, asset purchases and strategic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the proportion of our revenue that consists of our product and service revenues, and the mix of billings between products and services;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expanding our reach into new high growth verticals and emerging markets and continuing to sell to large enterprises and service providers;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meet increasing customer expectations about the quality and functionality of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continued investments in research and development to strengthen our technology leadership position and in sales and marketing;</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sufficiency of our existing cash, cash equivalents and investments to meet our cash needs for at least the next 12 months;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in Part II, Item 1A. Risk Factors and elsewhere in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From inception through September 30, 2013, we shipped over 1,300,000 appliances via more than 19,000 channel partners to more than 170,000 end-customers worldwide, including a majority of the 2012 Fortune Global 100.</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core Unified Threat Management (“UTM”)/Next Generation Firewall (“NGFW”) and Data Center Firewall (“DCFW”) product line of FortiGate physical and virtual appliances ships with a set of security and networking capabilities,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including firewall, VPN, application control, anti-malware,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UTM/NGFW/DCFW solution also includes our FortiGuard security subscription services, which end-customers can subscribe to in order to obtain access to dynamic updates to intrusion prevention, application control, anti-malware,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that offer additional protection from security threats to other critical areas of the enterprise, such as messaging, Web application firewalls, databases, protection against DDoS, endpoint security for employee computers and mobile devices, wireless access points and application delivery controllers. Although sales of these complementary products have grown in recent quarters, these products still represent less than 10% of our total revenue.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September 13, 2013, we acquired certain assets of Xtera Communications, Inc. (“Xtera”) in order to add products to enhance our load balancing solutions and to add patents to our patent portfolio .</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August 2013, we invested in and entered into a strategic go-to-market alliance agreement with HyTrust, a privately-held company, that specializes in cloud security automation in order to strengthen our commitment to virtualization and data center 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60" w:hanging="644"/>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total revenue of $154.7 million and $437.9 million during the three and nine months ended September 30, 2013, respectively. This represents an increase of 14% and 15% during the three and nine months ended September 30, 2013, respectively, compared to the same periods last year. Product revenue was $69.7 million and $194.2 million during the three and nine months ended September 30, 2013, respectively, an increase of 11% and 9%, respectively, compared to the same periods last year. Services revenue was $83.9 million and $239.4 million during the three and nine months ended September 30, 2013, respectively, an increase of 20% and 21%, respectively, compared to the same periods last year.</w:t>
      </w:r>
    </w:p>
    <w:p>
      <w:pPr>
        <w:spacing w:after="0" w:line="193"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$100.7 million during the nine months ended September 30, 2013, a decrease of 25% compared to the same period last year.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cash equivalents and investments were $841.0 million as of September 30, 2013, an increase of $101.4 million from December 31, 2012.</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$400.2 million as of September 30, 2013, an increase of $37.0 million from December 31, 2012.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and nine months ended September 30, 2013, revenue grew as a result of a slightly better business environment, along with our focus on improving sales execution and productivity of our sales force. We also continued to gain traction with several recently introduced products, including new FortiGate entry-level appliances such as the FG-60D and FG-90D with its WIFI counterparts; the FG-200D and FG-800C mid-range appliance; and the FG-3600C and FG-5001C for large enterprises and service providers.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awareness, strengthen our value proposition, and expand our global sales team and distribution channels. During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we experienced higher sales volume in our FortiGate product family, particularly entry-level products, wireless security and access point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which contributed to the largest portion of the growth during this period. During the three and nine months ended September 30, 2013,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experienced an increase in the number of deals involving sales greater than $100,000 when compared to the same periods last year as the number of deals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involving sales greater than $100,000 was 187 and 547 in the three and nine months ended September 30, 2013, respectively, compared to 168 and 489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and nine months ended September 30, 2012, respectively. The number of deals involving sales greater than $250,000 was 61 and 174 in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2013, respectively, compared to 61 and 163 in the three and nine months ended September 30, 2012,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number of deals involving sales greater than $500,000 was 19 and 52 in the three and nine months ended September 30, 2013,</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respectively, compared to 16 and 54 in the three and nine months ended September 30, 2012, respectively. We expect some variability in this metric, and remain focused on investing in our sales and marketing and research and development resources in order to expand our reach into new high-growth verticals and emerging markets. Moreover, we expect such investments to help us to meet increasing customer expectations about the quality and functionality of our products, as we continue to sell to large enterprises and service providers. While we have experienced some success selling to large enterprises, across key verticals, including service provider, government, retail, financial services and education, we experienced increased pressure from the macro-economic environment in APAC during the three and nine months ended September 30, 2013, and there can be no assurance we will be successful selling into these vertical customer segments.</w:t>
      </w:r>
    </w:p>
    <w:p>
      <w:pPr>
        <w:spacing w:after="0" w:line="18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three and nine months ended September 30, 2013, operating expenses increased by 27% and 25% compared to the same periods last year. The increase was primarily driven by additional headcount as we continued to invest in the development of new products and expand our sales coverage. Headcount increased to 2,238 as of September 30, 2013 from 1,854 as of September 30, 2012. Our accelerated pace of hiring continued during the three and nine months ended September 30, 2013, particularly in sales and marketing, research and development, and technical support.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monitor the key financial metrics set forth below to help us evaluate growth trends, establish budgets, measure the effectiveness of our sales and marketing efforts, and assess operational efficiencies. Our total deferred revenue increased by $10.5 million from $389.7 million as of June 30, 2013 to $400.2 million as of September 30, 2013. Revenue recognized plus the change in deferred revenue from the beginning to the end of the period less any deferred revenue balances acquired from business combinations is a useful metric that management identifies as billings. Billings for services drive deferred revenue, which is an important indicator of the health and visibility of our business, and has historically represented a majority of the revenue that we recognize in a typical quarter. As of September 30, 2013, we had $841.0 million in cash, cash equivalents and investments and have had positive cash flow from operations every fiscal year since 2005. We discuss revenue, gross margin, and the components of operating income and margin below under “—Results of Operations,” and we discuss our cash, cash equivalents, and investments under “—Liquidity and Capital Resources.” Deferred revenue and cash flow from operations are discussed immediately below the following table.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22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72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tcPr>
          <w:p>
            <w:pPr>
              <w:jc w:val="right"/>
              <w:ind w:right="21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200" w:type="dxa"/>
            <w:vAlign w:val="bottom"/>
          </w:tcPr>
          <w:p>
            <w:pPr>
              <w:spacing w:after="0"/>
              <w:rPr>
                <w:sz w:val="18"/>
                <w:szCs w:val="18"/>
                <w:color w:val="auto"/>
              </w:rPr>
            </w:pPr>
          </w:p>
        </w:tc>
        <w:tc>
          <w:tcPr>
            <w:tcW w:w="1720" w:type="dxa"/>
            <w:vAlign w:val="bottom"/>
          </w:tcPr>
          <w:p>
            <w:pPr>
              <w:jc w:val="right"/>
              <w:ind w:right="695"/>
              <w:spacing w:after="0"/>
              <w:rPr>
                <w:sz w:val="20"/>
                <w:szCs w:val="20"/>
                <w:color w:val="auto"/>
              </w:rPr>
            </w:pPr>
            <w:r>
              <w:rPr>
                <w:rFonts w:ascii="Arial" w:cs="Arial" w:eastAsia="Arial" w:hAnsi="Arial"/>
                <w:sz w:val="16"/>
                <w:szCs w:val="16"/>
                <w:b w:val="1"/>
                <w:bCs w:val="1"/>
                <w:color w:val="auto"/>
              </w:rPr>
              <w:t>2013</w:t>
            </w:r>
          </w:p>
        </w:tc>
        <w:tc>
          <w:tcPr>
            <w:tcW w:w="15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2012</w:t>
            </w:r>
          </w:p>
        </w:tc>
      </w:tr>
      <w:tr>
        <w:trPr>
          <w:trHeight w:val="33"/>
        </w:trPr>
        <w:tc>
          <w:tcPr>
            <w:tcW w:w="8200" w:type="dxa"/>
            <w:vAlign w:val="bottom"/>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r>
      <w:tr>
        <w:trPr>
          <w:trHeight w:val="217"/>
        </w:trPr>
        <w:tc>
          <w:tcPr>
            <w:tcW w:w="8200" w:type="dxa"/>
            <w:vAlign w:val="bottom"/>
          </w:tcPr>
          <w:p>
            <w:pPr>
              <w:spacing w:after="0"/>
              <w:rPr>
                <w:sz w:val="18"/>
                <w:szCs w:val="18"/>
                <w:color w:val="auto"/>
              </w:rPr>
            </w:pPr>
          </w:p>
        </w:tc>
        <w:tc>
          <w:tcPr>
            <w:tcW w:w="3220" w:type="dxa"/>
            <w:vAlign w:val="bottom"/>
            <w:gridSpan w:val="2"/>
          </w:tcPr>
          <w:p>
            <w:pPr>
              <w:jc w:val="right"/>
              <w:ind w:right="81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154,699</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136,268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Gross margin</w:t>
            </w:r>
          </w:p>
        </w:tc>
        <w:tc>
          <w:tcPr>
            <w:tcW w:w="1720" w:type="dxa"/>
            <w:vAlign w:val="bottom"/>
          </w:tcPr>
          <w:p>
            <w:pPr>
              <w:jc w:val="right"/>
              <w:ind w:right="115"/>
              <w:spacing w:after="0"/>
              <w:rPr>
                <w:sz w:val="20"/>
                <w:szCs w:val="20"/>
                <w:color w:val="auto"/>
              </w:rPr>
            </w:pPr>
            <w:r>
              <w:rPr>
                <w:rFonts w:ascii="Arial" w:cs="Arial" w:eastAsia="Arial" w:hAnsi="Arial"/>
                <w:sz w:val="18"/>
                <w:szCs w:val="18"/>
                <w:color w:val="auto"/>
              </w:rPr>
              <w:t>72%</w:t>
            </w: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7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18,279</w:t>
            </w:r>
          </w:p>
        </w:tc>
        <w:tc>
          <w:tcPr>
            <w:tcW w:w="1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25,770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Operating margin</w:t>
            </w:r>
          </w:p>
        </w:tc>
        <w:tc>
          <w:tcPr>
            <w:tcW w:w="1720" w:type="dxa"/>
            <w:vAlign w:val="bottom"/>
          </w:tcPr>
          <w:p>
            <w:pPr>
              <w:jc w:val="right"/>
              <w:ind w:right="115"/>
              <w:spacing w:after="0"/>
              <w:rPr>
                <w:sz w:val="20"/>
                <w:szCs w:val="20"/>
                <w:color w:val="auto"/>
              </w:rPr>
            </w:pPr>
            <w:r>
              <w:rPr>
                <w:rFonts w:ascii="Arial" w:cs="Arial" w:eastAsia="Arial" w:hAnsi="Arial"/>
                <w:sz w:val="18"/>
                <w:szCs w:val="18"/>
                <w:color w:val="auto"/>
              </w:rPr>
              <w:t>12%</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7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400,173</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340,078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Increase in total deferred revenue</w:t>
            </w:r>
          </w:p>
        </w:tc>
        <w:tc>
          <w:tcPr>
            <w:tcW w:w="1720" w:type="dxa"/>
            <w:vAlign w:val="bottom"/>
          </w:tcPr>
          <w:p>
            <w:pPr>
              <w:jc w:val="right"/>
              <w:ind w:right="255"/>
              <w:spacing w:after="0"/>
              <w:rPr>
                <w:sz w:val="20"/>
                <w:szCs w:val="20"/>
                <w:color w:val="auto"/>
              </w:rPr>
            </w:pPr>
            <w:r>
              <w:rPr>
                <w:rFonts w:ascii="Arial" w:cs="Arial" w:eastAsia="Arial" w:hAnsi="Arial"/>
                <w:sz w:val="18"/>
                <w:szCs w:val="18"/>
                <w:color w:val="auto"/>
              </w:rPr>
              <w:t>10,491</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8,710</w:t>
            </w:r>
          </w:p>
        </w:tc>
      </w:tr>
      <w:tr>
        <w:trPr>
          <w:trHeight w:val="27"/>
        </w:trPr>
        <w:tc>
          <w:tcPr>
            <w:tcW w:w="8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7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841,005</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690,303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1720" w:type="dxa"/>
            <w:vAlign w:val="bottom"/>
          </w:tcPr>
          <w:p>
            <w:pPr>
              <w:jc w:val="right"/>
              <w:ind w:right="255"/>
              <w:spacing w:after="0"/>
              <w:rPr>
                <w:sz w:val="20"/>
                <w:szCs w:val="20"/>
                <w:color w:val="auto"/>
              </w:rPr>
            </w:pPr>
            <w:r>
              <w:rPr>
                <w:rFonts w:ascii="Arial" w:cs="Arial" w:eastAsia="Arial" w:hAnsi="Arial"/>
                <w:sz w:val="18"/>
                <w:szCs w:val="18"/>
                <w:color w:val="auto"/>
              </w:rPr>
              <w:t>25,384</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40,770</w:t>
            </w:r>
          </w:p>
        </w:tc>
      </w:tr>
      <w:tr>
        <w:trPr>
          <w:trHeight w:val="27"/>
        </w:trPr>
        <w:tc>
          <w:tcPr>
            <w:tcW w:w="8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r>
              <w:rPr>
                <w:rFonts w:ascii="Arial" w:cs="Arial" w:eastAsia="Arial" w:hAnsi="Arial"/>
                <w:sz w:val="18"/>
                <w:szCs w:val="18"/>
                <w:color w:val="auto"/>
                <w:vertAlign w:val="superscript"/>
              </w:rPr>
              <w:t>(2)</w:t>
            </w:r>
          </w:p>
        </w:tc>
        <w:tc>
          <w:tcPr>
            <w:tcW w:w="17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22,224</w:t>
            </w:r>
          </w:p>
        </w:tc>
        <w:tc>
          <w:tcPr>
            <w:tcW w:w="1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24,342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___________________</w:t>
            </w: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8200" w:type="dxa"/>
            <w:vAlign w:val="bottom"/>
          </w:tcPr>
          <w:p>
            <w:pPr>
              <w:ind w:left="40"/>
              <w:spacing w:after="0"/>
              <w:rPr>
                <w:sz w:val="20"/>
                <w:szCs w:val="20"/>
                <w:color w:val="auto"/>
              </w:rPr>
            </w:pPr>
            <w:r>
              <w:rPr>
                <w:rFonts w:ascii="Arial" w:cs="Arial" w:eastAsia="Arial" w:hAnsi="Arial"/>
                <w:sz w:val="14"/>
                <w:szCs w:val="14"/>
                <w:color w:val="auto"/>
              </w:rPr>
              <w:t>(1) Includes:</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720" w:type="dxa"/>
            <w:vAlign w:val="bottom"/>
          </w:tcPr>
          <w:p>
            <w:pPr>
              <w:jc w:val="right"/>
              <w:ind w:right="275"/>
              <w:spacing w:after="0"/>
              <w:rPr>
                <w:sz w:val="20"/>
                <w:szCs w:val="20"/>
                <w:color w:val="auto"/>
              </w:rPr>
            </w:pPr>
            <w:r>
              <w:rPr>
                <w:rFonts w:ascii="Arial" w:cs="Arial" w:eastAsia="Arial" w:hAnsi="Arial"/>
                <w:sz w:val="14"/>
                <w:szCs w:val="14"/>
                <w:color w:val="auto"/>
              </w:rPr>
              <w:t>11,778</w:t>
            </w:r>
          </w:p>
        </w:tc>
        <w:tc>
          <w:tcPr>
            <w:tcW w:w="1500" w:type="dxa"/>
            <w:vAlign w:val="bottom"/>
          </w:tcPr>
          <w:p>
            <w:pPr>
              <w:jc w:val="right"/>
              <w:ind w:right="94"/>
              <w:spacing w:after="0"/>
              <w:rPr>
                <w:sz w:val="20"/>
                <w:szCs w:val="20"/>
                <w:color w:val="auto"/>
              </w:rPr>
            </w:pPr>
            <w:r>
              <w:rPr>
                <w:rFonts w:ascii="Arial" w:cs="Arial" w:eastAsia="Arial" w:hAnsi="Arial"/>
                <w:sz w:val="14"/>
                <w:szCs w:val="14"/>
                <w:color w:val="auto"/>
              </w:rPr>
              <w:t>8,830</w:t>
            </w: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720" w:type="dxa"/>
            <w:vAlign w:val="bottom"/>
          </w:tcPr>
          <w:p>
            <w:pPr>
              <w:jc w:val="right"/>
              <w:ind w:right="275"/>
              <w:spacing w:after="0"/>
              <w:rPr>
                <w:sz w:val="20"/>
                <w:szCs w:val="20"/>
                <w:color w:val="auto"/>
              </w:rPr>
            </w:pPr>
            <w:r>
              <w:rPr>
                <w:rFonts w:ascii="Arial" w:cs="Arial" w:eastAsia="Arial" w:hAnsi="Arial"/>
                <w:sz w:val="14"/>
                <w:szCs w:val="14"/>
                <w:color w:val="auto"/>
              </w:rPr>
              <w:t>478</w:t>
            </w:r>
          </w:p>
        </w:tc>
        <w:tc>
          <w:tcPr>
            <w:tcW w:w="1500" w:type="dxa"/>
            <w:vAlign w:val="bottom"/>
          </w:tcPr>
          <w:p>
            <w:pPr>
              <w:jc w:val="right"/>
              <w:ind w:right="94"/>
              <w:spacing w:after="0"/>
              <w:rPr>
                <w:sz w:val="20"/>
                <w:szCs w:val="20"/>
                <w:color w:val="auto"/>
              </w:rPr>
            </w:pPr>
            <w:r>
              <w:rPr>
                <w:rFonts w:ascii="Arial" w:cs="Arial" w:eastAsia="Arial" w:hAnsi="Arial"/>
                <w:sz w:val="14"/>
                <w:szCs w:val="14"/>
                <w:color w:val="auto"/>
              </w:rPr>
              <w:t>478</w:t>
            </w:r>
          </w:p>
        </w:tc>
      </w:tr>
      <w:tr>
        <w:trPr>
          <w:trHeight w:val="324"/>
        </w:trPr>
        <w:tc>
          <w:tcPr>
            <w:tcW w:w="8200" w:type="dxa"/>
            <w:vAlign w:val="bottom"/>
          </w:tcPr>
          <w:p>
            <w:pPr>
              <w:ind w:left="40"/>
              <w:spacing w:after="0"/>
              <w:rPr>
                <w:sz w:val="20"/>
                <w:szCs w:val="20"/>
                <w:color w:val="auto"/>
              </w:rPr>
            </w:pPr>
            <w:r>
              <w:rPr>
                <w:rFonts w:ascii="Arial" w:cs="Arial" w:eastAsia="Arial" w:hAnsi="Arial"/>
                <w:sz w:val="14"/>
                <w:szCs w:val="14"/>
                <w:color w:val="auto"/>
              </w:rPr>
              <w:t>(2) See “—Cash flow from operations” below for a definition of free cash flow.</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1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less any deferred revenue balances acquired from business combination(s) during the period. The following table reflects the reconciliation of billings to revenue. For a discussion of the limitations of non-GAAP financial measures, see “—Other Non-GAAP Financial Measures”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tcPr>
          <w:p>
            <w:pPr>
              <w:jc w:val="right"/>
              <w:ind w:right="29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154,699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136,268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increase in deferred revenue</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8,710</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165,190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144,978</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Cash flow from operations. </w:t>
      </w:r>
      <w:r>
        <w:rPr>
          <w:rFonts w:ascii="Arial" w:cs="Arial" w:eastAsia="Arial" w:hAnsi="Arial"/>
          <w:sz w:val="18"/>
          <w:szCs w:val="18"/>
          <w:color w:val="auto"/>
        </w:rPr>
        <w:t>We monitor cash flow from operations as a measure of our overall business performance. Our cash flow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driven in large part by our billings growth, profitability, and our ability to successfully manage our working capital.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The following table provides a reconciliation of free cash flow to cash provided by operating activities. For a discussion of the limitations of non-GAAP financial measures, see “—Other Non-GAAP Financial Measures”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tcPr>
          <w:p>
            <w:pPr>
              <w:jc w:val="right"/>
              <w:ind w:right="29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25,384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40,770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(16,428)</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22,224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24,342</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supplement our consolidated financial statements presented in accordance with GAAP, we consider certain financial measures that are not prepared in accordance with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offset by patent settlement income. Effective second quarter of fiscal 2013, our non-GAAP financial measures exclude amortization expense of certain intangible assets. Prior period amounts have been adjusted to conform to current period presentation.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operations. We compensate for these limitations by providing the nearest GAAP equivalents of these non-GAAP financial measures and describing these GAAP equivalents in the section entitled “—Results of Operations” below.</w:t>
      </w:r>
    </w:p>
    <w:p>
      <w:pPr>
        <w:spacing w:after="0" w:line="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Non-GAAP gross margin represents gross margin as reported in our consolidated statements of operations, excluding the impact of stock-based compensation expense and amortization expense of certain intangible assets, both of which are non-cash charges. Non-GAAP operating income is operating income, as reported in our consolidated statements of operations, excluding the impact of stock-based compensation expense, amortization expense of certain intangible assets, and the income we receive from a patent settlement. Non-GAAP operating margin is non-GAAP operating income divided by revenue. The following table reconciles GAAP gross profit, GAAP gross margin, GAAP operating income, and GAAP operating margin to non-GAAP gross profit, non-GAAP gross margin, non-GAAP operating income, and non-GAAP operating margin for the three months ended September 30, 2013 and September 30,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9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2180" w:type="dxa"/>
            <w:vAlign w:val="bottom"/>
            <w:gridSpan w:val="4"/>
          </w:tcPr>
          <w:p>
            <w:pPr>
              <w:jc w:val="center"/>
              <w:ind w:left="132"/>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652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r>
      <w:tr>
        <w:trPr>
          <w:trHeight w:val="210"/>
        </w:trPr>
        <w:tc>
          <w:tcPr>
            <w:tcW w:w="6520" w:type="dxa"/>
            <w:vAlign w:val="bottom"/>
          </w:tcPr>
          <w:p>
            <w:pPr>
              <w:spacing w:after="0"/>
              <w:rPr>
                <w:sz w:val="18"/>
                <w:szCs w:val="18"/>
                <w:color w:val="auto"/>
              </w:rPr>
            </w:pPr>
          </w:p>
        </w:tc>
        <w:tc>
          <w:tcPr>
            <w:tcW w:w="146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Revenue</w:t>
            </w: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0"/>
              </w:rPr>
              <w:t>($ amounts in 000’s)</w:t>
            </w:r>
          </w:p>
        </w:tc>
        <w:tc>
          <w:tcPr>
            <w:tcW w:w="9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154,699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136,268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110,769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98,460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520" w:type="dxa"/>
            <w:vAlign w:val="bottom"/>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112,580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99,789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34,348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80" w:right="360" w:hanging="572"/>
        <w:spacing w:after="0" w:line="273"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gross profit and margin, and GAAP operating income and margin to reconcile to non-GAAP financial metrics. Prior period amounts have been adjusted to conform to current period presentation.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Non-GAAP operating expenses represent operating expenses, as reported in our condensed consolidated statements of operations, excluding the impact of stock-based compensation expense and the income from a patent settlement. The following table reconciles GAAP operating expenses to non-GAAP operating expenses for the three months ended September 30, 2013 and September 30, 2012.</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22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Revenue</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 amounts in 000’s)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26,421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22,873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56,687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51,472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9,382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 income</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76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92,490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Patent settlement income</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82,578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65,441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631"/>
              <w:spacing w:after="0"/>
              <w:rPr>
                <w:sz w:val="20"/>
                <w:szCs w:val="20"/>
                <w:color w:val="auto"/>
              </w:rPr>
            </w:pPr>
            <w:r>
              <w:rPr>
                <w:rFonts w:ascii="Arial" w:cs="Arial" w:eastAsia="Arial" w:hAnsi="Arial"/>
                <w:sz w:val="18"/>
                <w:szCs w:val="18"/>
                <w:color w:val="auto"/>
              </w:rPr>
              <w:t>31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Non-GAAP net income represents net income, as reported in our condensed consolidated statements of operations, excluding the impact of stock-based compensation expense, amortization expense of certain intangible assets, and income from a patent settlement. The following table reconciles GAAP net income to non-GAAP net income for the three months ended September 30, 2013 and September 30,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2120" w:type="dxa"/>
            <w:vAlign w:val="bottom"/>
            <w:gridSpan w:val="3"/>
          </w:tcPr>
          <w:p>
            <w:pPr>
              <w:ind w:left="40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tcPr>
          <w:p>
            <w:pPr>
              <w:jc w:val="right"/>
              <w:ind w:right="291"/>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7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 and share amounts in 000’s, except per share</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120" w:type="dxa"/>
            <w:vAlign w:val="bottom"/>
            <w:gridSpan w:val="3"/>
          </w:tcPr>
          <w:p>
            <w:pPr>
              <w:jc w:val="center"/>
              <w:ind w:left="1333"/>
              <w:spacing w:after="0"/>
              <w:rPr>
                <w:sz w:val="20"/>
                <w:szCs w:val="20"/>
                <w:color w:val="auto"/>
              </w:rPr>
            </w:pPr>
            <w:r>
              <w:rPr>
                <w:rFonts w:ascii="Arial" w:cs="Arial" w:eastAsia="Arial" w:hAnsi="Arial"/>
                <w:sz w:val="16"/>
                <w:szCs w:val="16"/>
                <w:b w:val="1"/>
                <w:bCs w:val="1"/>
                <w:color w:val="auto"/>
                <w:w w:val="91"/>
              </w:rPr>
              <w:t>amounts)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(2)</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Patent settlement income </w:t>
            </w:r>
            <w:r>
              <w:rPr>
                <w:rFonts w:ascii="Arial" w:cs="Arial" w:eastAsia="Arial" w:hAnsi="Arial"/>
                <w:sz w:val="18"/>
                <w:szCs w:val="18"/>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2"/>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30,133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35,349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Non-GAAP provision for income taxes </w:t>
            </w:r>
            <w:r>
              <w:rPr>
                <w:rFonts w:ascii="Arial" w:cs="Arial" w:eastAsia="Arial" w:hAnsi="Arial"/>
                <w:sz w:val="18"/>
                <w:szCs w:val="18"/>
                <w:color w:val="auto"/>
                <w:vertAlign w:val="superscript"/>
              </w:rPr>
              <w:t>(5)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20,189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per share—diluted</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Shares used in per share calculation—diluted</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168,666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166,791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Stock-based compensation expense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right="440" w:hanging="572"/>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net income to reconcile to non-GAAP income before provision for income taxes. Prior period amounts have been adjusted to conform to current period presentation.</w:t>
      </w: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patent settlement income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Provision for income taxes is our GAAP tax provision that is included in GAAP net income to reconcile to non-GAAP income before provision for income taxes.</w:t>
      </w:r>
    </w:p>
    <w:p>
      <w:pPr>
        <w:spacing w:after="0" w:line="1" w:lineRule="exact"/>
        <w:rPr>
          <w:rFonts w:ascii="Arial" w:cs="Arial" w:eastAsia="Arial" w:hAnsi="Arial"/>
          <w:sz w:val="14"/>
          <w:szCs w:val="14"/>
          <w:color w:val="auto"/>
        </w:rPr>
      </w:pPr>
    </w:p>
    <w:p>
      <w:pPr>
        <w:ind w:left="580" w:right="140" w:hanging="572"/>
        <w:spacing w:after="0" w:line="255"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used non-GAAP effective tax rates of 33% and 34%, which could differ from the GAAP tax rates, to calculate non-GAAP net income for the three months ended September 30, 2013 and September 30, 2012,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During the three and nine months ended September 30, 2013, we recorded a non-recurring out-of-period adjustment of $3.0 million to correct the presentation on our condensed consolidated balance sheets relating to our repurchase of 1,409,264 shares during the fiscal year ended December 31, 2009. This reclassification adjustment resulted in a decrease to the outstanding treasury stock balance and a corresponding decrease to additional paid-in capital. We believe the impact of the adjustment is not material to the current or prior fiscal periods. The shares that we repurchased in 2009 were retired immediately after repurchase. There was no outstanding treasury stock balance at September 30, 2013.</w:t>
      </w:r>
    </w:p>
    <w:p>
      <w:pPr>
        <w:spacing w:after="0" w:line="17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since the fiscal year ended December 31, 2012, except for the inclusion of policies related to goodwill and other indefinite-lived intangible assets, long-term investments, and stock-based compensation expense pertaining to PSUs.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fourth quarter. We perform our annual goodwill impairment analysis at the reporting unit level. As of September 30, 2013, we had one reporting unit.</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Determining the fair value of the reporting unit requires us to make judgments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Investments in privately held companies where we own less than 20% of the voting stock and have no indicators of significant influence over operating and financial policies of those companies are included in Long-term investments in the consolidated balance sheets and are accounted for under the cost method. For these non-quoted investments, we regularly review the assumptions underlying the operating performance and cash flow forecasts based on information provided by these privately held companies. If it is determined that an other-than-temporary decline exists in an equity security, we write down the investment to its fair value and record the related impairment as an investment loss in our consolidated statements of operations. As of September 30, 2013, we only have one investment of $2.0 million in a privately-held company accounted for under the cost method.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Stock Units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PSUs are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grant date and is based on the market price of our common stock on the grant date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(Topic 220)-Reporting of Amounts Reclassified Out of Accumulated Other Comprehensive Income </w:t>
      </w:r>
      <w:r>
        <w:rPr>
          <w:rFonts w:ascii="Arial" w:cs="Arial" w:eastAsia="Arial" w:hAnsi="Arial"/>
          <w:sz w:val="17"/>
          <w:szCs w:val="17"/>
          <w:color w:val="auto"/>
        </w:rPr>
        <w:t>(“ASU 2013-02”). ASU 2013-02 requires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16,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of the notes to our condensed consolidated financial statements.</w:t>
      </w:r>
    </w:p>
    <w:p>
      <w:pPr>
        <w:spacing w:after="0" w:line="40" w:lineRule="exact"/>
        <w:rPr>
          <w:sz w:val="20"/>
          <w:szCs w:val="20"/>
          <w:color w:val="auto"/>
        </w:rPr>
      </w:pPr>
    </w:p>
    <w:p>
      <w:pPr>
        <w:ind w:right="120" w:firstLine="648"/>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July 2013, the FASB issued ASU No. 2013-11,</w:t>
      </w:r>
      <w:r>
        <w:rPr>
          <w:rFonts w:ascii="Arial" w:cs="Arial" w:eastAsia="Arial" w:hAnsi="Arial"/>
          <w:sz w:val="19"/>
          <w:szCs w:val="19"/>
          <w:color w:val="auto"/>
        </w:rPr>
        <w:t xml:space="preserve"> </w:t>
      </w:r>
      <w:r>
        <w:rPr>
          <w:rFonts w:ascii="Arial" w:cs="Arial" w:eastAsia="Arial" w:hAnsi="Arial"/>
          <w:sz w:val="17"/>
          <w:szCs w:val="17"/>
          <w:i w:val="1"/>
          <w:iCs w:val="1"/>
          <w:color w:val="auto"/>
        </w:rPr>
        <w:t>Income Taxes (Topic 740)-Presentation of an Unrecognized Tax Benefit When a Net Operating</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ASU 2013-11 provides guidance on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8"/>
          <w:szCs w:val="18"/>
          <w:b w:val="1"/>
          <w:bCs w:val="1"/>
          <w:i w:val="1"/>
          <w:iCs w:val="1"/>
          <w:color w:val="auto"/>
        </w:rPr>
        <w:t>hree months ended September 30, 2013 and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820"/>
              <w:spacing w:after="0"/>
              <w:rPr>
                <w:sz w:val="20"/>
                <w:szCs w:val="20"/>
                <w:color w:val="auto"/>
              </w:rPr>
            </w:pPr>
            <w:r>
              <w:rPr>
                <w:rFonts w:ascii="Arial" w:cs="Arial" w:eastAsia="Arial" w:hAnsi="Arial"/>
                <w:sz w:val="16"/>
                <w:szCs w:val="16"/>
                <w:b w:val="1"/>
                <w:bCs w:val="1"/>
                <w:color w:val="auto"/>
              </w:rPr>
              <w:t>September 30,</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2"/>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69,687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63,027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6,660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1,129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(2,330)</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18,431</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Europe, Middle East and Africa</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51,373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45,566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5,807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 Pacific and Japan (“APAC”)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33,485</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154,699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18,431</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Total revenue increased by $18.4 million, or 14%, during the three months ended September 30, 2013 compared to the same period last year. All three regions experienced similar revenue growth compared to the same period last year. Product revenue increased by $6.7 million, or 11%, compared to the same period last year. The increase in product revenue was primarily driven by greater sales volume in our FortiGate product family, particularly with our low-end and high-end enterprise (such as the FortiGate-3600C) and service provider products, which contributed the largest portion of the growth. Services revenue increased by $14.1 million, or 20%, in the three months ended September 30, 2013 compared to the same period last year due to the recognition of revenue from our growing deferred revenue balance consisting of subscription and support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contracts sold to a larger customer base, as well as growth in our professional services revenues from existing large enterprise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5"/>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September 30,</w:t>
            </w:r>
          </w:p>
        </w:tc>
        <w:tc>
          <w:tcPr>
            <w:tcW w:w="2580" w:type="dxa"/>
            <w:vAlign w:val="bottom"/>
            <w:gridSpan w:val="3"/>
          </w:tcPr>
          <w:p>
            <w:pPr>
              <w:ind w:left="400"/>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6"/>
                <w:szCs w:val="16"/>
                <w:b w:val="1"/>
                <w:bCs w:val="1"/>
                <w:color w:val="auto"/>
                <w:w w:val="95"/>
              </w:rPr>
              <w:t>Change</w:t>
            </w:r>
          </w:p>
        </w:tc>
        <w:tc>
          <w:tcPr>
            <w:tcW w:w="5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ind w:left="1180"/>
              <w:spacing w:after="0"/>
              <w:rPr>
                <w:sz w:val="20"/>
                <w:szCs w:val="20"/>
                <w:color w:val="auto"/>
              </w:rPr>
            </w:pPr>
            <w:r>
              <w:rPr>
                <w:rFonts w:ascii="Arial" w:cs="Arial" w:eastAsia="Arial" w:hAnsi="Arial"/>
                <w:sz w:val="16"/>
                <w:szCs w:val="16"/>
                <w:b w:val="1"/>
                <w:bCs w:val="1"/>
                <w:color w:val="auto"/>
                <w:w w:val="89"/>
              </w:rPr>
              <w:t>($ amounts in 000’s)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27,126</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23,995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3,131</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16,374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13,166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43,930</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37,808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6,122</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Gross margin (%):</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Total gross margin decreased by 0.7 percentage points in the three months ended September 30, 2013 compared to the same period last year, as both product and services gross margins declined slightly. Product gross margin decreased by 0.8 percentage points in the three months ended September 30, 2013 compared to the same period last year primarily as a result of higher overhead costs which were partially offset by improved direct product margins due to a greater mix of high-end products sold. Services gross margin decreased by 0.6 percentage points during the three months ended September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$3.2 million primarily due to a $2.0 million increase in cash-based personnel costs related to an increase in headcount, a $0.3 million increase in stock-based compensation expense, a $0.4 million increase in warranty-related costs and a $0.5 million increase in depreciation and other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820"/>
              <w:spacing w:after="0"/>
              <w:rPr>
                <w:sz w:val="20"/>
                <w:szCs w:val="20"/>
                <w:color w:val="auto"/>
              </w:rPr>
            </w:pPr>
            <w:r>
              <w:rPr>
                <w:rFonts w:ascii="Arial" w:cs="Arial" w:eastAsia="Arial" w:hAnsi="Arial"/>
                <w:sz w:val="16"/>
                <w:szCs w:val="16"/>
                <w:b w:val="1"/>
                <w:bCs w:val="1"/>
                <w:color w:val="auto"/>
              </w:rPr>
              <w:t>September 30,</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26,421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20,498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5,923</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9,382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1,933</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3"/>
          </w:tcPr>
          <w:p>
            <w:pPr>
              <w:jc w:val="right"/>
              <w:ind w:right="99"/>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Research and development expense increased by $5.9 million, or 29%, in the three months ended September 30, 2013 compared to the same period last year, primarily due to an increase of $2.7 million in cash-based personnel costs and $1.0 million in stock-based compensation expense as a result of increased headcount to support the development of new products and continued enhancements of our existing products. Product development expenses consisting of prototypes and third-party testing and certification costs increased by $0.9 million. Other costs, including earn-out payment obligations to former stockholders of Coyote, also increased by $1.3 million. We intend to continue to invest in our research and development organization, but we currently expect research and development expense as a percentage of total revenue to remain at approximately comparable levels during the remainder of fiscal 2013.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Sales and marketing expense increased by $11.9 million, or 27%, in the three months ended September 30, 2013 compared to the same period last year, primarily due to an increase of $7.4 million in cash-based personnel costs and stock-based compensation expense of $1.3 million as we continued to increase our sales headcount in order to expand our global footprint. In addition, we incurred increases in trade show and promotional expenses of $1.4 million, travel expenses of $0.8 million and depreciation expenses of $0.7 million. As a percentage of total revenue, sales and marketing expenses increased as we continued to invest in our sales force to support future growth. We intend to continue to make investments in our sales resources and infrastructure which are critical to support sustainable growth, but we currently expect sales and marketing expense as a percentage of total revenue to remain at approximately comparable levels during the remainder of fiscal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General and administrative expense increased by $1.9 million, or 26%, in the three months ended September 30, 2013 compared to the same period last year. Cash-based personnel costs increased by $0.7 million and stock-based compensation expense increased by $0.3 million due to increased headcount. In addition, we incurred $1.8 million of higher costs for professional services primarily related to patent litigation matters, compared to a $1.0 million accrual related to litigation settlement in the same period last year. We currently expect general and administrative expense as a percentage of total revenue to remain at approximately comparable levels during the remainder of fiscal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3"/>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060" w:type="dxa"/>
            <w:vAlign w:val="bottom"/>
          </w:tcPr>
          <w:p>
            <w:pPr>
              <w:jc w:val="right"/>
              <w:ind w:right="595"/>
              <w:spacing w:after="0"/>
              <w:rPr>
                <w:sz w:val="20"/>
                <w:szCs w:val="20"/>
                <w:color w:val="auto"/>
              </w:rPr>
            </w:pPr>
            <w:r>
              <w:rPr>
                <w:rFonts w:ascii="Arial" w:cs="Arial" w:eastAsia="Arial" w:hAnsi="Arial"/>
                <w:sz w:val="16"/>
                <w:szCs w:val="16"/>
                <w:b w:val="1"/>
                <w:bCs w:val="1"/>
                <w:color w:val="auto"/>
              </w:rPr>
              <w:t>September 30,</w:t>
            </w:r>
          </w:p>
        </w:tc>
        <w:tc>
          <w:tcPr>
            <w:tcW w:w="248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60" w:type="dxa"/>
            <w:vAlign w:val="bottom"/>
          </w:tcPr>
          <w:p>
            <w:pPr>
              <w:jc w:val="right"/>
              <w:ind w:right="895"/>
              <w:spacing w:after="0"/>
              <w:rPr>
                <w:sz w:val="20"/>
                <w:szCs w:val="20"/>
                <w:color w:val="auto"/>
              </w:rPr>
            </w:pPr>
            <w:r>
              <w:rPr>
                <w:rFonts w:ascii="Arial" w:cs="Arial" w:eastAsia="Arial" w:hAnsi="Arial"/>
                <w:sz w:val="16"/>
                <w:szCs w:val="16"/>
                <w:b w:val="1"/>
                <w:bCs w:val="1"/>
                <w:color w:val="auto"/>
              </w:rPr>
              <w:t>2013</w:t>
            </w:r>
          </w:p>
        </w:tc>
        <w:tc>
          <w:tcPr>
            <w:tcW w:w="17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80" w:type="dxa"/>
            <w:vAlign w:val="bottom"/>
            <w:gridSpan w:val="2"/>
          </w:tcPr>
          <w:p>
            <w:pPr>
              <w:ind w:left="10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1,282</w:t>
            </w: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1,318</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060" w:type="dxa"/>
            <w:vAlign w:val="bottom"/>
          </w:tcPr>
          <w:p>
            <w:pPr>
              <w:jc w:val="right"/>
              <w:ind w:right="195"/>
              <w:spacing w:after="0"/>
              <w:rPr>
                <w:sz w:val="20"/>
                <w:szCs w:val="20"/>
                <w:color w:val="auto"/>
              </w:rPr>
            </w:pPr>
            <w:r>
              <w:rPr>
                <w:rFonts w:ascii="Arial" w:cs="Arial" w:eastAsia="Arial" w:hAnsi="Arial"/>
                <w:sz w:val="18"/>
                <w:szCs w:val="18"/>
                <w:color w:val="auto"/>
              </w:rPr>
              <w:t>(1,151)</w:t>
            </w:r>
          </w:p>
        </w:tc>
        <w:tc>
          <w:tcPr>
            <w:tcW w:w="1740" w:type="dxa"/>
            <w:vAlign w:val="bottom"/>
          </w:tcPr>
          <w:p>
            <w:pPr>
              <w:jc w:val="right"/>
              <w:spacing w:after="0"/>
              <w:rPr>
                <w:sz w:val="20"/>
                <w:szCs w:val="20"/>
                <w:color w:val="auto"/>
              </w:rPr>
            </w:pPr>
            <w:r>
              <w:rPr>
                <w:rFonts w:ascii="Arial" w:cs="Arial" w:eastAsia="Arial" w:hAnsi="Arial"/>
                <w:sz w:val="18"/>
                <w:szCs w:val="18"/>
                <w:color w:val="auto"/>
              </w:rPr>
              <w:t>(317)</w:t>
            </w:r>
          </w:p>
        </w:tc>
        <w:tc>
          <w:tcPr>
            <w:tcW w:w="740" w:type="dxa"/>
            <w:vAlign w:val="bottom"/>
          </w:tcPr>
          <w:p>
            <w:pPr>
              <w:spacing w:after="0"/>
              <w:rPr>
                <w:sz w:val="21"/>
                <w:szCs w:val="21"/>
                <w:color w:val="auto"/>
              </w:rPr>
            </w:pP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(834)</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263</w:t>
            </w:r>
          </w:p>
        </w:tc>
      </w:tr>
    </w:tbl>
    <w:p>
      <w:pPr>
        <w:spacing w:after="0" w:line="229"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slight decrease in interest income in the three months ended September 30, 2013 compared to the same period last year was primarily due to lower interest earned on invested balances of cash, cash equivalents and investments. The change in other expense, net, for the three months ended September 30, 2013 was primarily the result of higher foreign exchange losses as the U.S. dollar weakened against other major currencies.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3"/>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040" w:type="dxa"/>
            <w:vAlign w:val="bottom"/>
          </w:tcPr>
          <w:p>
            <w:pPr>
              <w:jc w:val="right"/>
              <w:ind w:right="575"/>
              <w:spacing w:after="0"/>
              <w:rPr>
                <w:sz w:val="20"/>
                <w:szCs w:val="20"/>
                <w:color w:val="auto"/>
              </w:rPr>
            </w:pPr>
            <w:r>
              <w:rPr>
                <w:rFonts w:ascii="Arial" w:cs="Arial" w:eastAsia="Arial" w:hAnsi="Arial"/>
                <w:sz w:val="16"/>
                <w:szCs w:val="16"/>
                <w:b w:val="1"/>
                <w:bCs w:val="1"/>
                <w:color w:val="auto"/>
              </w:rPr>
              <w:t>September 30,</w:t>
            </w:r>
          </w:p>
        </w:tc>
        <w:tc>
          <w:tcPr>
            <w:tcW w:w="250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40" w:type="dxa"/>
            <w:vAlign w:val="bottom"/>
          </w:tcPr>
          <w:p>
            <w:pPr>
              <w:jc w:val="right"/>
              <w:ind w:right="875"/>
              <w:spacing w:after="0"/>
              <w:rPr>
                <w:sz w:val="20"/>
                <w:szCs w:val="20"/>
                <w:color w:val="auto"/>
              </w:rPr>
            </w:pPr>
            <w:r>
              <w:rPr>
                <w:rFonts w:ascii="Arial" w:cs="Arial" w:eastAsia="Arial" w:hAnsi="Arial"/>
                <w:sz w:val="16"/>
                <w:szCs w:val="16"/>
                <w:b w:val="1"/>
                <w:bCs w:val="1"/>
                <w:color w:val="auto"/>
              </w:rPr>
              <w:t>2013</w:t>
            </w:r>
          </w:p>
        </w:tc>
        <w:tc>
          <w:tcPr>
            <w:tcW w:w="17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00" w:type="dxa"/>
            <w:vAlign w:val="bottom"/>
            <w:gridSpan w:val="2"/>
          </w:tcPr>
          <w:p>
            <w:pPr>
              <w:ind w:left="110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7,381</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9,565</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(2,184)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040" w:type="dxa"/>
            <w:vAlign w:val="bottom"/>
          </w:tcPr>
          <w:p>
            <w:pPr>
              <w:jc w:val="right"/>
              <w:ind w:right="235"/>
              <w:spacing w:after="0"/>
              <w:rPr>
                <w:sz w:val="20"/>
                <w:szCs w:val="20"/>
                <w:color w:val="auto"/>
              </w:rPr>
            </w:pPr>
            <w:r>
              <w:rPr>
                <w:rFonts w:ascii="Arial" w:cs="Arial" w:eastAsia="Arial" w:hAnsi="Arial"/>
                <w:sz w:val="18"/>
                <w:szCs w:val="18"/>
                <w:color w:val="auto"/>
              </w:rPr>
              <w:t>40</w:t>
            </w: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4</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effective tax rate was 40% in the three months ended September 30, 2013, compared to an effective tax rate of 36% in the same period last year. The provision for income taxes for the periods presented is comprised of foreign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taxes, U.S. federal and state taxes, and withholding tax. The increase in the effective tax rate was primarily due to a reduction in tax benefits from stock options related to our foreign subsidiaries, an increase in non-deductible stock-based compensation expense, and limitations on the utilization of foreign tax credits.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September 30, 2013 and December 31, 2012, unrecognized tax benefits were $28.7 million and $27.8 million, respectively. The total amount of $28.3 million in unrecognized tax benefits, if recognized, would favorably impact the effective tax rate.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September 30, 2013, we had accrued approximately $2.3 million for estimated interest related to uncertain tax provisions.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impact our future effective tax rate.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and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820"/>
              <w:spacing w:after="0"/>
              <w:rPr>
                <w:sz w:val="20"/>
                <w:szCs w:val="20"/>
                <w:color w:val="auto"/>
              </w:rPr>
            </w:pPr>
            <w:r>
              <w:rPr>
                <w:rFonts w:ascii="Arial" w:cs="Arial" w:eastAsia="Arial" w:hAnsi="Arial"/>
                <w:sz w:val="16"/>
                <w:szCs w:val="16"/>
                <w:b w:val="1"/>
                <w:bCs w:val="1"/>
                <w:color w:val="auto"/>
              </w:rPr>
              <w:t>September 30,</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6"/>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194,162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177,923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16,239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239,447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197,332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42,115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4,338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(2,884)</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437,947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382,477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55,470</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178,101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155,570</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149,500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130,116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19,384</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110,346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437,947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382,477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55,470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Total revenue increased by $55.5 million, or 15%, during the nine months ended September 30, 2013 compared to the same period last year. All three regions contributed comparable growth on a percentage basis. Product revenue increased by $16.2 million, or 9%, compared to the same period last year. The increase in product revenue was primarily driven by greater sales volume in our FortiGate product family, particularly entry-level products, wireless security and access point products, and continued traction for our high-end enterprise products including newly introduced products such as the FortiGate-3600C. Services revenue increased by $42.1 million, or 21%, in the nine months ended September 30, 2013 compared to the same period last year due to the recognition of revenue from our growing deferred revenue balance consisting of subscription and support contracts sold to a larger customer base.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5"/>
          </w:tcPr>
          <w:p>
            <w:pPr>
              <w:ind w:left="1220"/>
              <w:spacing w:after="0"/>
              <w:rPr>
                <w:sz w:val="20"/>
                <w:szCs w:val="20"/>
                <w:color w:val="auto"/>
              </w:rPr>
            </w:pPr>
            <w:r>
              <w:rPr>
                <w:rFonts w:ascii="Arial" w:cs="Arial" w:eastAsia="Arial" w:hAnsi="Arial"/>
                <w:sz w:val="16"/>
                <w:szCs w:val="16"/>
                <w:b w:val="1"/>
                <w:bCs w:val="1"/>
                <w:color w:val="auto"/>
              </w:rPr>
              <w:t>Nine Months Ended</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September 30,</w:t>
            </w:r>
          </w:p>
        </w:tc>
        <w:tc>
          <w:tcPr>
            <w:tcW w:w="2580" w:type="dxa"/>
            <w:vAlign w:val="bottom"/>
            <w:gridSpan w:val="3"/>
          </w:tcPr>
          <w:p>
            <w:pPr>
              <w:ind w:left="40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w w:val="88"/>
              </w:rPr>
              <w:t>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ind w:left="118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77,032</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66,997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10,035</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48,207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36,846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11,361</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126,766</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105,978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20,788</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Gross margin (%):</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Total gross margin decreased by 1.2 percentage points in the nine months ended September 30, 2013 compared to the same period last year, as both product and services gross margins declined. Product gross margin decreased by 2.0 percentage points in the nine months ended September 30, 2013 compared to the same period last year primarily as a result of the higher mix of entry-level products and higher overhead costs. Services gross margin decreased by 1.4 percentage points during the nine months ended September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$11.4 million primarily due to a $7.9 million increase in cash-based personnel costs related to an increase in headcount, a $0.8 million increase in stock-based compensation expense, a $1.1 million increase in warranty-related costs and freight, and a $1.5 million increase in travel, depreciation and other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34"/>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820"/>
              <w:spacing w:after="0"/>
              <w:rPr>
                <w:sz w:val="20"/>
                <w:szCs w:val="20"/>
                <w:color w:val="auto"/>
              </w:rPr>
            </w:pPr>
            <w:r>
              <w:rPr>
                <w:rFonts w:ascii="Arial" w:cs="Arial" w:eastAsia="Arial" w:hAnsi="Arial"/>
                <w:sz w:val="16"/>
                <w:szCs w:val="16"/>
                <w:b w:val="1"/>
                <w:bCs w:val="1"/>
                <w:color w:val="auto"/>
              </w:rPr>
              <w:t>September 30,</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74,913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60,553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14,360</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162,660</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131,038</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26,161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19,473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263,734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211,064</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Research and development expense increased by $14.4 million, or 24%, in the nine months ended September 30, 2013 compared to the same period last year, primarily due to an increase of $8.7 million in cash-based personnel costs and $2.8 million in stock-based compensation expense as a result of increased headcount to support the development of new products and continued enhancements of our existing products. In addition, product development expenses consisting of prototypes and third-party testing and certification costs increased by $0.5 million, depreciation expense increased by $0.5 million and other expenses including expected earn-out payment obligations to former stockholders of Coyote increased by $2.3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Sales and marketing expense increased by $31.6 million, or 24%, in the nine months ended September 30, 2013 compared to the same period last year, primarily due to an increase of $18.4 million in cash-based personnel costs as we continued to increase our sales headcount in order to expand our global footprint. In addition, we incurred increases in travel expenses of $3.2 million, stock-based compensation expense of $3.1 million, trade shows and promotional expenses of $3.0 million and depreciation expenses of $1.9 million. Other expenses, including occupancy-related costs, also increased by $2.0 million. As a percentage of total revenue, sales and marketing expenses increased as we accelerated the investment in our sales force to support future growth.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General and administrative expense increased by $6.7 million, or 34%, in the nine months ended September 30, 2013 compared to the same period last year. Cash-based personnel costs increased by $2.4 million and stock-based compensation expense increased by $1.0 million. In addition, we incurred $3.3 million of higher legal fees due to litigation and increased accounting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3"/>
          </w:tcPr>
          <w:p>
            <w:pPr>
              <w:ind w:left="1220"/>
              <w:spacing w:after="0"/>
              <w:rPr>
                <w:sz w:val="20"/>
                <w:szCs w:val="20"/>
                <w:color w:val="auto"/>
              </w:rPr>
            </w:pPr>
            <w:r>
              <w:rPr>
                <w:rFonts w:ascii="Arial" w:cs="Arial" w:eastAsia="Arial" w:hAnsi="Arial"/>
                <w:sz w:val="16"/>
                <w:szCs w:val="16"/>
                <w:b w:val="1"/>
                <w:bCs w:val="1"/>
                <w:color w:val="auto"/>
              </w:rPr>
              <w:t>Nine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060" w:type="dxa"/>
            <w:vAlign w:val="bottom"/>
          </w:tcPr>
          <w:p>
            <w:pPr>
              <w:jc w:val="right"/>
              <w:ind w:right="595"/>
              <w:spacing w:after="0"/>
              <w:rPr>
                <w:sz w:val="20"/>
                <w:szCs w:val="20"/>
                <w:color w:val="auto"/>
              </w:rPr>
            </w:pPr>
            <w:r>
              <w:rPr>
                <w:rFonts w:ascii="Arial" w:cs="Arial" w:eastAsia="Arial" w:hAnsi="Arial"/>
                <w:sz w:val="16"/>
                <w:szCs w:val="16"/>
                <w:b w:val="1"/>
                <w:bCs w:val="1"/>
                <w:color w:val="auto"/>
              </w:rPr>
              <w:t>September 30,</w:t>
            </w:r>
          </w:p>
        </w:tc>
        <w:tc>
          <w:tcPr>
            <w:tcW w:w="248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60" w:type="dxa"/>
            <w:vAlign w:val="bottom"/>
          </w:tcPr>
          <w:p>
            <w:pPr>
              <w:jc w:val="right"/>
              <w:ind w:right="895"/>
              <w:spacing w:after="0"/>
              <w:rPr>
                <w:sz w:val="20"/>
                <w:szCs w:val="20"/>
                <w:color w:val="auto"/>
              </w:rPr>
            </w:pPr>
            <w:r>
              <w:rPr>
                <w:rFonts w:ascii="Arial" w:cs="Arial" w:eastAsia="Arial" w:hAnsi="Arial"/>
                <w:sz w:val="16"/>
                <w:szCs w:val="16"/>
                <w:b w:val="1"/>
                <w:bCs w:val="1"/>
                <w:color w:val="auto"/>
              </w:rPr>
              <w:t>2013</w:t>
            </w:r>
          </w:p>
        </w:tc>
        <w:tc>
          <w:tcPr>
            <w:tcW w:w="17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73"/>
              <w:spacing w:after="0"/>
              <w:rPr>
                <w:sz w:val="20"/>
                <w:szCs w:val="20"/>
                <w:color w:val="auto"/>
              </w:rPr>
            </w:pPr>
            <w:r>
              <w:rPr>
                <w:rFonts w:ascii="Arial" w:cs="Arial" w:eastAsia="Arial" w:hAnsi="Arial"/>
                <w:sz w:val="16"/>
                <w:szCs w:val="16"/>
                <w:b w:val="1"/>
                <w:bCs w:val="1"/>
                <w:color w:val="auto"/>
                <w:w w:val="85"/>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80" w:type="dxa"/>
            <w:vAlign w:val="bottom"/>
            <w:gridSpan w:val="2"/>
          </w:tcPr>
          <w:p>
            <w:pPr>
              <w:ind w:left="10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3,988</w:t>
            </w: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3,606</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382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060" w:type="dxa"/>
            <w:vAlign w:val="bottom"/>
          </w:tcPr>
          <w:p>
            <w:pPr>
              <w:jc w:val="right"/>
              <w:ind w:right="195"/>
              <w:spacing w:after="0"/>
              <w:rPr>
                <w:sz w:val="20"/>
                <w:szCs w:val="20"/>
                <w:color w:val="auto"/>
              </w:rPr>
            </w:pPr>
            <w:r>
              <w:rPr>
                <w:rFonts w:ascii="Arial" w:cs="Arial" w:eastAsia="Arial" w:hAnsi="Arial"/>
                <w:sz w:val="18"/>
                <w:szCs w:val="18"/>
                <w:color w:val="auto"/>
              </w:rPr>
              <w:t>(1,036)</w:t>
            </w:r>
          </w:p>
        </w:tc>
        <w:tc>
          <w:tcPr>
            <w:tcW w:w="1740" w:type="dxa"/>
            <w:vAlign w:val="bottom"/>
          </w:tcPr>
          <w:p>
            <w:pPr>
              <w:jc w:val="right"/>
              <w:spacing w:after="0"/>
              <w:rPr>
                <w:sz w:val="20"/>
                <w:szCs w:val="20"/>
                <w:color w:val="auto"/>
              </w:rPr>
            </w:pPr>
            <w:r>
              <w:rPr>
                <w:rFonts w:ascii="Arial" w:cs="Arial" w:eastAsia="Arial" w:hAnsi="Arial"/>
                <w:sz w:val="18"/>
                <w:szCs w:val="18"/>
                <w:color w:val="auto"/>
              </w:rPr>
              <w:t>(315)</w:t>
            </w:r>
          </w:p>
        </w:tc>
        <w:tc>
          <w:tcPr>
            <w:tcW w:w="740" w:type="dxa"/>
            <w:vAlign w:val="bottom"/>
          </w:tcPr>
          <w:p>
            <w:pPr>
              <w:spacing w:after="0"/>
              <w:rPr>
                <w:sz w:val="21"/>
                <w:szCs w:val="21"/>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(721)</w:t>
            </w:r>
          </w:p>
        </w:tc>
        <w:tc>
          <w:tcPr>
            <w:tcW w:w="1620" w:type="dxa"/>
            <w:vAlign w:val="bottom"/>
          </w:tcPr>
          <w:p>
            <w:pPr>
              <w:jc w:val="right"/>
              <w:spacing w:after="0"/>
              <w:rPr>
                <w:sz w:val="20"/>
                <w:szCs w:val="20"/>
                <w:color w:val="auto"/>
              </w:rPr>
            </w:pPr>
            <w:r>
              <w:rPr>
                <w:rFonts w:ascii="Arial" w:cs="Arial" w:eastAsia="Arial" w:hAnsi="Arial"/>
                <w:sz w:val="18"/>
                <w:szCs w:val="18"/>
                <w:color w:val="auto"/>
              </w:rPr>
              <w:t>229</w:t>
            </w:r>
          </w:p>
        </w:tc>
      </w:tr>
    </w:tbl>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$0.4 million increase in interest income in the nine months ended September 30, 2013 compared to the same period last year, was primarily due to interest earned on higher invested balances of cash, cash equivalents and investments. The change in other expense, net, for the nine months ended September 30, 2013 was the result of higher foreign exchange losses compared to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3"/>
          </w:tcPr>
          <w:p>
            <w:pPr>
              <w:ind w:left="1220"/>
              <w:spacing w:after="0"/>
              <w:rPr>
                <w:sz w:val="20"/>
                <w:szCs w:val="20"/>
                <w:color w:val="auto"/>
              </w:rPr>
            </w:pPr>
            <w:r>
              <w:rPr>
                <w:rFonts w:ascii="Arial" w:cs="Arial" w:eastAsia="Arial" w:hAnsi="Arial"/>
                <w:sz w:val="16"/>
                <w:szCs w:val="16"/>
                <w:b w:val="1"/>
                <w:bCs w:val="1"/>
                <w:color w:val="auto"/>
              </w:rPr>
              <w:t>Nine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2040" w:type="dxa"/>
            <w:vAlign w:val="bottom"/>
          </w:tcPr>
          <w:p>
            <w:pPr>
              <w:jc w:val="right"/>
              <w:ind w:right="575"/>
              <w:spacing w:after="0"/>
              <w:rPr>
                <w:sz w:val="20"/>
                <w:szCs w:val="20"/>
                <w:color w:val="auto"/>
              </w:rPr>
            </w:pPr>
            <w:r>
              <w:rPr>
                <w:rFonts w:ascii="Arial" w:cs="Arial" w:eastAsia="Arial" w:hAnsi="Arial"/>
                <w:sz w:val="16"/>
                <w:szCs w:val="16"/>
                <w:b w:val="1"/>
                <w:bCs w:val="1"/>
                <w:color w:val="auto"/>
              </w:rPr>
              <w:t>September 30,</w:t>
            </w:r>
          </w:p>
        </w:tc>
        <w:tc>
          <w:tcPr>
            <w:tcW w:w="250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40" w:type="dxa"/>
            <w:vAlign w:val="bottom"/>
          </w:tcPr>
          <w:p>
            <w:pPr>
              <w:jc w:val="right"/>
              <w:ind w:right="875"/>
              <w:spacing w:after="0"/>
              <w:rPr>
                <w:sz w:val="20"/>
                <w:szCs w:val="20"/>
                <w:color w:val="auto"/>
              </w:rPr>
            </w:pPr>
            <w:r>
              <w:rPr>
                <w:rFonts w:ascii="Arial" w:cs="Arial" w:eastAsia="Arial" w:hAnsi="Arial"/>
                <w:sz w:val="16"/>
                <w:szCs w:val="16"/>
                <w:b w:val="1"/>
                <w:bCs w:val="1"/>
                <w:color w:val="auto"/>
              </w:rPr>
              <w:t>2013</w:t>
            </w:r>
          </w:p>
        </w:tc>
        <w:tc>
          <w:tcPr>
            <w:tcW w:w="17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00" w:type="dxa"/>
            <w:vAlign w:val="bottom"/>
            <w:gridSpan w:val="2"/>
          </w:tcPr>
          <w:p>
            <w:pPr>
              <w:ind w:left="110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18,142</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23,397</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(5,255)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040" w:type="dxa"/>
            <w:vAlign w:val="bottom"/>
          </w:tcPr>
          <w:p>
            <w:pPr>
              <w:jc w:val="right"/>
              <w:ind w:right="235"/>
              <w:spacing w:after="0"/>
              <w:rPr>
                <w:sz w:val="20"/>
                <w:szCs w:val="20"/>
                <w:color w:val="auto"/>
              </w:rPr>
            </w:pPr>
            <w:r>
              <w:rPr>
                <w:rFonts w:ascii="Arial" w:cs="Arial" w:eastAsia="Arial" w:hAnsi="Arial"/>
                <w:sz w:val="18"/>
                <w:szCs w:val="18"/>
                <w:color w:val="auto"/>
              </w:rPr>
              <w:t>36</w:t>
            </w: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effective tax rate was 36% in the nine months ended September 30, 2013, compared to an effective tax rate of 34% in the same period last year. The provision for income taxes for the periods presented is comprised of foreign income taxes, U.S. federal and state taxes, and withholding tax. The increase in the effective tax rate was primarily due to a reduction in tax benefits from the stock options related to our foreign subsidiaries, an increase in non-deductible stock based compensation expense and limitations on the utilization of foreign tax credits. Further, in January 2013, the American Taxpayer Relief Act of 2012 reinstated the U.S. Federal Research and Development Tax Credit retroactive to January 1, 2012. As a result, the U.S. Federal Research and Development Tax Credit benefit was recorded in the nine months ended September 30, 2013.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144,546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696,459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616,611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841,005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739,586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338,641</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249,970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presents a summary of our cash flows: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340" w:type="dxa"/>
            <w:vAlign w:val="bottom"/>
          </w:tcPr>
          <w:p>
            <w:pPr>
              <w:spacing w:after="0"/>
              <w:rPr>
                <w:sz w:val="24"/>
                <w:szCs w:val="24"/>
                <w:color w:val="auto"/>
              </w:rPr>
            </w:pPr>
          </w:p>
        </w:tc>
        <w:tc>
          <w:tcPr>
            <w:tcW w:w="3080" w:type="dxa"/>
            <w:vAlign w:val="bottom"/>
            <w:gridSpan w:val="3"/>
          </w:tcPr>
          <w:p>
            <w:pPr>
              <w:jc w:val="right"/>
              <w:ind w:right="75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(104,148)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(175,479)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21,571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September 30, 2013, our cash, cash equivalents, and investments of $841.0 million were held for working-capital purposes and were invested primarily in money market funds, commercial paper, corporate debt securities, U.S. government and agency securities, municipal bonds and certificates of deposit and term deposits. As of September 30, 2013, $69.9 million of our cash and investments was held by certain international subsidiaries and is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cash equivalents and investments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from operating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50,211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33,288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36,425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accounts payable and accrued liabilities, net </w:t>
            </w:r>
            <w:r>
              <w:rPr>
                <w:rFonts w:ascii="Arial" w:cs="Arial" w:eastAsia="Arial" w:hAnsi="Arial"/>
                <w:sz w:val="18"/>
                <w:szCs w:val="18"/>
                <w:color w:val="auto"/>
                <w:vertAlign w:val="superscript"/>
              </w:rPr>
              <w:t>(2)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13,685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Increase in income taxes payable </w:t>
            </w:r>
            <w:r>
              <w:rPr>
                <w:rFonts w:ascii="Arial" w:cs="Arial" w:eastAsia="Arial" w:hAnsi="Arial"/>
                <w:sz w:val="18"/>
                <w:szCs w:val="18"/>
                <w:color w:val="auto"/>
                <w:vertAlign w:val="superscript"/>
              </w:rPr>
              <w:t>(2)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11,202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15,849</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Decrease in accounts receivable—net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Decrease (increase) in prepaid expenses and other current assets </w:t>
            </w:r>
            <w:r>
              <w:rPr>
                <w:rFonts w:ascii="Arial" w:cs="Arial" w:eastAsia="Arial" w:hAnsi="Arial"/>
                <w:sz w:val="18"/>
                <w:szCs w:val="18"/>
                <w:color w:val="auto"/>
                <w:vertAlign w:val="superscript"/>
              </w:rPr>
              <w:t>(2)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inventory</w:t>
            </w:r>
          </w:p>
        </w:tc>
        <w:tc>
          <w:tcPr>
            <w:tcW w:w="1500" w:type="dxa"/>
            <w:vAlign w:val="bottom"/>
          </w:tcPr>
          <w:p>
            <w:pPr>
              <w:jc w:val="right"/>
              <w:spacing w:after="0"/>
              <w:rPr>
                <w:sz w:val="20"/>
                <w:szCs w:val="20"/>
                <w:color w:val="auto"/>
              </w:rPr>
            </w:pPr>
            <w:r>
              <w:rPr>
                <w:rFonts w:ascii="Arial" w:cs="Arial" w:eastAsia="Arial" w:hAnsi="Arial"/>
                <w:sz w:val="18"/>
                <w:szCs w:val="18"/>
                <w:color w:val="auto"/>
              </w:rPr>
              <w:t>(31,344)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other assets </w:t>
            </w:r>
            <w:r>
              <w:rPr>
                <w:rFonts w:ascii="Arial" w:cs="Arial" w:eastAsia="Arial" w:hAnsi="Arial"/>
                <w:sz w:val="18"/>
                <w:szCs w:val="18"/>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100,716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133,573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2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consist of stock-based compensation expense, depreciation and amortization, amortization of investment premiums, an excess tax benefit from our employee stock option plans, and other non-cash items, net.</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prior period amounts have been combined to conform to current period presentation.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Cash generated by operating activities is our primary source of liquidity. Our operating activities during the nine months ended September 30, 2013, provided $100.7 million in cash as a result of our billings growth, profitability, and our ability to successfully manage our working capital. Net income was $32.3 million, increased by adjustments for non-cash charges of $50.2 million and sources of cash of $63.5 million, partially offset by uses of cash of $45.3 million from changes in operating assets and liabilities. Adjustments for non-cash charges consisted of stock-based compensation expense of $31.8 million, amortization of investment premiums of $8.9 million, depreciation and amortization of $11.5 million, and other non-cash items, net, of $0.5 million, partially offset by an excess tax benefit from stock option exercises of $2.5 million. Sources of cash were related to a $36.4 million increase in deferred revenue which was attributable primarily to increased sales of our subscription and support services, which have yet to be recognized in income, a $13.7 million increase in accounts payable and accrued liabilities related to timing of payments, a $11.2 million increase in income taxes payable due to our continued profitability and timing of tax payments, a $1.4 million increase in accrued payroll and compensation primarily related to increased headcount and employer taxes related to the exercise of stock options, a $0.6 million decrease in accounts receivable due to higher collections, and a $0.2 million decrease in prepaid expenses and other current assets. Uses of cash were related to a $31.3 million increase in inventory to ensure an adequate level of inventory to support high-turnover channel driven products to reduce the risk of product stockouts, and a $13.9 million increase in other assets, primarily related to an increase in deferred tax assets.</w:t>
      </w:r>
    </w:p>
    <w:p>
      <w:pPr>
        <w:spacing w:after="0" w:line="18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operating activities during the nine months ended September 30, 2012 provided $133.6 million in cash as a result of net income of $45.3 million, increased by adjustments for non-cash charges of $33.3 million and sources of cash of $72.6 million partially offset by uses of cash of $17.7 million. Adjustments for non-cash charges consisted of stock-based compensation of $23.9 million, amortization of investment premiums of $10.0 million, depreciation and amortization of $8.1 million, and other non-cash items, net, of $0.9 million, offset partially by an excess tax benefit from stock option exercises of $9.6 million. Sources of cash were related to a $45.2 million increase in deferred revenue which was attributable primarily to increased sales of our subscription and support services, which have yet to be recognized as income, a $4.4 million increase in accounts payable and accrued liabilities, net, related to timing of payments, a $15.8 million increase in income taxes payable due to our continued profitability and timing of tax payments, a $1.6 million increase in accrued payroll and compensation primarily related to increased headcount and employer taxes related to the exercise of stock options, and a $5.7 million decrease in accounts receivable, net, due to higher collection. Uses of cash were primarily related to a $0.1 million increase in prepaid expenses and other current assets, a $15.0 million increase in inventory to ensure an adequate level of inventory to support high-turnover channel driven products to reduce the risk of product stockouts, and a $2.6 million increase in other assets.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investing activities during the nine months ended September 30, 2013 consisted primarily of purchases and sales of investments, and to a much lesser extent, acquisitions and capital expenditures. The $104.1 million of cash used in investing activities was due to net purchases of investments of $89.8 million, payments made in connection with acquisitions of Coyote and Xtera of $7.6 million and purchases of property and equipment of $6.7 million.</w:t>
      </w:r>
    </w:p>
    <w:p>
      <w:pPr>
        <w:spacing w:after="0" w:line="14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Our investing activities during the nine months ended September 30, 2012 consisted primarily of purchases, sales and maturities of investments, and to a lesser extent capital expenditures and acquisitions. The $175.5 million of cash used in investing activities during the nine months ended September 30, 2012 was primarily due to net purchases of investments of $154.4 million, purchases of property and equipment of $20.3 million including $14.5 million to purchase land and building to support the growth in our business operations, and our acquisition of IntruGuard for $0.7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financing activities during the nine months ended September 30, 2013 resulted in net cash provided of $26.0 million as a result of receiving proceeds of $11.8 million and $12.7 million from the issuance of common stock under our stock option plans and ESPP, respectively, and an excess tax benefit from employee stock option exercises of $2.5 million. This was partially offset by $1.0 million related to taxes paid for the net-share settlement of equity awards.</w:t>
      </w:r>
    </w:p>
    <w:p>
      <w:pPr>
        <w:spacing w:after="0" w:line="187"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Our financing activities during the nine months ended September 30, 2012 resulted in net cash provided of $45.6 million as a result of proceeds of $25.1 million and $10.9 million, from the issuance of common stock under our stock option plans and ESPP, respectively, and an excess tax benefit from employee stock option exercises of $9.6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been no material changes during the nine months ended September 30, 2013, to the contractual obligations and commitments disclosed in Management’s Discussion and Analysis of Financial Condition and Results of Operations, set forth in Part II, Item 7, of the Form 10-K, other than the following which summarizes the specified contractual obligations as of September 30, 2013: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left="974"/>
              <w:spacing w:after="0"/>
              <w:rPr>
                <w:sz w:val="20"/>
                <w:szCs w:val="20"/>
                <w:color w:val="auto"/>
              </w:rPr>
            </w:pPr>
            <w:r>
              <w:rPr>
                <w:rFonts w:ascii="Arial" w:cs="Arial" w:eastAsia="Arial" w:hAnsi="Arial"/>
                <w:sz w:val="16"/>
                <w:szCs w:val="16"/>
                <w:b w:val="1"/>
                <w:bCs w:val="1"/>
                <w:color w:val="auto"/>
                <w:w w:val="90"/>
              </w:rPr>
              <w:t>Payments Due by Period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w w:val="94"/>
              </w:rPr>
              <w:t>Less than 1 year</w:t>
            </w:r>
          </w:p>
        </w:tc>
        <w:tc>
          <w:tcPr>
            <w:tcW w:w="120" w:type="dxa"/>
            <w:vAlign w:val="bottom"/>
          </w:tcPr>
          <w:p>
            <w:pPr>
              <w:spacing w:after="0"/>
              <w:rPr>
                <w:sz w:val="18"/>
                <w:szCs w:val="18"/>
                <w:color w:val="auto"/>
              </w:rPr>
            </w:pPr>
          </w:p>
        </w:tc>
        <w:tc>
          <w:tcPr>
            <w:tcW w:w="1520" w:type="dxa"/>
            <w:vAlign w:val="bottom"/>
            <w:gridSpan w:val="3"/>
          </w:tcPr>
          <w:p>
            <w:pPr>
              <w:ind w:left="260"/>
              <w:spacing w:after="0"/>
              <w:rPr>
                <w:sz w:val="20"/>
                <w:szCs w:val="20"/>
                <w:color w:val="auto"/>
              </w:rPr>
            </w:pPr>
            <w:r>
              <w:rPr>
                <w:rFonts w:ascii="Arial" w:cs="Arial" w:eastAsia="Arial" w:hAnsi="Arial"/>
                <w:sz w:val="16"/>
                <w:szCs w:val="16"/>
                <w:b w:val="1"/>
                <w:bCs w:val="1"/>
                <w:color w:val="auto"/>
              </w:rPr>
              <w:t>1 - 3 years</w:t>
            </w: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3 - 5 years</w:t>
            </w:r>
          </w:p>
        </w:tc>
        <w:tc>
          <w:tcPr>
            <w:tcW w:w="1240" w:type="dxa"/>
            <w:vAlign w:val="bottom"/>
          </w:tcPr>
          <w:p>
            <w:pPr>
              <w:jc w:val="right"/>
              <w:ind w:right="35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 amounts in 000’s)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31,528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9,191</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14,528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(2)</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46,621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46,621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(3)</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78,149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55,812</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14,528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w w:val="89"/>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 In March 2013, we extended the operating lease for one of our existing facilities in Canada through 2020. The total incremental lease payments are $14.3 million.</w:t>
      </w:r>
    </w:p>
    <w:p>
      <w:pPr>
        <w:ind w:left="660" w:right="16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 As of September 30, 2013, we had $46.6 million of open purchase orders with our independent contract manufacturers that may not be cancelable compared to $30.0 million as of December 31, 2012. The increase was required to replenish current inventory and to ensure adequate future inventory related to new product releases and product lead-times for certain products.</w:t>
      </w:r>
    </w:p>
    <w:p>
      <w:pPr>
        <w:spacing w:after="0" w:line="1" w:lineRule="exact"/>
        <w:rPr>
          <w:rFonts w:ascii="Arial" w:cs="Arial" w:eastAsia="Arial" w:hAnsi="Arial"/>
          <w:sz w:val="14"/>
          <w:szCs w:val="14"/>
          <w:color w:val="auto"/>
        </w:rPr>
      </w:pPr>
    </w:p>
    <w:p>
      <w:pPr>
        <w:ind w:left="660" w:right="120" w:hanging="652"/>
        <w:spacing w:after="0" w:line="24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 tax liabilities related to uncertain tax positions have been included in the table. As of September 30, 2013, we had $31.0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September 30,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nine months ended September 30, 2013, compared to the disclosures in Part II, Item 7A of the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2013.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2013,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July 2010, NPS, a non-practicing entity, filed a complaint in the United States District Court for the Eastern District of Texas alleging patent infringement by us and other defendants.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thereafter proceeded with Fortinet as the sole defendant. Between June and August 2013, we filed a number of pretrial motions with the Court. As a result of those motions, the Court found that NPS had engaged in litigation misconduct. The Court also granted our motion to strike NPS’s expert report on the issue of damages. Shortly thereafter, in September 2013, NPS agreed to abandon the case and we did not make any payments related to this case. NPS and its principals furthermore agreed not to sue us on related patents. The litigation related to NPS is no longer material to us.</w:t>
      </w:r>
    </w:p>
    <w:p>
      <w:pPr>
        <w:spacing w:after="0" w:line="19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June 2012, we received a letter from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believe that any of the foregoing litigation matters will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the quarter;</w:t>
      </w:r>
    </w:p>
    <w:p>
      <w:pPr>
        <w:spacing w:after="0" w:line="236" w:lineRule="exact"/>
        <w:rPr>
          <w:rFonts w:ascii="Arial" w:cs="Arial" w:eastAsia="Arial" w:hAnsi="Arial"/>
          <w:sz w:val="17"/>
          <w:szCs w:val="17"/>
          <w:color w:val="auto"/>
        </w:rPr>
      </w:pPr>
    </w:p>
    <w:p>
      <w:pPr>
        <w:ind w:left="1300" w:right="42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1"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prices for our products and services, higher default rates among our channel partners, reduced unit sales and lower or no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For example, we experienced lower than expected billings during the first quarter of 2013 due to a number of factors, including decreased sales in the service provider market and slower sales in Latin America and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revenue. Furthermore, we recognize subscription and support services revenue monthly over the term of the relevant service period, which is typically one year but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4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2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may result in disruption in the sales team through terminations of employment or otherwise, and may adversely impact financial results as compared to those already reported or the forecasted results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implement adequate internal controls to properly manage our international sales and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80" w:hanging="644"/>
        <w:spacing w:after="0" w:line="297"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Palo Alto Networks, Inc. (“Palo Alto Networks”), SonicWALL, Inc. (“SonicWALL”) (acquired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President and Chief Executive Officer and Michael Xie, our Co-founder, Vice President of Engineering and Chief Technology Officer, and any of our senior sales leaders or functional area leaders, could significantly delay or prevent the achievement of our development and strategic objectives. We hired a new Chief Financial Officer and Chief Operating Officer in April 2013, and it will take time for this executive officer to become fully integrated in his role.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37%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2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manner.We are in the planning stages for an upgrade to our enterprise resource planning system and such 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complexity to our organization and require effective coordination throughout our organization. Failure to manage any future growth effectively could result in increased costs and harm our results of operations.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and accounting for income taxes.</w:t>
      </w:r>
    </w:p>
    <w:p>
      <w:pPr>
        <w:spacing w:after="0" w:line="16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Our proprietary FortiASIC, which is the key to the performance of our appliances, is fabricated by contract manufacturers in foundries operated by United Microelectronics Corporation (“UMC”) and Taiwan Semiconductor Manufacturing Company Limited (“TSMC”). Faraday Technology Corporation (“Faraday”) (using UMC’s foundry), Kawasaki Microelectronics America, Inc. (“K-Micro”) (using TSMC’s foundry) and Renesas Electronics Corporation (“Renesas”) (using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UMC’s foundry) manufacture our Application-Specific Integrated Circuits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6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Obtaining the necessary export license for a particular sale may be time-consuming and may result in the delay or loss of sales opportunities.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China, South Korea, Norway and Japan and may be enacted in other regions, including in the United States, and we are, or may in the future be, subject to these laws and regulations.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IRS and other tax authorities. For example, the California Franchise Tax Board is examining our tax returns for 2010 and 2011.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authorities may impose tax assessments or judgments against us that could materially impact our tax liability and/or our effective income tax rate.</w:t>
      </w:r>
    </w:p>
    <w:p>
      <w:pPr>
        <w:spacing w:after="0" w:line="23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From time to time we are subject to lawsuits claiming patent infringement, and there are lawsuits claiming patent infringement currently pending, as discussed in the section entitled “Legal Proceedings” in Part II, Item 1 of this Quarterly Report on Form 10-Q.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2012, our internal controls over financial reporting were effective, we cannot predict the outcome of our testing in 2013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nine months ended September 30, 2013, the closing price of our common stock ranged from $16.53 to $25.00.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300"/>
          </w:cols>
          <w:pgMar w:left="240" w:top="122" w:right="1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122" w:right="29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00"/>
          </w:cols>
          <w:pgMar w:left="240" w:top="122" w:right="9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AHMED RUBAIE</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Ahmed Rubaie</w:t>
            </w:r>
          </w:p>
        </w:tc>
        <w:tc>
          <w:tcPr>
            <w:tcW w:w="0" w:type="dxa"/>
            <w:vAlign w:val="bottom"/>
          </w:tcPr>
          <w:p>
            <w:pPr>
              <w:spacing w:after="0"/>
              <w:rPr>
                <w:sz w:val="1"/>
                <w:szCs w:val="1"/>
                <w:color w:val="auto"/>
              </w:rPr>
            </w:pPr>
          </w:p>
        </w:tc>
      </w:tr>
      <w:tr>
        <w:trPr>
          <w:trHeight w:val="149"/>
        </w:trPr>
        <w:tc>
          <w:tcPr>
            <w:tcW w:w="6240" w:type="dxa"/>
            <w:vAlign w:val="bottom"/>
            <w:vMerge w:val="continue"/>
          </w:tcPr>
          <w:p>
            <w:pPr>
              <w:spacing w:after="0"/>
              <w:rPr>
                <w:sz w:val="12"/>
                <w:szCs w:val="12"/>
                <w:color w:val="auto"/>
              </w:rPr>
            </w:pPr>
          </w:p>
        </w:tc>
        <w:tc>
          <w:tcPr>
            <w:tcW w:w="51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Chief Financial Officer and Chief Operating Officer (Principal Financial and</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Accounting Officer) (Duly Authorized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120" w:type="dxa"/>
            <w:vAlign w:val="bottom"/>
            <w:gridSpan w:val="2"/>
          </w:tcPr>
          <w:p>
            <w:pPr>
              <w:ind w:left="1660"/>
              <w:spacing w:after="0"/>
              <w:rPr>
                <w:sz w:val="20"/>
                <w:szCs w:val="20"/>
                <w:color w:val="auto"/>
              </w:rPr>
            </w:pPr>
            <w:r>
              <w:rPr>
                <w:rFonts w:ascii="Arial" w:cs="Arial" w:eastAsia="Arial" w:hAnsi="Arial"/>
                <w:sz w:val="14"/>
                <w:szCs w:val="14"/>
                <w:b w:val="1"/>
                <w:bCs w:val="1"/>
                <w:color w:val="auto"/>
              </w:rPr>
              <w:t>Description</w:t>
            </w:r>
          </w:p>
        </w:tc>
        <w:tc>
          <w:tcPr>
            <w:tcW w:w="28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Incorporated by reference herein</w:t>
            </w:r>
          </w:p>
        </w:tc>
        <w:tc>
          <w:tcPr>
            <w:tcW w:w="1580" w:type="dxa"/>
            <w:vAlign w:val="bottom"/>
          </w:tcPr>
          <w:p>
            <w:pPr>
              <w:spacing w:after="0"/>
              <w:rPr>
                <w:sz w:val="16"/>
                <w:szCs w:val="16"/>
                <w:color w:val="auto"/>
              </w:rPr>
            </w:pPr>
          </w:p>
        </w:tc>
      </w:tr>
      <w:tr>
        <w:trPr>
          <w:trHeight w:val="258"/>
        </w:trPr>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Form</w:t>
            </w:r>
          </w:p>
        </w:tc>
        <w:tc>
          <w:tcPr>
            <w:tcW w:w="138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15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Exhibit Number</w:t>
            </w: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Fortinet, Inc. Cash and Equity Incentive Plan</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1400" w:type="dxa"/>
            <w:vAlign w:val="bottom"/>
          </w:tcPr>
          <w:p>
            <w:pPr>
              <w:ind w:left="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 of Chief Executive Officer pursuant to Exchange Act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6"/>
              </w:rPr>
              <w:t>Rules 13a-14(a) and 15d-14(a), as adopted pursuant to Section 302</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6"/>
              </w:rPr>
              <w:t>Rules 13a-14(a) and 15d-14(a), as adopted pursuant to Section 302</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Officer pursuant to 18 U.S.C. Section 1350, as adopted pursuant to</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Section 906 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Instance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8" w:lineRule="exact"/>
        <w:rPr>
          <w:sz w:val="20"/>
          <w:szCs w:val="20"/>
          <w:color w:val="auto"/>
        </w:rPr>
      </w:pPr>
    </w:p>
    <w:p>
      <w:pPr>
        <w:ind w:right="6219" w:firstLine="8"/>
        <w:spacing w:after="0" w:line="221" w:lineRule="auto"/>
        <w:tabs>
          <w:tab w:leader="none" w:pos="94" w:val="left"/>
        </w:tabs>
        <w:numPr>
          <w:ilvl w:val="0"/>
          <w:numId w:val="25"/>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122"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AND EQUITY INCENTIVE PLAN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purpose of the Fortinet, Inc. Cash and Equity Incentive Plan (the “Plan”) is to motivate and reward eligible employees of Fortinet, Inc. (the “Company”) for their service by providing incentive compensation in the form of cash bonuses and equity compensation. It is the intent that the incentives provided for in the Plan to certain executive officers of the Company are deductible under Section 162(m) of the Internal Revenue Code of 1986, as amended, and the regulations and interpretations promulgated thereunder (the “Code”). The adoption of the Plan as to current and future covered employees (determined under Code Section 162(m)) and executive officers (within the meaning of Rule 3b-7 of the Securities Exchange Act of 1934, as amended) is subject to the approval of the Company’s stockholders. The Plan is divided into two articles, Article I, which addresses the cash component of the Plan (the “Cash Plan”) and Article II, which addresses the equity component of the Plan (the “Equity Plan”). The Plan is effective April 16, 2013, subject to adoption by the Company’s stockholders as set forth above.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BONUS PLAN</w:t>
      </w:r>
    </w:p>
    <w:p>
      <w:pPr>
        <w:spacing w:after="0" w:line="13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definitions shall be applicable throughout this Article I:</w:t>
      </w:r>
    </w:p>
    <w:p>
      <w:pPr>
        <w:spacing w:after="0" w:line="387" w:lineRule="exact"/>
        <w:rPr>
          <w:sz w:val="20"/>
          <w:szCs w:val="20"/>
          <w:color w:val="auto"/>
        </w:rPr>
      </w:pPr>
    </w:p>
    <w:p>
      <w:pPr>
        <w:ind w:left="700" w:hanging="260"/>
        <w:spacing w:after="0"/>
        <w:tabs>
          <w:tab w:leader="none" w:pos="70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Award</w:t>
      </w:r>
      <w:r>
        <w:rPr>
          <w:rFonts w:ascii="Arial" w:cs="Arial" w:eastAsia="Arial" w:hAnsi="Arial"/>
          <w:sz w:val="17"/>
          <w:szCs w:val="17"/>
          <w:color w:val="auto"/>
        </w:rPr>
        <w:t>” means the amount of a cash incentive payable under the Cash Plan to a Participant with respect to a Performance Period.</w:t>
      </w:r>
    </w:p>
    <w:p>
      <w:pPr>
        <w:spacing w:after="0" w:line="74" w:lineRule="exact"/>
        <w:rPr>
          <w:rFonts w:ascii="Arial" w:cs="Arial" w:eastAsia="Arial" w:hAnsi="Arial"/>
          <w:sz w:val="17"/>
          <w:szCs w:val="17"/>
          <w:b w:val="1"/>
          <w:bCs w:val="1"/>
          <w:color w:val="auto"/>
        </w:rPr>
      </w:pPr>
    </w:p>
    <w:p>
      <w:pPr>
        <w:ind w:left="700" w:hanging="260"/>
        <w:spacing w:after="0"/>
        <w:tabs>
          <w:tab w:leader="none" w:pos="700"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b w:val="1"/>
          <w:bCs w:val="1"/>
          <w:color w:val="auto"/>
        </w:rPr>
      </w:pPr>
    </w:p>
    <w:p>
      <w:pPr>
        <w:jc w:val="both"/>
        <w:ind w:firstLine="440"/>
        <w:spacing w:after="0" w:line="285" w:lineRule="auto"/>
        <w:tabs>
          <w:tab w:leader="none" w:pos="677"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to the extent Cash Awards are intended to qualify as “performance-based compensation” as defined in Section 162(m) of the Code, two (2) or more “outside directors” within the meaning of Section 162(m) of the Code, and where such Cash Awards are not intended to constitute performance-based compensation, the Compensation Committee or a committee delegated by the Compensation Committee.</w:t>
      </w:r>
    </w:p>
    <w:p>
      <w:pPr>
        <w:spacing w:after="0" w:line="5" w:lineRule="exact"/>
        <w:rPr>
          <w:rFonts w:ascii="Arial" w:cs="Arial" w:eastAsia="Arial" w:hAnsi="Arial"/>
          <w:sz w:val="17"/>
          <w:szCs w:val="17"/>
          <w:b w:val="1"/>
          <w:bCs w:val="1"/>
          <w:color w:val="auto"/>
        </w:rPr>
      </w:pPr>
    </w:p>
    <w:p>
      <w:pPr>
        <w:ind w:left="700" w:hanging="260"/>
        <w:spacing w:after="0"/>
        <w:tabs>
          <w:tab w:leader="none" w:pos="700"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officer or key employee of the Company who is designated as a Participant by the Committee.</w:t>
      </w:r>
    </w:p>
    <w:p>
      <w:pPr>
        <w:spacing w:after="0" w:line="63" w:lineRule="exact"/>
        <w:rPr>
          <w:rFonts w:ascii="Arial" w:cs="Arial" w:eastAsia="Arial" w:hAnsi="Arial"/>
          <w:sz w:val="18"/>
          <w:szCs w:val="18"/>
          <w:b w:val="1"/>
          <w:bCs w:val="1"/>
          <w:color w:val="auto"/>
        </w:rPr>
      </w:pPr>
    </w:p>
    <w:p>
      <w:pPr>
        <w:jc w:val="both"/>
        <w:ind w:firstLine="440"/>
        <w:spacing w:after="0" w:line="270" w:lineRule="auto"/>
        <w:tabs>
          <w:tab w:leader="none" w:pos="677"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w:t>
      </w:r>
      <w:r>
        <w:rPr>
          <w:rFonts w:ascii="Arial" w:cs="Arial" w:eastAsia="Arial" w:hAnsi="Arial"/>
          <w:sz w:val="17"/>
          <w:szCs w:val="17"/>
          <w:color w:val="auto"/>
        </w:rPr>
        <w:t>” means an objective formula or standard determined by the Committee with respect to each Performance Period utilizing one or more of the following factors and any objectively verifiable adjustment(s) thereto permitted and pre-established by the Committee in accordance with Code Section 162(m): operating income, operating cash flow and operating expense; earnings before interest, taxes, depreciation and amortization and net earnings (both which may be determined in accordance with U.S. Generally Accepted Accounting Principles (“GAAP”) or adjusted to exclude any or all non-GAAP items); cash flow; market share; (v) billings; sales; revenue; profits before interest and taxes; expenses; cost of goods sold; profit/loss or profit margin; working capital; return on capital, equity or assets; earnings per share; economic value added; stock price; price/earnings ratio; debt or debt-to-equity; accounts receivable; writeoffs; cash; assets; liquidity; operations; intellectual property (e.g., patents); product development; regulatory activity; manufacturing, production or inventory; mergers and acquisitions or divestitures; financings; customer satisfaction; and /or total shareholder return, each with respect to the Company and/or one or more of its affiliates or operating units. Awards issued to Participants who are not subject to the limitations of Code Section 162(m) may take into account other factors (including subjective factors).</w:t>
      </w:r>
    </w:p>
    <w:p>
      <w:pPr>
        <w:spacing w:after="0" w:line="15" w:lineRule="exact"/>
        <w:rPr>
          <w:rFonts w:ascii="Arial" w:cs="Arial" w:eastAsia="Arial" w:hAnsi="Arial"/>
          <w:sz w:val="17"/>
          <w:szCs w:val="17"/>
          <w:b w:val="1"/>
          <w:bCs w:val="1"/>
          <w:color w:val="auto"/>
        </w:rPr>
      </w:pPr>
    </w:p>
    <w:p>
      <w:pPr>
        <w:ind w:firstLine="440"/>
        <w:spacing w:after="0" w:line="296" w:lineRule="auto"/>
        <w:tabs>
          <w:tab w:leader="none" w:pos="671"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Period</w:t>
      </w:r>
      <w:r>
        <w:rPr>
          <w:rFonts w:ascii="Arial" w:cs="Arial" w:eastAsia="Arial" w:hAnsi="Arial"/>
          <w:sz w:val="17"/>
          <w:szCs w:val="17"/>
          <w:color w:val="auto"/>
        </w:rPr>
        <w:t>” means any period not exceeding 60 months as determined by the Committee, in its sole discretion. The Committee may establish different Performance Periods for different Participants, and the Committee may establish concurrent or overlapping Performance Periods.</w:t>
      </w:r>
    </w:p>
    <w:p>
      <w:pPr>
        <w:spacing w:after="0" w:line="4" w:lineRule="exact"/>
        <w:rPr>
          <w:rFonts w:ascii="Arial" w:cs="Arial" w:eastAsia="Arial" w:hAnsi="Arial"/>
          <w:sz w:val="17"/>
          <w:szCs w:val="17"/>
          <w:b w:val="1"/>
          <w:bCs w:val="1"/>
          <w:color w:val="auto"/>
        </w:rPr>
      </w:pPr>
    </w:p>
    <w:p>
      <w:pPr>
        <w:jc w:val="both"/>
        <w:ind w:firstLine="8"/>
        <w:spacing w:after="0" w:line="257" w:lineRule="auto"/>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Cash Plan shall be administered by the Committee, which shall have the discretionary authority to interpret the provisions of the Cash Plan, including all decisions on eligibility to participate, the establishment of payment targets and the amount of the Awards payable under the Cash Plan. The decisions of the Committee shall be final and binding on all parties making claims under the Cash Plan. The Committee may delegate its administrative authority in whole or in part with respect to Awards issued to Participants who are not current or future covered employees or executive officers (each, as defined in Section 1).</w:t>
      </w:r>
    </w:p>
    <w:p>
      <w:pPr>
        <w:sectPr>
          <w:pgSz w:w="11900" w:h="16838" w:orient="portrait"/>
          <w:cols w:equalWidth="0" w:num="1">
            <w:col w:w="11420"/>
          </w:cols>
          <w:pgMar w:left="240" w:top="1013" w:right="239" w:bottom="1440" w:gutter="0" w:footer="0" w:header="0"/>
        </w:sectPr>
      </w:pPr>
    </w:p>
    <w:bookmarkStart w:id="69" w:name="page70"/>
    <w:bookmarkEnd w:id="69"/>
    <w:p>
      <w:pPr>
        <w:ind w:left="-8" w:right="760" w:firstLine="8"/>
        <w:spacing w:after="0" w:line="277" w:lineRule="auto"/>
        <w:tabs>
          <w:tab w:leader="none" w:pos="172"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Officers and key employees of the Company shall be eligible to participate in the Cash Plan as determined at the sole discretion of the Committee.</w:t>
      </w:r>
    </w:p>
    <w:p>
      <w:pPr>
        <w:spacing w:after="0" w:line="75" w:lineRule="exact"/>
        <w:rPr>
          <w:rFonts w:ascii="Arial" w:cs="Arial" w:eastAsia="Arial" w:hAnsi="Arial"/>
          <w:sz w:val="18"/>
          <w:szCs w:val="18"/>
          <w:b w:val="1"/>
          <w:bCs w:val="1"/>
          <w:color w:val="auto"/>
        </w:rPr>
      </w:pPr>
    </w:p>
    <w:p>
      <w:pPr>
        <w:ind w:left="172" w:hanging="172"/>
        <w:spacing w:after="0"/>
        <w:tabs>
          <w:tab w:leader="none" w:pos="172"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Amount of Awards</w:t>
      </w:r>
      <w:r>
        <w:rPr>
          <w:rFonts w:ascii="Arial" w:cs="Arial" w:eastAsia="Arial" w:hAnsi="Arial"/>
          <w:sz w:val="18"/>
          <w:szCs w:val="18"/>
          <w:color w:val="auto"/>
        </w:rPr>
        <w:t>.</w:t>
      </w:r>
    </w:p>
    <w:p>
      <w:pPr>
        <w:spacing w:after="0" w:line="387" w:lineRule="exact"/>
        <w:rPr>
          <w:rFonts w:ascii="Arial" w:cs="Arial" w:eastAsia="Arial" w:hAnsi="Arial"/>
          <w:sz w:val="18"/>
          <w:szCs w:val="18"/>
          <w:b w:val="1"/>
          <w:bCs w:val="1"/>
          <w:color w:val="auto"/>
        </w:rPr>
      </w:pPr>
    </w:p>
    <w:p>
      <w:pPr>
        <w:jc w:val="both"/>
        <w:ind w:left="-8" w:firstLine="440"/>
        <w:spacing w:after="0" w:line="259" w:lineRule="auto"/>
        <w:tabs>
          <w:tab w:leader="none" w:pos="679"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With respect to each Participant, the Committee will establish one or more Performance Periods, an individual Participant incentive target for each Performance Period and the Performance Goal or Goals to be met during such Performance Periods. With respect to Participants who are or may become subject to Code Section 162(m), the establishment of the Performance Period(s), the applicable Performance Goals and the targets shall occur in compliance with and to the extent required by the rules of Code Section 162(m).</w:t>
      </w:r>
    </w:p>
    <w:p>
      <w:pPr>
        <w:spacing w:after="0" w:line="24" w:lineRule="exact"/>
        <w:rPr>
          <w:rFonts w:ascii="Arial" w:cs="Arial" w:eastAsia="Arial" w:hAnsi="Arial"/>
          <w:sz w:val="18"/>
          <w:szCs w:val="18"/>
          <w:b w:val="1"/>
          <w:bCs w:val="1"/>
          <w:color w:val="auto"/>
        </w:rPr>
      </w:pPr>
    </w:p>
    <w:p>
      <w:pPr>
        <w:jc w:val="both"/>
        <w:ind w:left="-8" w:firstLine="440"/>
        <w:spacing w:after="0" w:line="302" w:lineRule="auto"/>
        <w:tabs>
          <w:tab w:leader="none" w:pos="689"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The maximum amount of any Awards that can be paid under the Cash Plan to any Participant during any Performance Period is $10,000,000. The Committee reserves the right, in its sole discretion, to reduce or eliminate the amount of an Award otherwise payable to a Participant with respect to any Performance Period. In addition, with respect to Awards issued to Participants who are not subject to the limitations of Code Section 162(m), the Committee reserves the right, in its sole discretion, to increase the amount of an Award otherwise payable to a Participant with respect to any Performance Period.</w:t>
      </w:r>
    </w:p>
    <w:p>
      <w:pPr>
        <w:spacing w:after="0" w:line="154" w:lineRule="exact"/>
        <w:rPr>
          <w:rFonts w:ascii="Arial" w:cs="Arial" w:eastAsia="Arial" w:hAnsi="Arial"/>
          <w:sz w:val="16"/>
          <w:szCs w:val="16"/>
          <w:b w:val="1"/>
          <w:bCs w:val="1"/>
          <w:color w:val="auto"/>
        </w:rPr>
      </w:pPr>
    </w:p>
    <w:p>
      <w:pPr>
        <w:ind w:left="172" w:hanging="172"/>
        <w:spacing w:after="0"/>
        <w:tabs>
          <w:tab w:leader="none" w:pos="172"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265" w:lineRule="exact"/>
        <w:rPr>
          <w:rFonts w:ascii="Arial" w:cs="Arial" w:eastAsia="Arial" w:hAnsi="Arial"/>
          <w:sz w:val="18"/>
          <w:szCs w:val="18"/>
          <w:b w:val="1"/>
          <w:bCs w:val="1"/>
          <w:color w:val="auto"/>
        </w:rPr>
      </w:pPr>
    </w:p>
    <w:p>
      <w:pPr>
        <w:ind w:left="-8" w:firstLine="440"/>
        <w:spacing w:after="0" w:line="314" w:lineRule="auto"/>
        <w:tabs>
          <w:tab w:leader="none" w:pos="695"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Committee, a Participant must be employed on the date the Award is to be paid. The Committee may make exceptions to this requirement in the case of death or disability or under other circumstances, as determined by the Committee in its sole discretion.</w:t>
      </w:r>
    </w:p>
    <w:p>
      <w:pPr>
        <w:spacing w:after="0" w:line="4" w:lineRule="exact"/>
        <w:rPr>
          <w:rFonts w:ascii="Arial" w:cs="Arial" w:eastAsia="Arial" w:hAnsi="Arial"/>
          <w:sz w:val="16"/>
          <w:szCs w:val="16"/>
          <w:b w:val="1"/>
          <w:bCs w:val="1"/>
          <w:color w:val="auto"/>
        </w:rPr>
      </w:pPr>
    </w:p>
    <w:p>
      <w:pPr>
        <w:jc w:val="both"/>
        <w:ind w:left="-8" w:firstLine="440"/>
        <w:spacing w:after="0" w:line="271" w:lineRule="auto"/>
        <w:tabs>
          <w:tab w:leader="none" w:pos="704"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Any distribution made under the Cash Plan shall be made in cash and occur within a reasonable period of time after the end of the Performance Period in which the Participant has earned the Award but may occur prior to the end of the Performance Period with respect to Awards issued to Participants who are not subject to the limitations of Code Section 162(m); provided, that no Award shall become payable to a Participant who is subject to the limitations of Code Section 162(m) with respect to any Performance Period until the Committee has certified in writing that the terms and conditions underlying the payment of such Award have been satisfied. Notwithstanding the foregoing, in order to comply with the short-term deferral exception under section 409A of the Code, if the Committee waives the requirement that a Participant must be employed on the date the Award is to be paid, payout shall occur no later than the 15th day of the third month following the later of (i) the end of the Company’s taxable year in which such requirement is waived or (ii) the end of the calendar year in which such requirement is waived.</w:t>
      </w:r>
    </w:p>
    <w:p>
      <w:pPr>
        <w:spacing w:after="0" w:line="84" w:lineRule="exact"/>
        <w:rPr>
          <w:rFonts w:ascii="Arial" w:cs="Arial" w:eastAsia="Arial" w:hAnsi="Arial"/>
          <w:sz w:val="17"/>
          <w:szCs w:val="17"/>
          <w:b w:val="1"/>
          <w:bCs w:val="1"/>
          <w:color w:val="auto"/>
        </w:rPr>
      </w:pPr>
    </w:p>
    <w:p>
      <w:pPr>
        <w:ind w:left="172" w:hanging="172"/>
        <w:spacing w:after="0"/>
        <w:tabs>
          <w:tab w:leader="none" w:pos="172"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387" w:lineRule="exact"/>
        <w:rPr>
          <w:rFonts w:ascii="Arial" w:cs="Arial" w:eastAsia="Arial" w:hAnsi="Arial"/>
          <w:sz w:val="18"/>
          <w:szCs w:val="18"/>
          <w:b w:val="1"/>
          <w:bCs w:val="1"/>
          <w:color w:val="auto"/>
        </w:rPr>
      </w:pPr>
    </w:p>
    <w:p>
      <w:pPr>
        <w:jc w:val="both"/>
        <w:ind w:left="-8" w:firstLine="440"/>
        <w:spacing w:after="0" w:line="264" w:lineRule="auto"/>
        <w:tabs>
          <w:tab w:leader="none" w:pos="679" w:val="left"/>
        </w:tabs>
        <w:numPr>
          <w:ilvl w:val="1"/>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Deduct</w:t>
      </w:r>
      <w:r>
        <w:rPr>
          <w:rFonts w:ascii="Arial" w:cs="Arial" w:eastAsia="Arial" w:hAnsi="Arial"/>
          <w:sz w:val="18"/>
          <w:szCs w:val="18"/>
          <w:color w:val="auto"/>
        </w:rPr>
        <w:t>. The Company shall have the right to deduct from all Awards any federal, state or local income and/or payroll taxes required by law to be withheld with respect to such payments. The Company also may withhold from any other amount payable by the Company or any affiliate to the Participant an amount equal to the taxes required to be withheld from any Award.</w:t>
      </w:r>
    </w:p>
    <w:p>
      <w:pPr>
        <w:spacing w:after="0" w:line="19" w:lineRule="exact"/>
        <w:rPr>
          <w:rFonts w:ascii="Arial" w:cs="Arial" w:eastAsia="Arial" w:hAnsi="Arial"/>
          <w:sz w:val="18"/>
          <w:szCs w:val="18"/>
          <w:b w:val="1"/>
          <w:bCs w:val="1"/>
          <w:color w:val="auto"/>
        </w:rPr>
      </w:pPr>
    </w:p>
    <w:p>
      <w:pPr>
        <w:jc w:val="both"/>
        <w:ind w:left="-8" w:firstLine="440"/>
        <w:spacing w:after="0" w:line="279" w:lineRule="auto"/>
        <w:tabs>
          <w:tab w:leader="none" w:pos="689" w:val="left"/>
        </w:tabs>
        <w:numPr>
          <w:ilvl w:val="1"/>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No Continued Employment</w:t>
      </w:r>
      <w:r>
        <w:rPr>
          <w:rFonts w:ascii="Arial" w:cs="Arial" w:eastAsia="Arial" w:hAnsi="Arial"/>
          <w:sz w:val="17"/>
          <w:szCs w:val="17"/>
          <w:color w:val="auto"/>
        </w:rPr>
        <w:t>. Nothing in the Cash Plan shall confer on any Participant the right to continued employment with the Company or any of its affiliates, or affect in any way the right of the Company or any affiliate to terminate the Participant’s employment at any time, and for any reason, or change the Participant’s responsibilities. Awards represent unfunded and unsecured obligations of the Company and a holder of any right hereunder in respect of any Award shall have no rights other than those of a general unsecured creditor to the Company.</w:t>
      </w:r>
    </w:p>
    <w:p>
      <w:pPr>
        <w:spacing w:after="0" w:line="9" w:lineRule="exact"/>
        <w:rPr>
          <w:rFonts w:ascii="Arial" w:cs="Arial" w:eastAsia="Arial" w:hAnsi="Arial"/>
          <w:sz w:val="17"/>
          <w:szCs w:val="17"/>
          <w:b w:val="1"/>
          <w:bCs w:val="1"/>
          <w:color w:val="auto"/>
        </w:rPr>
      </w:pPr>
    </w:p>
    <w:p>
      <w:pPr>
        <w:jc w:val="both"/>
        <w:ind w:left="-8" w:firstLine="440"/>
        <w:spacing w:after="0" w:line="279" w:lineRule="auto"/>
        <w:tabs>
          <w:tab w:leader="none" w:pos="696" w:val="left"/>
        </w:tabs>
        <w:numPr>
          <w:ilvl w:val="1"/>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Beneficiaries</w:t>
      </w:r>
      <w:r>
        <w:rPr>
          <w:rFonts w:ascii="Arial" w:cs="Arial" w:eastAsia="Arial" w:hAnsi="Arial"/>
          <w:sz w:val="17"/>
          <w:szCs w:val="17"/>
          <w:color w:val="auto"/>
        </w:rPr>
        <w:t>. To the extent the Committee permits beneficiary designations, any payment of Awards due under the Cash Plan to a deceased Participant shall be paid to the beneficiary duly designated by the Participant in accordance with the Company’s practices. If no such beneficiary has been designated or survives the Participant, payment shall be made to the Participant’s legal representative. A beneficiary designation may be changed or revoked by a Participant at any time, provided the change or revocation is filed with the Committee prior to the Participant’s death.</w:t>
      </w:r>
    </w:p>
    <w:p>
      <w:pPr>
        <w:spacing w:after="0" w:line="9" w:lineRule="exact"/>
        <w:rPr>
          <w:rFonts w:ascii="Arial" w:cs="Arial" w:eastAsia="Arial" w:hAnsi="Arial"/>
          <w:sz w:val="17"/>
          <w:szCs w:val="17"/>
          <w:b w:val="1"/>
          <w:bCs w:val="1"/>
          <w:color w:val="auto"/>
        </w:rPr>
      </w:pPr>
    </w:p>
    <w:p>
      <w:pPr>
        <w:jc w:val="both"/>
        <w:ind w:left="-8" w:firstLine="440"/>
        <w:spacing w:after="0" w:line="264" w:lineRule="auto"/>
        <w:tabs>
          <w:tab w:leader="none" w:pos="703" w:val="left"/>
        </w:tabs>
        <w:numPr>
          <w:ilvl w:val="1"/>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A person’s rights and interests under the Cash Plan, including any Award previously made to such person or any amounts payable under the Cash Plan, may not be assigned, pledged, or transferred except, in the event of a Participant’s death, to a designated beneficiary as provided in the Cash Plan, or in the absence of such designation, by will or the laws of descent and distribution.</w:t>
      </w:r>
    </w:p>
    <w:p>
      <w:pPr>
        <w:spacing w:after="0" w:line="19" w:lineRule="exact"/>
        <w:rPr>
          <w:rFonts w:ascii="Arial" w:cs="Arial" w:eastAsia="Arial" w:hAnsi="Arial"/>
          <w:sz w:val="18"/>
          <w:szCs w:val="18"/>
          <w:b w:val="1"/>
          <w:bCs w:val="1"/>
          <w:color w:val="auto"/>
        </w:rPr>
      </w:pPr>
    </w:p>
    <w:p>
      <w:pPr>
        <w:ind w:left="672" w:hanging="240"/>
        <w:spacing w:after="0"/>
        <w:tabs>
          <w:tab w:leader="none" w:pos="672" w:val="left"/>
        </w:tabs>
        <w:numPr>
          <w:ilvl w:val="1"/>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Cash Plan shall be borne by the Company.</w:t>
      </w:r>
    </w:p>
    <w:p>
      <w:pPr>
        <w:spacing w:after="0" w:line="63" w:lineRule="exact"/>
        <w:rPr>
          <w:rFonts w:ascii="Arial" w:cs="Arial" w:eastAsia="Arial" w:hAnsi="Arial"/>
          <w:sz w:val="18"/>
          <w:szCs w:val="18"/>
          <w:b w:val="1"/>
          <w:bCs w:val="1"/>
          <w:color w:val="auto"/>
        </w:rPr>
      </w:pPr>
    </w:p>
    <w:p>
      <w:pPr>
        <w:ind w:left="-8" w:right="20" w:firstLine="440"/>
        <w:spacing w:after="0" w:line="277" w:lineRule="auto"/>
        <w:tabs>
          <w:tab w:leader="none" w:pos="649" w:val="left"/>
        </w:tabs>
        <w:numPr>
          <w:ilvl w:val="1"/>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Cash Plan are for convenience of reference only, and in the event of any conflict, the text of the Cash Plan, rather than such titles or headings, shall control.</w:t>
      </w:r>
    </w:p>
    <w:p>
      <w:pPr>
        <w:sectPr>
          <w:pgSz w:w="11900" w:h="16838" w:orient="portrait"/>
          <w:cols w:equalWidth="0" w:num="1">
            <w:col w:w="11412"/>
          </w:cols>
          <w:pgMar w:left="248" w:top="706" w:right="239" w:bottom="1440" w:gutter="0" w:footer="0" w:header="0"/>
        </w:sectPr>
      </w:pPr>
    </w:p>
    <w:bookmarkStart w:id="70" w:name="page71"/>
    <w:bookmarkEnd w:id="70"/>
    <w:p>
      <w:pPr>
        <w:jc w:val="both"/>
        <w:ind w:firstLine="440"/>
        <w:spacing w:after="0" w:line="257" w:lineRule="auto"/>
        <w:tabs>
          <w:tab w:leader="none" w:pos="687" w:val="left"/>
        </w:tabs>
        <w:numPr>
          <w:ilvl w:val="1"/>
          <w:numId w:val="30"/>
        </w:numPr>
        <w:rPr>
          <w:rFonts w:ascii="Arial" w:cs="Arial" w:eastAsia="Arial" w:hAnsi="Arial"/>
          <w:sz w:val="18"/>
          <w:szCs w:val="18"/>
          <w:b w:val="1"/>
          <w:bCs w:val="1"/>
          <w:color w:val="auto"/>
        </w:rPr>
      </w:pPr>
      <w:r>
        <w:rPr>
          <w:rFonts w:ascii="Arial" w:cs="Arial" w:eastAsia="Arial" w:hAnsi="Arial"/>
          <w:sz w:val="18"/>
          <w:szCs w:val="18"/>
          <w:u w:val="single" w:color="auto"/>
          <w:color w:val="auto"/>
        </w:rPr>
        <w:t>Intent</w:t>
      </w:r>
      <w:r>
        <w:rPr>
          <w:rFonts w:ascii="Arial" w:cs="Arial" w:eastAsia="Arial" w:hAnsi="Arial"/>
          <w:sz w:val="18"/>
          <w:szCs w:val="18"/>
          <w:color w:val="auto"/>
        </w:rPr>
        <w:t>. The intention of the Company and the Committee is to administer the Cash Plan in compliance with Code Section 162(m) so that the Awards paid under the Cash Plan to Participants who are or may become subject to Code Section 162(m) will be treated as performance-based compensation under Code Section 162(m)(4)(C). If any provision of the Cash Plan does not comply with the requirements of Code Section 162(m), then such provision shall be construed or deemed amended to the extent necessary to conform to such requirements. With respect to all other Participants, the Cash Plan may be operated without regard to the constraints of Code Section 162(m).</w:t>
      </w:r>
    </w:p>
    <w:p>
      <w:pPr>
        <w:spacing w:after="0" w:line="26" w:lineRule="exact"/>
        <w:rPr>
          <w:rFonts w:ascii="Arial" w:cs="Arial" w:eastAsia="Arial" w:hAnsi="Arial"/>
          <w:sz w:val="18"/>
          <w:szCs w:val="18"/>
          <w:b w:val="1"/>
          <w:bCs w:val="1"/>
          <w:color w:val="auto"/>
        </w:rPr>
      </w:pPr>
    </w:p>
    <w:p>
      <w:pPr>
        <w:jc w:val="both"/>
        <w:ind w:firstLine="440"/>
        <w:spacing w:after="0" w:line="303" w:lineRule="auto"/>
        <w:tabs>
          <w:tab w:leader="none" w:pos="724" w:val="left"/>
        </w:tabs>
        <w:numPr>
          <w:ilvl w:val="1"/>
          <w:numId w:val="30"/>
        </w:numPr>
        <w:rPr>
          <w:rFonts w:ascii="Arial" w:cs="Arial" w:eastAsia="Arial" w:hAnsi="Arial"/>
          <w:sz w:val="16"/>
          <w:szCs w:val="16"/>
          <w:b w:val="1"/>
          <w:bCs w:val="1"/>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validity, construction, and effect of the Cash Plan, any rules and regulations relating to the Cash Plan, and any Award shall be determined in accordance with the laws of the State of California (without giving effect to principles of conflicts of laws thereof) and applicable Federal law. No Award made under the Cash Plan shall be intended to be deferred compensation under section 409A of the Code and will be interpreted accordingly.</w:t>
      </w:r>
    </w:p>
    <w:p>
      <w:pPr>
        <w:spacing w:after="0" w:line="5" w:lineRule="exact"/>
        <w:rPr>
          <w:rFonts w:ascii="Arial" w:cs="Arial" w:eastAsia="Arial" w:hAnsi="Arial"/>
          <w:sz w:val="16"/>
          <w:szCs w:val="16"/>
          <w:b w:val="1"/>
          <w:bCs w:val="1"/>
          <w:color w:val="auto"/>
        </w:rPr>
      </w:pPr>
    </w:p>
    <w:p>
      <w:pPr>
        <w:jc w:val="both"/>
        <w:ind w:firstLine="440"/>
        <w:spacing w:after="0" w:line="298" w:lineRule="auto"/>
        <w:tabs>
          <w:tab w:leader="none" w:pos="647" w:val="left"/>
        </w:tabs>
        <w:numPr>
          <w:ilvl w:val="1"/>
          <w:numId w:val="30"/>
        </w:numPr>
        <w:rPr>
          <w:rFonts w:ascii="Arial" w:cs="Arial" w:eastAsia="Arial" w:hAnsi="Arial"/>
          <w:sz w:val="16"/>
          <w:szCs w:val="16"/>
          <w:b w:val="1"/>
          <w:bCs w:val="1"/>
          <w:color w:val="auto"/>
        </w:rPr>
      </w:pPr>
      <w:r>
        <w:rPr>
          <w:rFonts w:ascii="Arial" w:cs="Arial" w:eastAsia="Arial" w:hAnsi="Arial"/>
          <w:sz w:val="16"/>
          <w:szCs w:val="16"/>
          <w:u w:val="single" w:color="auto"/>
          <w:color w:val="auto"/>
        </w:rPr>
        <w:t>Amendments and Termination</w:t>
      </w:r>
      <w:r>
        <w:rPr>
          <w:rFonts w:ascii="Arial" w:cs="Arial" w:eastAsia="Arial" w:hAnsi="Arial"/>
          <w:sz w:val="16"/>
          <w:szCs w:val="16"/>
          <w:color w:val="auto"/>
        </w:rPr>
        <w:t>. The Committee may terminate the Cash Plan at any time, provided such termination shall not affect the payment of any Awards accrued under the Cash Plan prior to the date of the termination. The Committee may, at any time, or from time to time, amend or suspend and, if suspended, reinstate, the Cash Plan in whole or in part, provided however, that any amendment of the Cash Plan shall be subject to the approval of the Company’s shareholders to the extent required to comply with the requirements of Code Section 162(m), or any other applicable laws, regulations or rules.</w:t>
      </w:r>
    </w:p>
    <w:p>
      <w:pPr>
        <w:spacing w:after="0" w:line="4" w:lineRule="exact"/>
        <w:rPr>
          <w:rFonts w:ascii="Arial" w:cs="Arial" w:eastAsia="Arial" w:hAnsi="Arial"/>
          <w:sz w:val="16"/>
          <w:szCs w:val="16"/>
          <w:b w:val="1"/>
          <w:bCs w:val="1"/>
          <w:color w:val="auto"/>
        </w:rPr>
      </w:pPr>
    </w:p>
    <w:p>
      <w:pPr>
        <w:jc w:val="both"/>
        <w:ind w:firstLine="8"/>
        <w:spacing w:after="0" w:line="259" w:lineRule="auto"/>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 Approval and Term</w:t>
      </w:r>
      <w:r>
        <w:rPr>
          <w:rFonts w:ascii="Arial" w:cs="Arial" w:eastAsia="Arial" w:hAnsi="Arial"/>
          <w:sz w:val="18"/>
          <w:szCs w:val="18"/>
          <w:color w:val="auto"/>
        </w:rPr>
        <w:t>. The Cash Plan will be subject to approval by the stockholders of the Company within twelve (12) months after the date the Cash Plan is adopted by the Board. Such stockholder approval will be obtained in the manner and to the degree required under Applicable Laws. The Cash Plan will become effective upon its adoption by the Board. It will continue in effect for a term of five (5) years from the date adopted by the Company’s stockholders, unless terminated earlier under Section 7(j) of the Cash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PLAN</w:t>
      </w:r>
    </w:p>
    <w:p>
      <w:pPr>
        <w:spacing w:after="0" w:line="200" w:lineRule="exact"/>
        <w:rPr>
          <w:sz w:val="20"/>
          <w:szCs w:val="20"/>
          <w:color w:val="auto"/>
        </w:rPr>
      </w:pPr>
    </w:p>
    <w:p>
      <w:pPr>
        <w:spacing w:after="0" w:line="2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Equity Plan permits the grant of Incentive Stock Options, Nonstatutory Stock Options, Restricted Stock, Restricted Stock Units, Stock Appreciation Rights, Performance Units and Performance Shares.</w:t>
      </w:r>
    </w:p>
    <w:p>
      <w:pPr>
        <w:spacing w:after="0" w:line="6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b w:val="1"/>
          <w:bCs w:val="1"/>
          <w:color w:val="auto"/>
        </w:rPr>
      </w:pPr>
    </w:p>
    <w:p>
      <w:pPr>
        <w:ind w:left="920" w:hanging="264"/>
        <w:spacing w:after="0"/>
        <w:tabs>
          <w:tab w:leader="none" w:pos="920"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Equity Plan, in accordance with Section 3 of the Equity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jc w:val="both"/>
        <w:ind w:firstLine="656"/>
        <w:spacing w:after="0" w:line="264" w:lineRule="auto"/>
        <w:tabs>
          <w:tab w:leader="none" w:pos="913"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state and foreign securities laws, the Code, any stock exchange or quotation system on which the Common Stock is listed or quoted and the applicable laws of any foreign country or jurisdiction where Awards are, or will be, granted under the Equity Plan.</w:t>
      </w:r>
    </w:p>
    <w:p>
      <w:pPr>
        <w:spacing w:after="0" w:line="181" w:lineRule="exact"/>
        <w:rPr>
          <w:rFonts w:ascii="Arial" w:cs="Arial" w:eastAsia="Arial" w:hAnsi="Arial"/>
          <w:sz w:val="18"/>
          <w:szCs w:val="18"/>
          <w:b w:val="1"/>
          <w:bCs w:val="1"/>
          <w:color w:val="auto"/>
        </w:rPr>
      </w:pPr>
    </w:p>
    <w:p>
      <w:pPr>
        <w:ind w:right="20" w:firstLine="656"/>
        <w:spacing w:after="0" w:line="277" w:lineRule="auto"/>
        <w:tabs>
          <w:tab w:leader="none" w:pos="893"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Equity Plan of Options, Stock Appreciation Rights, Restricted Stock, Restricted Stock Units, Performance Units or Performance Shares.</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913"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Equity Plan. The Award Agreement is subject to the terms and conditions of the Equity Plan.</w:t>
      </w:r>
    </w:p>
    <w:p>
      <w:pPr>
        <w:spacing w:after="0" w:line="170" w:lineRule="exact"/>
        <w:rPr>
          <w:rFonts w:ascii="Arial" w:cs="Arial" w:eastAsia="Arial" w:hAnsi="Arial"/>
          <w:sz w:val="18"/>
          <w:szCs w:val="18"/>
          <w:b w:val="1"/>
          <w:bCs w:val="1"/>
          <w:color w:val="auto"/>
        </w:rPr>
      </w:pPr>
    </w:p>
    <w:p>
      <w:pPr>
        <w:ind w:left="900" w:hanging="244"/>
        <w:spacing w:after="0"/>
        <w:tabs>
          <w:tab w:leader="none" w:pos="90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880" w:hanging="224"/>
        <w:spacing w:after="0"/>
        <w:tabs>
          <w:tab w:leader="none" w:pos="88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b w:val="1"/>
          <w:bCs w:val="1"/>
          <w:color w:val="auto"/>
        </w:rPr>
      </w:pPr>
    </w:p>
    <w:p>
      <w:pPr>
        <w:jc w:val="both"/>
        <w:ind w:firstLine="1305"/>
        <w:spacing w:after="0" w:line="279" w:lineRule="auto"/>
        <w:tabs>
          <w:tab w:leader="none" w:pos="1525" w:val="left"/>
        </w:tabs>
        <w:numPr>
          <w:ilvl w:val="2"/>
          <w:numId w:val="32"/>
        </w:numPr>
        <w:rPr>
          <w:rFonts w:ascii="Arial" w:cs="Arial" w:eastAsia="Arial" w:hAnsi="Arial"/>
          <w:sz w:val="17"/>
          <w:szCs w:val="17"/>
          <w:b w:val="1"/>
          <w:bCs w:val="1"/>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50% of the total voting power of the stock of the Company; provided, however, that for purposes of this subsection 0, the acquisition of additional stock by any one Person, who is considered to own more than 50% of the total voting power of the stock of the Company will not be considered a Change in Control; or</w:t>
      </w:r>
    </w:p>
    <w:p>
      <w:pPr>
        <w:spacing w:after="0" w:line="171" w:lineRule="exact"/>
        <w:rPr>
          <w:rFonts w:ascii="Arial" w:cs="Arial" w:eastAsia="Arial" w:hAnsi="Arial"/>
          <w:sz w:val="17"/>
          <w:szCs w:val="17"/>
          <w:b w:val="1"/>
          <w:bCs w:val="1"/>
          <w:color w:val="auto"/>
        </w:rPr>
      </w:pPr>
    </w:p>
    <w:p>
      <w:pPr>
        <w:jc w:val="both"/>
        <w:ind w:firstLine="1305"/>
        <w:spacing w:after="0" w:line="264" w:lineRule="auto"/>
        <w:tabs>
          <w:tab w:leader="none" w:pos="1561" w:val="left"/>
        </w:tabs>
        <w:numPr>
          <w:ilvl w:val="2"/>
          <w:numId w:val="32"/>
        </w:numPr>
        <w:rPr>
          <w:rFonts w:ascii="Arial" w:cs="Arial" w:eastAsia="Arial" w:hAnsi="Arial"/>
          <w:sz w:val="18"/>
          <w:szCs w:val="18"/>
          <w:b w:val="1"/>
          <w:bCs w:val="1"/>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0, if any Person</w:t>
      </w:r>
    </w:p>
    <w:p>
      <w:pPr>
        <w:sectPr>
          <w:pgSz w:w="11900" w:h="16838" w:orient="portrait"/>
          <w:cols w:equalWidth="0" w:num="1">
            <w:col w:w="11420"/>
          </w:cols>
          <w:pgMar w:left="240" w:top="638" w:right="2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is considered to be in effective control of the Company, the acquisition of additional control of the Company by the same Person will not be considered a Change in Control; or</w:t>
      </w:r>
    </w:p>
    <w:p>
      <w:pPr>
        <w:spacing w:after="0" w:line="170" w:lineRule="exact"/>
        <w:rPr>
          <w:sz w:val="20"/>
          <w:szCs w:val="20"/>
          <w:color w:val="auto"/>
        </w:rPr>
      </w:pPr>
    </w:p>
    <w:p>
      <w:pPr>
        <w:jc w:val="both"/>
        <w:ind w:firstLine="1305"/>
        <w:spacing w:after="0" w:line="287" w:lineRule="auto"/>
        <w:tabs>
          <w:tab w:leader="none" w:pos="1611"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0,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0(B)(3). For purposes of this subsection 0, gross fair market value means the value of the assets of the Company, or the value of the assets being disposed of, determined without regard to any liabilities associated with such assets. For purposes of this Section 00, persons will be considered to be acting as a group if they are owners of a corporation that enters into a merger, consolidation, purchase or acquisition of stock, or similar business transaction with the Company.</w:t>
      </w:r>
    </w:p>
    <w:p>
      <w:pPr>
        <w:spacing w:after="0" w:line="168" w:lineRule="exact"/>
        <w:rPr>
          <w:rFonts w:ascii="Arial" w:cs="Arial" w:eastAsia="Arial" w:hAnsi="Arial"/>
          <w:sz w:val="16"/>
          <w:szCs w:val="16"/>
          <w:b w:val="1"/>
          <w:bCs w:val="1"/>
          <w:color w:val="auto"/>
        </w:rPr>
      </w:pPr>
    </w:p>
    <w:p>
      <w:pPr>
        <w:ind w:right="20" w:firstLine="656"/>
        <w:spacing w:after="0" w:line="277" w:lineRule="auto"/>
        <w:tabs>
          <w:tab w:leader="none" w:pos="1124"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3 hereof.</w:t>
      </w:r>
    </w:p>
    <w:p>
      <w:pPr>
        <w:spacing w:after="0" w:line="170" w:lineRule="exact"/>
        <w:rPr>
          <w:rFonts w:ascii="Arial" w:cs="Arial" w:eastAsia="Arial" w:hAnsi="Arial"/>
          <w:sz w:val="18"/>
          <w:szCs w:val="18"/>
          <w:b w:val="1"/>
          <w:bCs w:val="1"/>
          <w:color w:val="auto"/>
        </w:rPr>
      </w:pPr>
    </w:p>
    <w:p>
      <w:pPr>
        <w:ind w:left="1060" w:hanging="404"/>
        <w:spacing w:after="0"/>
        <w:tabs>
          <w:tab w:leader="none" w:pos="10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1000" w:hanging="344"/>
        <w:spacing w:after="0"/>
        <w:tabs>
          <w:tab w:leader="none" w:pos="10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Fortinet, Inc., a Delaware corporation, or any successor thereto.</w:t>
      </w:r>
    </w:p>
    <w:p>
      <w:pPr>
        <w:spacing w:after="0" w:line="225" w:lineRule="exact"/>
        <w:rPr>
          <w:rFonts w:ascii="Arial" w:cs="Arial" w:eastAsia="Arial" w:hAnsi="Arial"/>
          <w:sz w:val="18"/>
          <w:szCs w:val="18"/>
          <w:b w:val="1"/>
          <w:bCs w:val="1"/>
          <w:color w:val="auto"/>
        </w:rPr>
      </w:pPr>
    </w:p>
    <w:p>
      <w:pPr>
        <w:ind w:left="1020" w:hanging="364"/>
        <w:spacing w:after="0"/>
        <w:tabs>
          <w:tab w:leader="none" w:pos="10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1060" w:hanging="404"/>
        <w:spacing w:after="0"/>
        <w:tabs>
          <w:tab w:leader="none" w:pos="10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b w:val="1"/>
          <w:bCs w:val="1"/>
          <w:color w:val="auto"/>
        </w:rPr>
      </w:pPr>
    </w:p>
    <w:p>
      <w:pPr>
        <w:ind w:left="1000" w:hanging="344"/>
        <w:spacing w:after="0"/>
        <w:tabs>
          <w:tab w:leader="none" w:pos="10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rFonts w:ascii="Arial" w:cs="Arial" w:eastAsia="Arial" w:hAnsi="Arial"/>
          <w:sz w:val="18"/>
          <w:szCs w:val="18"/>
          <w:b w:val="1"/>
          <w:bCs w:val="1"/>
          <w:color w:val="auto"/>
        </w:rPr>
      </w:pPr>
    </w:p>
    <w:p>
      <w:pPr>
        <w:jc w:val="both"/>
        <w:ind w:firstLine="656"/>
        <w:spacing w:after="0" w:line="279" w:lineRule="auto"/>
        <w:tabs>
          <w:tab w:leader="none" w:pos="1111"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Program</w:t>
      </w:r>
      <w:r>
        <w:rPr>
          <w:rFonts w:ascii="Arial" w:cs="Arial" w:eastAsia="Arial" w:hAnsi="Arial"/>
          <w:sz w:val="17"/>
          <w:szCs w:val="17"/>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The Administrator will determine the terms and conditions of any Exchange Program in its sole discretion.</w:t>
      </w:r>
    </w:p>
    <w:p>
      <w:pPr>
        <w:spacing w:after="0" w:line="171" w:lineRule="exact"/>
        <w:rPr>
          <w:rFonts w:ascii="Arial" w:cs="Arial" w:eastAsia="Arial" w:hAnsi="Arial"/>
          <w:sz w:val="17"/>
          <w:szCs w:val="17"/>
          <w:b w:val="1"/>
          <w:bCs w:val="1"/>
          <w:color w:val="auto"/>
        </w:rPr>
      </w:pPr>
    </w:p>
    <w:p>
      <w:pPr>
        <w:ind w:left="1060" w:hanging="404"/>
        <w:spacing w:after="0"/>
        <w:tabs>
          <w:tab w:leader="none" w:pos="10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b w:val="1"/>
          <w:bCs w:val="1"/>
          <w:color w:val="auto"/>
        </w:rPr>
      </w:pPr>
    </w:p>
    <w:p>
      <w:pPr>
        <w:jc w:val="both"/>
        <w:ind w:firstLine="1305"/>
        <w:spacing w:after="0" w:line="259" w:lineRule="auto"/>
        <w:tabs>
          <w:tab w:leader="none" w:pos="166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such other source as the Administrator deems reliable;</w:t>
      </w:r>
    </w:p>
    <w:p>
      <w:pPr>
        <w:spacing w:after="0" w:line="187" w:lineRule="exact"/>
        <w:rPr>
          <w:sz w:val="20"/>
          <w:szCs w:val="20"/>
          <w:color w:val="auto"/>
        </w:rPr>
      </w:pPr>
    </w:p>
    <w:p>
      <w:pPr>
        <w:jc w:val="both"/>
        <w:ind w:firstLine="1305"/>
        <w:spacing w:after="0" w:line="264" w:lineRule="auto"/>
        <w:tabs>
          <w:tab w:leader="none" w:pos="1703"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180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81" w:lineRule="exact"/>
        <w:rPr>
          <w:rFonts w:ascii="Arial" w:cs="Arial" w:eastAsia="Arial" w:hAnsi="Arial"/>
          <w:sz w:val="18"/>
          <w:szCs w:val="18"/>
          <w:b w:val="1"/>
          <w:bCs w:val="1"/>
          <w:color w:val="auto"/>
        </w:rPr>
      </w:pPr>
    </w:p>
    <w:p>
      <w:pPr>
        <w:ind w:left="1900" w:hanging="595"/>
        <w:spacing w:after="0"/>
        <w:tabs>
          <w:tab w:leader="none" w:pos="1900" w:val="left"/>
        </w:tabs>
        <w:numPr>
          <w:ilvl w:val="1"/>
          <w:numId w:val="35"/>
        </w:numPr>
        <w:rPr>
          <w:rFonts w:ascii="Arial" w:cs="Arial" w:eastAsia="Arial" w:hAnsi="Arial"/>
          <w:sz w:val="17"/>
          <w:szCs w:val="17"/>
          <w:b w:val="1"/>
          <w:bCs w:val="1"/>
          <w:color w:val="auto"/>
        </w:rPr>
      </w:pPr>
      <w:r>
        <w:rPr>
          <w:rFonts w:ascii="Arial" w:cs="Arial" w:eastAsia="Arial" w:hAnsi="Arial"/>
          <w:sz w:val="17"/>
          <w:szCs w:val="17"/>
          <w:color w:val="auto"/>
        </w:rPr>
        <w:t>In the absence of an established market for the Common Stock, the Fair Market Value will be determined in good faith by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Administrator.</w:t>
      </w:r>
    </w:p>
    <w:p>
      <w:pPr>
        <w:spacing w:after="0" w:line="210" w:lineRule="exact"/>
        <w:rPr>
          <w:rFonts w:ascii="Arial" w:cs="Arial" w:eastAsia="Arial" w:hAnsi="Arial"/>
          <w:sz w:val="17"/>
          <w:szCs w:val="17"/>
          <w:b w:val="1"/>
          <w:bCs w:val="1"/>
          <w:color w:val="auto"/>
        </w:rPr>
      </w:pPr>
    </w:p>
    <w:p>
      <w:pPr>
        <w:ind w:left="1100" w:hanging="444"/>
        <w:spacing w:after="0"/>
        <w:tabs>
          <w:tab w:leader="none" w:pos="11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ectPr>
          <w:pgSz w:w="11900" w:h="16838" w:orient="portrait"/>
          <w:cols w:equalWidth="0" w:num="1">
            <w:col w:w="11420"/>
          </w:cols>
          <w:pgMar w:left="240" w:top="800" w:right="239" w:bottom="1440" w:gutter="0" w:footer="0" w:header="0"/>
        </w:sectPr>
      </w:pPr>
    </w:p>
    <w:bookmarkStart w:id="72" w:name="page73"/>
    <w:bookmarkEnd w:id="72"/>
    <w:p>
      <w:pPr>
        <w:ind w:left="-656" w:firstLine="656"/>
        <w:spacing w:after="0" w:line="277" w:lineRule="auto"/>
        <w:tabs>
          <w:tab w:leader="none" w:pos="405"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b w:val="1"/>
          <w:bCs w:val="1"/>
          <w:color w:val="auto"/>
        </w:rPr>
      </w:pPr>
    </w:p>
    <w:p>
      <w:pPr>
        <w:ind w:left="404" w:hanging="404"/>
        <w:spacing w:after="0"/>
        <w:tabs>
          <w:tab w:leader="none" w:pos="404"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 Option.</w:t>
      </w:r>
    </w:p>
    <w:p>
      <w:pPr>
        <w:spacing w:after="0" w:line="236" w:lineRule="exact"/>
        <w:rPr>
          <w:rFonts w:ascii="Arial" w:cs="Arial" w:eastAsia="Arial" w:hAnsi="Arial"/>
          <w:sz w:val="17"/>
          <w:szCs w:val="17"/>
          <w:b w:val="1"/>
          <w:bCs w:val="1"/>
          <w:color w:val="auto"/>
        </w:rPr>
      </w:pPr>
    </w:p>
    <w:p>
      <w:pPr>
        <w:ind w:left="-656" w:firstLine="656"/>
        <w:spacing w:after="0" w:line="277" w:lineRule="auto"/>
        <w:tabs>
          <w:tab w:leader="none" w:pos="372"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b w:val="1"/>
          <w:bCs w:val="1"/>
          <w:color w:val="auto"/>
        </w:rPr>
      </w:pPr>
    </w:p>
    <w:p>
      <w:pPr>
        <w:ind w:left="364" w:hanging="364"/>
        <w:spacing w:after="0"/>
        <w:tabs>
          <w:tab w:leader="none" w:pos="364"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Equity Plan.</w:t>
      </w:r>
    </w:p>
    <w:p>
      <w:pPr>
        <w:spacing w:after="0" w:line="225" w:lineRule="exact"/>
        <w:rPr>
          <w:rFonts w:ascii="Arial" w:cs="Arial" w:eastAsia="Arial" w:hAnsi="Arial"/>
          <w:sz w:val="18"/>
          <w:szCs w:val="18"/>
          <w:b w:val="1"/>
          <w:bCs w:val="1"/>
          <w:color w:val="auto"/>
        </w:rPr>
      </w:pPr>
    </w:p>
    <w:p>
      <w:pPr>
        <w:ind w:left="364" w:hanging="364"/>
        <w:spacing w:after="0"/>
        <w:tabs>
          <w:tab w:leader="none" w:pos="364"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b w:val="1"/>
          <w:bCs w:val="1"/>
          <w:color w:val="auto"/>
        </w:rPr>
      </w:pPr>
    </w:p>
    <w:p>
      <w:pPr>
        <w:ind w:left="404" w:hanging="404"/>
        <w:spacing w:after="0"/>
        <w:tabs>
          <w:tab w:leader="none" w:pos="404"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officer or key employee of the Company who is granted an Award.</w:t>
      </w:r>
    </w:p>
    <w:p>
      <w:pPr>
        <w:spacing w:after="0" w:line="225" w:lineRule="exact"/>
        <w:rPr>
          <w:rFonts w:ascii="Arial" w:cs="Arial" w:eastAsia="Arial" w:hAnsi="Arial"/>
          <w:sz w:val="18"/>
          <w:szCs w:val="18"/>
          <w:b w:val="1"/>
          <w:bCs w:val="1"/>
          <w:color w:val="auto"/>
        </w:rPr>
      </w:pPr>
    </w:p>
    <w:p>
      <w:pPr>
        <w:jc w:val="both"/>
        <w:ind w:left="-656" w:firstLine="656"/>
        <w:spacing w:after="0" w:line="270" w:lineRule="auto"/>
        <w:tabs>
          <w:tab w:leader="none" w:pos="395"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an objective formula or standard determined by the Committee with respect to each Performance Period utilizing one or more of the following factors and any objectively verifiable adjustment(s) thereto permitted and pre-established by the Committee in accordance with Code Section 162(m): operating income, operating cash flow and operating expense; earnings before interest, taxes, depreciation and amortization and net earnings (both which may be determined in accordance with U.S. Generally Accepted Accounting Principles (“GAAP”) or adjusted to exclude any or all non-GAAP items); cash flow; market share; (v) billings; sales; revenue; profits before interest and taxes; expenses; cost of goods sold; profit/loss or profit margin; working capital; return on capital, equity or assets; earnings per share; economic value added; stock price; price/earnings ratio; debt or debt-to-equity; accounts receivable; writeoffs; cash; assets; liquidity; operations; intellectual property (e.g., patents); product development; regulatory activity; manufacturing, production or inventory; mergers and acquisitions or divestitures; financings; customer satisfaction; and /or total shareholder return, each with respect to the Company and/or one or more of its affiliates or operating units. Awards issued to Participants who are not subject to the limitations of Code Section 162(m) may take into account other factors (including subjective factors)</w:t>
      </w:r>
    </w:p>
    <w:p>
      <w:pPr>
        <w:spacing w:after="0" w:line="177" w:lineRule="exact"/>
        <w:rPr>
          <w:rFonts w:ascii="Arial" w:cs="Arial" w:eastAsia="Arial" w:hAnsi="Arial"/>
          <w:sz w:val="17"/>
          <w:szCs w:val="17"/>
          <w:b w:val="1"/>
          <w:bCs w:val="1"/>
          <w:color w:val="auto"/>
        </w:rPr>
      </w:pPr>
    </w:p>
    <w:p>
      <w:pPr>
        <w:ind w:left="-656" w:firstLine="656"/>
        <w:spacing w:after="0" w:line="277" w:lineRule="auto"/>
        <w:tabs>
          <w:tab w:leader="none" w:pos="435"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0.</w:t>
      </w:r>
    </w:p>
    <w:p>
      <w:pPr>
        <w:spacing w:after="0" w:line="170" w:lineRule="exact"/>
        <w:rPr>
          <w:rFonts w:ascii="Arial" w:cs="Arial" w:eastAsia="Arial" w:hAnsi="Arial"/>
          <w:sz w:val="18"/>
          <w:szCs w:val="18"/>
          <w:b w:val="1"/>
          <w:bCs w:val="1"/>
          <w:color w:val="auto"/>
        </w:rPr>
      </w:pPr>
    </w:p>
    <w:p>
      <w:pPr>
        <w:ind w:left="-656" w:firstLine="656"/>
        <w:spacing w:after="0" w:line="342" w:lineRule="auto"/>
        <w:tabs>
          <w:tab w:leader="none" w:pos="382"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Unit</w:t>
      </w:r>
      <w:r>
        <w:rPr>
          <w:rFonts w:ascii="Arial" w:cs="Arial" w:eastAsia="Arial" w:hAnsi="Arial"/>
          <w:sz w:val="16"/>
          <w:szCs w:val="16"/>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0.</w:t>
      </w:r>
    </w:p>
    <w:p>
      <w:pPr>
        <w:spacing w:after="0" w:line="123" w:lineRule="exact"/>
        <w:rPr>
          <w:rFonts w:ascii="Arial" w:cs="Arial" w:eastAsia="Arial" w:hAnsi="Arial"/>
          <w:sz w:val="16"/>
          <w:szCs w:val="16"/>
          <w:b w:val="1"/>
          <w:bCs w:val="1"/>
          <w:color w:val="auto"/>
        </w:rPr>
      </w:pPr>
    </w:p>
    <w:p>
      <w:pPr>
        <w:jc w:val="both"/>
        <w:ind w:left="-656" w:firstLine="656"/>
        <w:spacing w:after="0" w:line="264" w:lineRule="auto"/>
        <w:tabs>
          <w:tab w:leader="none" w:pos="422"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rFonts w:ascii="Arial" w:cs="Arial" w:eastAsia="Arial" w:hAnsi="Arial"/>
          <w:sz w:val="18"/>
          <w:szCs w:val="18"/>
          <w:b w:val="1"/>
          <w:bCs w:val="1"/>
          <w:color w:val="auto"/>
        </w:rPr>
      </w:pPr>
    </w:p>
    <w:p>
      <w:pPr>
        <w:ind w:left="-656" w:firstLine="656"/>
        <w:spacing w:after="0" w:line="277" w:lineRule="auto"/>
        <w:tabs>
          <w:tab w:leader="none" w:pos="399"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12(g) of the Exchange Act, with respect to any class of the Company’s securities.</w:t>
      </w:r>
    </w:p>
    <w:p>
      <w:pPr>
        <w:spacing w:after="0" w:line="170" w:lineRule="exact"/>
        <w:rPr>
          <w:sz w:val="20"/>
          <w:szCs w:val="20"/>
          <w:color w:val="auto"/>
        </w:rPr>
      </w:pPr>
    </w:p>
    <w:p>
      <w:pPr>
        <w:ind w:left="-656" w:firstLine="656"/>
        <w:spacing w:after="0" w:line="277" w:lineRule="auto"/>
        <w:tabs>
          <w:tab w:leader="none" w:pos="526"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6 of the Equity Plan, or issued pursuant to the early exercise of an Option.</w:t>
      </w:r>
    </w:p>
    <w:p>
      <w:pPr>
        <w:spacing w:after="0" w:line="170" w:lineRule="exact"/>
        <w:rPr>
          <w:rFonts w:ascii="Arial" w:cs="Arial" w:eastAsia="Arial" w:hAnsi="Arial"/>
          <w:sz w:val="18"/>
          <w:szCs w:val="18"/>
          <w:b w:val="1"/>
          <w:bCs w:val="1"/>
          <w:color w:val="auto"/>
        </w:rPr>
      </w:pPr>
    </w:p>
    <w:p>
      <w:pPr>
        <w:ind w:left="-656" w:firstLine="656"/>
        <w:spacing w:after="0" w:line="277" w:lineRule="auto"/>
        <w:tabs>
          <w:tab w:leader="none" w:pos="506"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7. Each Restricted Stock Unit represents an unfunded and unsecured obligation of the Company.</w:t>
      </w:r>
    </w:p>
    <w:p>
      <w:pPr>
        <w:spacing w:after="0" w:line="170" w:lineRule="exact"/>
        <w:rPr>
          <w:rFonts w:ascii="Arial" w:cs="Arial" w:eastAsia="Arial" w:hAnsi="Arial"/>
          <w:sz w:val="18"/>
          <w:szCs w:val="18"/>
          <w:b w:val="1"/>
          <w:bCs w:val="1"/>
          <w:color w:val="auto"/>
        </w:rPr>
      </w:pPr>
    </w:p>
    <w:p>
      <w:pPr>
        <w:ind w:left="-656" w:right="20" w:firstLine="656"/>
        <w:spacing w:after="0" w:line="277" w:lineRule="auto"/>
        <w:tabs>
          <w:tab w:leader="none" w:pos="506"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Equity Plan.</w:t>
      </w:r>
    </w:p>
    <w:p>
      <w:pPr>
        <w:spacing w:after="0" w:line="170" w:lineRule="exact"/>
        <w:rPr>
          <w:rFonts w:ascii="Arial" w:cs="Arial" w:eastAsia="Arial" w:hAnsi="Arial"/>
          <w:sz w:val="18"/>
          <w:szCs w:val="18"/>
          <w:b w:val="1"/>
          <w:bCs w:val="1"/>
          <w:color w:val="auto"/>
        </w:rPr>
      </w:pPr>
    </w:p>
    <w:p>
      <w:pPr>
        <w:ind w:left="504" w:hanging="504"/>
        <w:spacing w:after="0"/>
        <w:tabs>
          <w:tab w:leader="none" w:pos="50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b w:val="1"/>
          <w:bCs w:val="1"/>
          <w:color w:val="auto"/>
        </w:rPr>
      </w:pPr>
    </w:p>
    <w:p>
      <w:pPr>
        <w:ind w:left="464" w:hanging="464"/>
        <w:spacing w:after="0"/>
        <w:tabs>
          <w:tab w:leader="none" w:pos="46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Equity Plan.</w:t>
      </w:r>
    </w:p>
    <w:p>
      <w:pPr>
        <w:spacing w:after="0" w:line="225" w:lineRule="exact"/>
        <w:rPr>
          <w:rFonts w:ascii="Arial" w:cs="Arial" w:eastAsia="Arial" w:hAnsi="Arial"/>
          <w:sz w:val="18"/>
          <w:szCs w:val="18"/>
          <w:b w:val="1"/>
          <w:bCs w:val="1"/>
          <w:color w:val="auto"/>
        </w:rPr>
      </w:pPr>
    </w:p>
    <w:p>
      <w:pPr>
        <w:ind w:left="-656" w:firstLine="656"/>
        <w:spacing w:after="0" w:line="277" w:lineRule="auto"/>
        <w:tabs>
          <w:tab w:leader="none" w:pos="41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0 is designated as a Stock Appreciation Right.</w:t>
      </w:r>
    </w:p>
    <w:p>
      <w:pPr>
        <w:sectPr>
          <w:pgSz w:w="11900" w:h="16838" w:orient="portrait"/>
          <w:cols w:equalWidth="0" w:num="1">
            <w:col w:w="10764"/>
          </w:cols>
          <w:pgMar w:left="896" w:top="800" w:right="239" w:bottom="1440" w:gutter="0" w:footer="0" w:header="0"/>
        </w:sectPr>
      </w:pPr>
    </w:p>
    <w:bookmarkStart w:id="73" w:name="page74"/>
    <w:bookmarkEnd w:id="73"/>
    <w:p>
      <w:pPr>
        <w:ind w:left="1132" w:hanging="484"/>
        <w:spacing w:after="0"/>
        <w:tabs>
          <w:tab w:leader="none" w:pos="113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5" w:lineRule="exact"/>
        <w:rPr>
          <w:rFonts w:ascii="Arial" w:cs="Arial" w:eastAsia="Arial" w:hAnsi="Arial"/>
          <w:sz w:val="18"/>
          <w:szCs w:val="18"/>
          <w:b w:val="1"/>
          <w:bCs w:val="1"/>
          <w:color w:val="auto"/>
        </w:rPr>
      </w:pPr>
    </w:p>
    <w:p>
      <w:pPr>
        <w:ind w:left="312" w:hanging="312"/>
        <w:spacing w:after="0"/>
        <w:tabs>
          <w:tab w:leader="none" w:pos="312"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032" w:hanging="384"/>
        <w:spacing w:after="0"/>
        <w:tabs>
          <w:tab w:leader="none" w:pos="1032" w:val="left"/>
        </w:tabs>
        <w:numPr>
          <w:ilvl w:val="1"/>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The Shares underlying an Award will be issued from the Company’s 2009 Equity Incentive Plan (the “2009 Plan”).</w:t>
      </w:r>
    </w:p>
    <w:p>
      <w:pPr>
        <w:spacing w:after="0" w:line="225" w:lineRule="exact"/>
        <w:rPr>
          <w:rFonts w:ascii="Arial" w:cs="Arial" w:eastAsia="Arial" w:hAnsi="Arial"/>
          <w:sz w:val="18"/>
          <w:szCs w:val="18"/>
          <w:b w:val="1"/>
          <w:bCs w:val="1"/>
          <w:color w:val="auto"/>
        </w:rPr>
      </w:pPr>
    </w:p>
    <w:p>
      <w:pPr>
        <w:jc w:val="both"/>
        <w:ind w:left="-8" w:firstLine="656"/>
        <w:spacing w:after="0" w:line="257" w:lineRule="auto"/>
        <w:tabs>
          <w:tab w:leader="none" w:pos="1108" w:val="left"/>
        </w:tabs>
        <w:numPr>
          <w:ilvl w:val="1"/>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revert back to the 2009 Plan (unless such plan has terminated). Shares used to pay the exercise price of an Award or to satisfy the tax withholding obligations related to an Award will revert back to the 2009 Plan.</w:t>
      </w:r>
    </w:p>
    <w:p>
      <w:pPr>
        <w:spacing w:after="0" w:line="188" w:lineRule="exact"/>
        <w:rPr>
          <w:rFonts w:ascii="Arial" w:cs="Arial" w:eastAsia="Arial" w:hAnsi="Arial"/>
          <w:sz w:val="18"/>
          <w:szCs w:val="18"/>
          <w:b w:val="1"/>
          <w:bCs w:val="1"/>
          <w:color w:val="auto"/>
        </w:rPr>
      </w:pPr>
    </w:p>
    <w:p>
      <w:pPr>
        <w:jc w:val="both"/>
        <w:ind w:left="-8" w:firstLine="656"/>
        <w:spacing w:after="0" w:line="259" w:lineRule="auto"/>
        <w:tabs>
          <w:tab w:leader="none" w:pos="1020" w:val="left"/>
        </w:tabs>
        <w:numPr>
          <w:ilvl w:val="1"/>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Maximum Number</w:t>
      </w:r>
      <w:r>
        <w:rPr>
          <w:rFonts w:ascii="Arial" w:cs="Arial" w:eastAsia="Arial" w:hAnsi="Arial"/>
          <w:sz w:val="18"/>
          <w:szCs w:val="18"/>
          <w:color w:val="auto"/>
        </w:rPr>
        <w:t>. The maximum number of Shares that may be granted as ISOs is 25,000,000. No Participant will be eligible to receive more than 5,000,000 Shares in any calendar year under the Equity Plan pursuant to the grant of Awards except that new employees of the Company or Subsidiary (including new employees who are also officers of the Company or any Subsidiary) are eligible to receive up to a maximum of 10,000,000 Shares in the calendar year in which they commence their employment.</w:t>
      </w:r>
    </w:p>
    <w:p>
      <w:pPr>
        <w:spacing w:after="0" w:line="186" w:lineRule="exact"/>
        <w:rPr>
          <w:rFonts w:ascii="Arial" w:cs="Arial" w:eastAsia="Arial" w:hAnsi="Arial"/>
          <w:sz w:val="18"/>
          <w:szCs w:val="18"/>
          <w:b w:val="1"/>
          <w:bCs w:val="1"/>
          <w:color w:val="auto"/>
        </w:rPr>
      </w:pPr>
    </w:p>
    <w:p>
      <w:pPr>
        <w:ind w:left="312" w:hanging="312"/>
        <w:spacing w:after="0"/>
        <w:tabs>
          <w:tab w:leader="none" w:pos="312"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Administration of the Equity Plan.</w:t>
      </w:r>
    </w:p>
    <w:p>
      <w:pPr>
        <w:spacing w:after="0" w:line="225" w:lineRule="exact"/>
        <w:rPr>
          <w:rFonts w:ascii="Arial" w:cs="Arial" w:eastAsia="Arial" w:hAnsi="Arial"/>
          <w:sz w:val="18"/>
          <w:szCs w:val="18"/>
          <w:b w:val="1"/>
          <w:bCs w:val="1"/>
          <w:color w:val="auto"/>
        </w:rPr>
      </w:pPr>
    </w:p>
    <w:p>
      <w:pPr>
        <w:ind w:left="1032" w:hanging="384"/>
        <w:spacing w:after="0"/>
        <w:tabs>
          <w:tab w:leader="none" w:pos="1032" w:val="left"/>
        </w:tabs>
        <w:numPr>
          <w:ilvl w:val="1"/>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652" w:hanging="355"/>
        <w:spacing w:after="0"/>
        <w:tabs>
          <w:tab w:leader="none" w:pos="1652" w:val="left"/>
        </w:tabs>
        <w:numPr>
          <w:ilvl w:val="2"/>
          <w:numId w:val="40"/>
        </w:numPr>
        <w:rPr>
          <w:rFonts w:ascii="Arial" w:cs="Arial" w:eastAsia="Arial" w:hAnsi="Arial"/>
          <w:sz w:val="16"/>
          <w:szCs w:val="16"/>
          <w:b w:val="1"/>
          <w:bCs w:val="1"/>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Employees may administer the Equity Plan.</w:t>
      </w:r>
    </w:p>
    <w:p>
      <w:pPr>
        <w:spacing w:after="0" w:line="248" w:lineRule="exact"/>
        <w:rPr>
          <w:rFonts w:ascii="Arial" w:cs="Arial" w:eastAsia="Arial" w:hAnsi="Arial"/>
          <w:sz w:val="16"/>
          <w:szCs w:val="16"/>
          <w:b w:val="1"/>
          <w:bCs w:val="1"/>
          <w:color w:val="auto"/>
        </w:rPr>
      </w:pPr>
    </w:p>
    <w:p>
      <w:pPr>
        <w:jc w:val="both"/>
        <w:ind w:left="-8" w:firstLine="1305"/>
        <w:spacing w:after="0" w:line="264" w:lineRule="auto"/>
        <w:tabs>
          <w:tab w:leader="none" w:pos="1864" w:val="left"/>
        </w:tabs>
        <w:numPr>
          <w:ilvl w:val="2"/>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Equity Plan will be administered by a Committee of two (2) or more “outside directors” within the meaning of Section 162(m) of the Code.</w:t>
      </w:r>
    </w:p>
    <w:p>
      <w:pPr>
        <w:spacing w:after="0" w:line="181" w:lineRule="exact"/>
        <w:rPr>
          <w:rFonts w:ascii="Arial" w:cs="Arial" w:eastAsia="Arial" w:hAnsi="Arial"/>
          <w:sz w:val="18"/>
          <w:szCs w:val="18"/>
          <w:b w:val="1"/>
          <w:bCs w:val="1"/>
          <w:color w:val="auto"/>
        </w:rPr>
      </w:pPr>
    </w:p>
    <w:p>
      <w:pPr>
        <w:ind w:left="-8" w:firstLine="1305"/>
        <w:spacing w:after="0" w:line="277" w:lineRule="auto"/>
        <w:tabs>
          <w:tab w:leader="none" w:pos="1819" w:val="left"/>
        </w:tabs>
        <w:numPr>
          <w:ilvl w:val="2"/>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rFonts w:ascii="Arial" w:cs="Arial" w:eastAsia="Arial" w:hAnsi="Arial"/>
          <w:sz w:val="18"/>
          <w:szCs w:val="18"/>
          <w:b w:val="1"/>
          <w:bCs w:val="1"/>
          <w:color w:val="auto"/>
        </w:rPr>
      </w:pPr>
    </w:p>
    <w:p>
      <w:pPr>
        <w:ind w:left="-8" w:right="20" w:firstLine="1305"/>
        <w:spacing w:after="0" w:line="277" w:lineRule="auto"/>
        <w:tabs>
          <w:tab w:leader="none" w:pos="1796" w:val="left"/>
        </w:tabs>
        <w:numPr>
          <w:ilvl w:val="2"/>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Equity Plan will be administered by (A) the Board or (B) a Committee, which committee will be constituted to satisfy Applicable Laws.</w:t>
      </w:r>
    </w:p>
    <w:p>
      <w:pPr>
        <w:spacing w:after="0" w:line="170" w:lineRule="exact"/>
        <w:rPr>
          <w:rFonts w:ascii="Arial" w:cs="Arial" w:eastAsia="Arial" w:hAnsi="Arial"/>
          <w:sz w:val="18"/>
          <w:szCs w:val="18"/>
          <w:b w:val="1"/>
          <w:bCs w:val="1"/>
          <w:color w:val="auto"/>
        </w:rPr>
      </w:pPr>
    </w:p>
    <w:p>
      <w:pPr>
        <w:ind w:left="-8" w:right="20" w:firstLine="656"/>
        <w:spacing w:after="0" w:line="277" w:lineRule="auto"/>
        <w:tabs>
          <w:tab w:leader="none" w:pos="1135" w:val="left"/>
        </w:tabs>
        <w:numPr>
          <w:ilvl w:val="1"/>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Equity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b w:val="1"/>
          <w:bCs w:val="1"/>
          <w:color w:val="auto"/>
        </w:rPr>
      </w:pPr>
    </w:p>
    <w:p>
      <w:pPr>
        <w:ind w:left="1652" w:hanging="355"/>
        <w:spacing w:after="0"/>
        <w:tabs>
          <w:tab w:leader="none" w:pos="165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b w:val="1"/>
          <w:bCs w:val="1"/>
          <w:color w:val="auto"/>
        </w:rPr>
      </w:pPr>
    </w:p>
    <w:p>
      <w:pPr>
        <w:ind w:left="1692" w:hanging="395"/>
        <w:spacing w:after="0"/>
        <w:tabs>
          <w:tab w:leader="none" w:pos="169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select the Participants to whom Awards may be granted hereunder;</w:t>
      </w:r>
    </w:p>
    <w:p>
      <w:pPr>
        <w:spacing w:after="0" w:line="225" w:lineRule="exact"/>
        <w:rPr>
          <w:rFonts w:ascii="Arial" w:cs="Arial" w:eastAsia="Arial" w:hAnsi="Arial"/>
          <w:sz w:val="18"/>
          <w:szCs w:val="18"/>
          <w:b w:val="1"/>
          <w:bCs w:val="1"/>
          <w:color w:val="auto"/>
        </w:rPr>
      </w:pPr>
    </w:p>
    <w:p>
      <w:pPr>
        <w:ind w:left="1752" w:hanging="455"/>
        <w:spacing w:after="0"/>
        <w:tabs>
          <w:tab w:leader="none" w:pos="175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b w:val="1"/>
          <w:bCs w:val="1"/>
          <w:color w:val="auto"/>
        </w:rPr>
      </w:pPr>
    </w:p>
    <w:p>
      <w:pPr>
        <w:ind w:left="1732" w:hanging="435"/>
        <w:spacing w:after="0"/>
        <w:tabs>
          <w:tab w:leader="none" w:pos="173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approve forms of Award Agreements for use under the Equity Plan;</w:t>
      </w:r>
    </w:p>
    <w:p>
      <w:pPr>
        <w:spacing w:after="0" w:line="225" w:lineRule="exact"/>
        <w:rPr>
          <w:rFonts w:ascii="Arial" w:cs="Arial" w:eastAsia="Arial" w:hAnsi="Arial"/>
          <w:sz w:val="18"/>
          <w:szCs w:val="18"/>
          <w:b w:val="1"/>
          <w:bCs w:val="1"/>
          <w:color w:val="auto"/>
        </w:rPr>
      </w:pPr>
    </w:p>
    <w:p>
      <w:pPr>
        <w:jc w:val="both"/>
        <w:ind w:left="-8" w:firstLine="1305"/>
        <w:spacing w:after="0" w:line="259" w:lineRule="auto"/>
        <w:tabs>
          <w:tab w:leader="none" w:pos="1687"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determine the terms and conditions, not inconsistent with the terms of the Equity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b w:val="1"/>
          <w:bCs w:val="1"/>
          <w:color w:val="auto"/>
        </w:rPr>
      </w:pPr>
    </w:p>
    <w:p>
      <w:pPr>
        <w:ind w:left="1732" w:hanging="435"/>
        <w:spacing w:after="0"/>
        <w:tabs>
          <w:tab w:leader="none" w:pos="173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terms of the Equity Plan and Awards granted thereunder;</w:t>
      </w:r>
    </w:p>
    <w:p>
      <w:pPr>
        <w:spacing w:after="0" w:line="225" w:lineRule="exact"/>
        <w:rPr>
          <w:rFonts w:ascii="Arial" w:cs="Arial" w:eastAsia="Arial" w:hAnsi="Arial"/>
          <w:sz w:val="18"/>
          <w:szCs w:val="18"/>
          <w:b w:val="1"/>
          <w:bCs w:val="1"/>
          <w:color w:val="auto"/>
        </w:rPr>
      </w:pPr>
    </w:p>
    <w:p>
      <w:pPr>
        <w:ind w:left="-8" w:firstLine="1305"/>
        <w:spacing w:after="0" w:line="277" w:lineRule="auto"/>
        <w:tabs>
          <w:tab w:leader="none" w:pos="1812" w:val="left"/>
        </w:tabs>
        <w:numPr>
          <w:ilvl w:val="2"/>
          <w:numId w:val="40"/>
        </w:numPr>
        <w:rPr>
          <w:rFonts w:ascii="Arial" w:cs="Arial" w:eastAsia="Arial" w:hAnsi="Arial"/>
          <w:sz w:val="18"/>
          <w:szCs w:val="18"/>
          <w:b w:val="1"/>
          <w:bCs w:val="1"/>
          <w:color w:val="auto"/>
        </w:rPr>
      </w:pPr>
      <w:r>
        <w:rPr>
          <w:rFonts w:ascii="Arial" w:cs="Arial" w:eastAsia="Arial" w:hAnsi="Arial"/>
          <w:sz w:val="18"/>
          <w:szCs w:val="18"/>
          <w:color w:val="auto"/>
        </w:rPr>
        <w:t>to prescribe, amend and rescind rules and regulations relating to the Equity Plan, obtaining favorable tax treatment or for any other purpose the Administrator determines is desirable and consistent with the terms of the Equity Plan;</w:t>
      </w:r>
    </w:p>
    <w:p>
      <w:pPr>
        <w:sectPr>
          <w:pgSz w:w="11900" w:h="16838" w:orient="portrait"/>
          <w:cols w:equalWidth="0" w:num="1">
            <w:col w:w="11412"/>
          </w:cols>
          <w:pgMar w:left="248" w:top="800" w:right="239" w:bottom="1440" w:gutter="0" w:footer="0" w:header="0"/>
        </w:sectPr>
      </w:pPr>
    </w:p>
    <w:bookmarkStart w:id="74" w:name="page75"/>
    <w:bookmarkEnd w:id="74"/>
    <w:p>
      <w:pPr>
        <w:jc w:val="both"/>
        <w:ind w:firstLine="1305"/>
        <w:spacing w:after="0" w:line="264" w:lineRule="auto"/>
        <w:tabs>
          <w:tab w:leader="none" w:pos="1959"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to modify or amend each Award (subject to Section 17 and Section 20 of the Equity Plan), including but not limited to the discretionary authority to extend the post-termination exercisability period of Awards and to extend the maximum term of an Option (subject to Section 5(b) of the Equity Plan regarding Incentive Stock Options);</w:t>
      </w:r>
    </w:p>
    <w:p>
      <w:pPr>
        <w:spacing w:after="0" w:line="181" w:lineRule="exact"/>
        <w:rPr>
          <w:rFonts w:ascii="Arial" w:cs="Arial" w:eastAsia="Arial" w:hAnsi="Arial"/>
          <w:sz w:val="18"/>
          <w:szCs w:val="18"/>
          <w:b w:val="1"/>
          <w:bCs w:val="1"/>
          <w:color w:val="auto"/>
        </w:rPr>
      </w:pPr>
    </w:p>
    <w:p>
      <w:pPr>
        <w:ind w:left="1740" w:hanging="435"/>
        <w:spacing w:after="0"/>
        <w:tabs>
          <w:tab w:leader="none" w:pos="1740"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to allow Participants to satisfy withholding tax obligations in such manner as provided for herein;</w:t>
      </w:r>
    </w:p>
    <w:p>
      <w:pPr>
        <w:spacing w:after="0" w:line="225" w:lineRule="exact"/>
        <w:rPr>
          <w:rFonts w:ascii="Arial" w:cs="Arial" w:eastAsia="Arial" w:hAnsi="Arial"/>
          <w:sz w:val="18"/>
          <w:szCs w:val="18"/>
          <w:b w:val="1"/>
          <w:bCs w:val="1"/>
          <w:color w:val="auto"/>
        </w:rPr>
      </w:pPr>
    </w:p>
    <w:p>
      <w:pPr>
        <w:ind w:right="20" w:firstLine="1305"/>
        <w:spacing w:after="0" w:line="277" w:lineRule="auto"/>
        <w:tabs>
          <w:tab w:leader="none" w:pos="1768"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b w:val="1"/>
          <w:bCs w:val="1"/>
          <w:color w:val="auto"/>
        </w:rPr>
      </w:pPr>
    </w:p>
    <w:p>
      <w:pPr>
        <w:ind w:firstLine="1305"/>
        <w:spacing w:after="0" w:line="277" w:lineRule="auto"/>
        <w:tabs>
          <w:tab w:leader="none" w:pos="1823"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70" w:lineRule="exact"/>
        <w:rPr>
          <w:rFonts w:ascii="Arial" w:cs="Arial" w:eastAsia="Arial" w:hAnsi="Arial"/>
          <w:sz w:val="18"/>
          <w:szCs w:val="18"/>
          <w:b w:val="1"/>
          <w:bCs w:val="1"/>
          <w:color w:val="auto"/>
        </w:rPr>
      </w:pPr>
    </w:p>
    <w:p>
      <w:pPr>
        <w:ind w:left="1800" w:hanging="495"/>
        <w:spacing w:after="0"/>
        <w:tabs>
          <w:tab w:leader="none" w:pos="1800"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to make all other determinations deemed necessary or advisable for administering the Equity Plan.</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176" w:val="left"/>
        </w:tabs>
        <w:numPr>
          <w:ilvl w:val="1"/>
          <w:numId w:val="42"/>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b w:val="1"/>
          <w:bCs w:val="1"/>
          <w:color w:val="auto"/>
        </w:rPr>
      </w:pPr>
    </w:p>
    <w:p>
      <w:pPr>
        <w:ind w:right="40" w:firstLine="8"/>
        <w:spacing w:after="0" w:line="277" w:lineRule="auto"/>
        <w:tabs>
          <w:tab w:leader="none" w:pos="315" w:val="left"/>
        </w:tabs>
        <w:numPr>
          <w:ilvl w:val="0"/>
          <w:numId w:val="43"/>
        </w:numPr>
        <w:rPr>
          <w:rFonts w:ascii="Arial" w:cs="Arial" w:eastAsia="Arial" w:hAnsi="Arial"/>
          <w:sz w:val="18"/>
          <w:szCs w:val="18"/>
          <w:b w:val="1"/>
          <w:bCs w:val="1"/>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and Incentive Stock Options may be granted to officers and key employees of the Company and its Subsidiaries.</w:t>
      </w:r>
    </w:p>
    <w:p>
      <w:pPr>
        <w:spacing w:after="0" w:line="170" w:lineRule="exact"/>
        <w:rPr>
          <w:rFonts w:ascii="Arial" w:cs="Arial" w:eastAsia="Arial" w:hAnsi="Arial"/>
          <w:sz w:val="18"/>
          <w:szCs w:val="18"/>
          <w:b w:val="1"/>
          <w:bCs w:val="1"/>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36" w:lineRule="exact"/>
        <w:rPr>
          <w:rFonts w:ascii="Arial" w:cs="Arial" w:eastAsia="Arial" w:hAnsi="Arial"/>
          <w:sz w:val="18"/>
          <w:szCs w:val="18"/>
          <w:b w:val="1"/>
          <w:bCs w:val="1"/>
          <w:color w:val="auto"/>
        </w:rPr>
      </w:pPr>
    </w:p>
    <w:p>
      <w:pPr>
        <w:jc w:val="both"/>
        <w:ind w:firstLine="656"/>
        <w:spacing w:after="0" w:line="297" w:lineRule="auto"/>
        <w:tabs>
          <w:tab w:leader="none" w:pos="14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5(a), Incentive Stock Options will be taken into account in the order in which they were granted. The Fair Market Value of the Shares will be determined as of the time the Option with respect to such Shares is granted.</w:t>
      </w:r>
    </w:p>
    <w:p>
      <w:pPr>
        <w:spacing w:after="0" w:line="2" w:lineRule="exact"/>
        <w:rPr>
          <w:rFonts w:ascii="Arial" w:cs="Arial" w:eastAsia="Arial" w:hAnsi="Arial"/>
          <w:sz w:val="18"/>
          <w:szCs w:val="18"/>
          <w:color w:val="auto"/>
        </w:rPr>
      </w:pPr>
    </w:p>
    <w:p>
      <w:pPr>
        <w:jc w:val="both"/>
        <w:ind w:firstLine="656"/>
        <w:spacing w:after="0" w:line="297" w:lineRule="auto"/>
        <w:tabs>
          <w:tab w:leader="none" w:pos="150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2" w:lineRule="exact"/>
        <w:rPr>
          <w:rFonts w:ascii="Arial" w:cs="Arial" w:eastAsia="Arial" w:hAnsi="Arial"/>
          <w:sz w:val="18"/>
          <w:szCs w:val="18"/>
          <w:color w:val="auto"/>
        </w:rPr>
      </w:pPr>
    </w:p>
    <w:p>
      <w:pPr>
        <w:ind w:left="1500" w:hanging="844"/>
        <w:spacing w:after="0"/>
        <w:tabs>
          <w:tab w:leader="none" w:pos="15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firstLine="1305"/>
        <w:spacing w:after="0" w:line="297" w:lineRule="auto"/>
        <w:tabs>
          <w:tab w:leader="none" w:pos="2115"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ind w:left="2820" w:hanging="867"/>
        <w:spacing w:after="0"/>
        <w:tabs>
          <w:tab w:leader="none" w:pos="2820" w:val="left"/>
        </w:tabs>
        <w:numPr>
          <w:ilvl w:val="3"/>
          <w:numId w:val="43"/>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49" w:lineRule="exact"/>
        <w:rPr>
          <w:rFonts w:ascii="Arial" w:cs="Arial" w:eastAsia="Arial" w:hAnsi="Arial"/>
          <w:sz w:val="18"/>
          <w:szCs w:val="18"/>
          <w:color w:val="auto"/>
        </w:rPr>
      </w:pPr>
    </w:p>
    <w:p>
      <w:pPr>
        <w:jc w:val="both"/>
        <w:ind w:firstLine="2601"/>
        <w:spacing w:after="0" w:line="297" w:lineRule="auto"/>
        <w:tabs>
          <w:tab w:leader="none" w:pos="3366" w:val="left"/>
        </w:tabs>
        <w:numPr>
          <w:ilvl w:val="4"/>
          <w:numId w:val="43"/>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 w:lineRule="exact"/>
        <w:rPr>
          <w:rFonts w:ascii="Arial" w:cs="Arial" w:eastAsia="Arial" w:hAnsi="Arial"/>
          <w:sz w:val="18"/>
          <w:szCs w:val="18"/>
          <w:color w:val="auto"/>
        </w:rPr>
      </w:pPr>
    </w:p>
    <w:p>
      <w:pPr>
        <w:ind w:left="3380" w:hanging="779"/>
        <w:spacing w:after="0"/>
        <w:tabs>
          <w:tab w:leader="none" w:pos="3380" w:val="left"/>
        </w:tabs>
        <w:numPr>
          <w:ilvl w:val="4"/>
          <w:numId w:val="43"/>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 per Share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 price will be no less than one hundred percent (100%) of the Fair Market Value per Share on the date of grant.</w:t>
      </w:r>
    </w:p>
    <w:p>
      <w:pPr>
        <w:spacing w:after="0" w:line="49" w:lineRule="exact"/>
        <w:rPr>
          <w:rFonts w:ascii="Arial" w:cs="Arial" w:eastAsia="Arial" w:hAnsi="Arial"/>
          <w:sz w:val="16"/>
          <w:szCs w:val="16"/>
          <w:color w:val="auto"/>
        </w:rPr>
      </w:pPr>
    </w:p>
    <w:p>
      <w:pPr>
        <w:ind w:firstLine="1953"/>
        <w:spacing w:after="0" w:line="297" w:lineRule="auto"/>
        <w:tabs>
          <w:tab w:leader="none" w:pos="2803" w:val="left"/>
        </w:tabs>
        <w:numPr>
          <w:ilvl w:val="3"/>
          <w:numId w:val="43"/>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jc w:val="both"/>
        <w:ind w:firstLine="1953"/>
        <w:spacing w:after="0" w:line="297" w:lineRule="auto"/>
        <w:tabs>
          <w:tab w:leader="none" w:pos="2803" w:val="left"/>
        </w:tabs>
        <w:numPr>
          <w:ilvl w:val="3"/>
          <w:numId w:val="43"/>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 w:lineRule="exact"/>
        <w:rPr>
          <w:rFonts w:ascii="Arial" w:cs="Arial" w:eastAsia="Arial" w:hAnsi="Arial"/>
          <w:sz w:val="18"/>
          <w:szCs w:val="18"/>
          <w:color w:val="auto"/>
        </w:rPr>
      </w:pPr>
    </w:p>
    <w:p>
      <w:pPr>
        <w:ind w:firstLine="1305"/>
        <w:spacing w:after="0" w:line="297" w:lineRule="auto"/>
        <w:tabs>
          <w:tab w:leader="none" w:pos="2165"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jc w:val="both"/>
        <w:ind w:firstLine="1305"/>
        <w:spacing w:after="0" w:line="304" w:lineRule="auto"/>
        <w:tabs>
          <w:tab w:leader="none" w:pos="2215"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w:t>
      </w:r>
    </w:p>
    <w:p>
      <w:pPr>
        <w:sectPr>
          <w:pgSz w:w="11900" w:h="16838" w:orient="portrait"/>
          <w:cols w:equalWidth="0" w:num="1">
            <w:col w:w="11420"/>
          </w:cols>
          <w:pgMar w:left="240" w:top="801" w:right="239" w:bottom="1440" w:gutter="0" w:footer="0" w:header="0"/>
        </w:sectPr>
      </w:pPr>
    </w:p>
    <w:bookmarkStart w:id="75" w:name="page76"/>
    <w:bookmarkEnd w:id="75"/>
    <w:p>
      <w:pPr>
        <w:jc w:val="both"/>
        <w:spacing w:after="0" w:line="297" w:lineRule="auto"/>
        <w:rPr>
          <w:sz w:val="20"/>
          <w:szCs w:val="20"/>
          <w:color w:val="auto"/>
        </w:rPr>
      </w:pPr>
      <w:r>
        <w:rPr>
          <w:rFonts w:ascii="Arial" w:cs="Arial" w:eastAsia="Arial" w:hAnsi="Arial"/>
          <w:sz w:val="18"/>
          <w:szCs w:val="18"/>
          <w:color w:val="auto"/>
        </w:rPr>
        <w:t>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Equity Plan; (6) by net exercise; (7) such other consideration and method of payment for the issuance of Shares to the extent permitted by Applicable Laws; or (8) any combination of the foregoing methods of payment.</w:t>
      </w:r>
    </w:p>
    <w:p>
      <w:pPr>
        <w:spacing w:after="0" w:line="2" w:lineRule="exact"/>
        <w:rPr>
          <w:sz w:val="20"/>
          <w:szCs w:val="20"/>
          <w:color w:val="auto"/>
        </w:rPr>
      </w:pPr>
    </w:p>
    <w:p>
      <w:pPr>
        <w:ind w:left="1520" w:hanging="864"/>
        <w:spacing w:after="0"/>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jc w:val="both"/>
        <w:ind w:firstLine="1305"/>
        <w:spacing w:after="0" w:line="334" w:lineRule="auto"/>
        <w:tabs>
          <w:tab w:leader="none" w:pos="2115"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Stockholder</w:t>
      </w:r>
      <w:r>
        <w:rPr>
          <w:rFonts w:ascii="Arial" w:cs="Arial" w:eastAsia="Arial" w:hAnsi="Arial"/>
          <w:sz w:val="16"/>
          <w:szCs w:val="16"/>
          <w:color w:val="auto"/>
        </w:rPr>
        <w:t>. Any Option granted hereunder will be exercisable according to the terms of the Equity Plan and at such times and under such conditions as determined by the Administrator and set forth in the Award Agreement. An Option may not be exercised for a fraction of a Share. 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Equity Plan. Shares issued upon exercise of an Option will be issued in the name of the Participant or, if allowed by the Administrator and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12 of the Equity Plan.</w:t>
      </w:r>
    </w:p>
    <w:p>
      <w:pPr>
        <w:spacing w:after="0" w:line="6" w:lineRule="exact"/>
        <w:rPr>
          <w:rFonts w:ascii="Arial" w:cs="Arial" w:eastAsia="Arial" w:hAnsi="Arial"/>
          <w:sz w:val="16"/>
          <w:szCs w:val="16"/>
          <w:color w:val="auto"/>
        </w:rPr>
      </w:pPr>
    </w:p>
    <w:p>
      <w:pPr>
        <w:jc w:val="both"/>
        <w:ind w:firstLine="1305"/>
        <w:spacing w:after="0" w:line="334" w:lineRule="auto"/>
        <w:tabs>
          <w:tab w:leader="none" w:pos="2165"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w:t>
      </w:r>
      <w:r>
        <w:rPr>
          <w:rFonts w:ascii="Arial" w:cs="Arial" w:eastAsia="Arial" w:hAnsi="Arial"/>
          <w:sz w:val="16"/>
          <w:szCs w:val="16"/>
          <w:color w:val="auto"/>
        </w:rPr>
        <w:t>. If a Participant ceases to be an employee,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2009 Plan. If after termination the Participant does not exercise his or her Option within the time specified by the Administrator, the Option will terminate, and the Shares covered by such Option will revert to the 2009 Plan.</w:t>
      </w:r>
    </w:p>
    <w:p>
      <w:pPr>
        <w:spacing w:after="0" w:line="3" w:lineRule="exact"/>
        <w:rPr>
          <w:rFonts w:ascii="Arial" w:cs="Arial" w:eastAsia="Arial" w:hAnsi="Arial"/>
          <w:sz w:val="16"/>
          <w:szCs w:val="16"/>
          <w:color w:val="auto"/>
        </w:rPr>
      </w:pPr>
    </w:p>
    <w:p>
      <w:pPr>
        <w:jc w:val="both"/>
        <w:ind w:firstLine="1305"/>
        <w:spacing w:after="0" w:line="315" w:lineRule="auto"/>
        <w:tabs>
          <w:tab w:leader="none" w:pos="2215"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an employee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immediately revert to the 2009 Plan. If after termination the Participant does not exercise his or her Option within the time specified herein, the Option will terminate, and the Shares covered by such Option will revert to the 2009 Plan.</w:t>
      </w:r>
    </w:p>
    <w:p>
      <w:pPr>
        <w:jc w:val="both"/>
        <w:ind w:firstLine="1305"/>
        <w:spacing w:after="0" w:line="342" w:lineRule="auto"/>
        <w:tabs>
          <w:tab w:leader="none" w:pos="2205"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an employee,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2009 Plan. If the Option is not so exercised within the time specified herein, the Option will terminate, and the Shares covered by such Option will revert to the 2009 Plan.</w:t>
      </w:r>
    </w:p>
    <w:p>
      <w:pPr>
        <w:spacing w:after="0" w:line="138"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firstLine="656"/>
        <w:spacing w:after="0" w:line="250" w:lineRule="auto"/>
        <w:tabs>
          <w:tab w:leader="none" w:pos="106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Equity Plan, the Administrator, at any time and from time to time, may grant Shares of Restricted Stock to Service Providers in such amounts as the Administrator, in its sole discretion, will determine.</w:t>
      </w:r>
    </w:p>
    <w:p>
      <w:pPr>
        <w:jc w:val="both"/>
        <w:ind w:firstLine="656"/>
        <w:spacing w:after="0" w:line="281" w:lineRule="auto"/>
        <w:tabs>
          <w:tab w:leader="none" w:pos="114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2" w:lineRule="exact"/>
        <w:rPr>
          <w:rFonts w:ascii="Arial" w:cs="Arial" w:eastAsia="Arial" w:hAnsi="Arial"/>
          <w:sz w:val="16"/>
          <w:szCs w:val="16"/>
          <w:color w:val="auto"/>
        </w:rPr>
      </w:pPr>
    </w:p>
    <w:p>
      <w:pPr>
        <w:ind w:firstLine="656"/>
        <w:spacing w:after="0" w:line="261" w:lineRule="auto"/>
        <w:tabs>
          <w:tab w:leader="none" w:pos="105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6, Shares of Restricted Stock may not be sold, transferred, pledged, assigned, or otherwise alienated or hypothecated until the end of the applicable Period of Restriction.</w:t>
      </w:r>
    </w:p>
    <w:p>
      <w:pPr>
        <w:sectPr>
          <w:pgSz w:w="11900" w:h="16838" w:orient="portrait"/>
          <w:cols w:equalWidth="0" w:num="1">
            <w:col w:w="11420"/>
          </w:cols>
          <w:pgMar w:left="240" w:top="611" w:right="239" w:bottom="1440" w:gutter="0" w:footer="0" w:header="0"/>
        </w:sectPr>
      </w:pPr>
    </w:p>
    <w:bookmarkStart w:id="76" w:name="page77"/>
    <w:bookmarkEnd w:id="76"/>
    <w:p>
      <w:pPr>
        <w:ind w:left="-8" w:firstLine="656"/>
        <w:spacing w:after="0" w:line="258" w:lineRule="auto"/>
        <w:tabs>
          <w:tab w:leader="none" w:pos="105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 w:lineRule="exact"/>
        <w:rPr>
          <w:rFonts w:ascii="Arial" w:cs="Arial" w:eastAsia="Arial" w:hAnsi="Arial"/>
          <w:sz w:val="18"/>
          <w:szCs w:val="18"/>
          <w:color w:val="auto"/>
        </w:rPr>
      </w:pPr>
    </w:p>
    <w:p>
      <w:pPr>
        <w:jc w:val="both"/>
        <w:ind w:left="-8" w:firstLine="656"/>
        <w:spacing w:after="0" w:line="265" w:lineRule="auto"/>
        <w:tabs>
          <w:tab w:leader="none" w:pos="1074"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Removal of Restrictions</w:t>
      </w:r>
      <w:r>
        <w:rPr>
          <w:rFonts w:ascii="Arial" w:cs="Arial" w:eastAsia="Arial" w:hAnsi="Arial"/>
          <w:sz w:val="17"/>
          <w:szCs w:val="17"/>
          <w:color w:val="auto"/>
        </w:rPr>
        <w:t>. Except as otherwise provided in this Section 6, Shares of Restricted Stock covered by each Restricted Stock grant made under the Equity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ind w:left="-8" w:firstLine="656"/>
        <w:spacing w:after="0" w:line="250" w:lineRule="auto"/>
        <w:tabs>
          <w:tab w:leader="none" w:pos="108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jc w:val="both"/>
        <w:ind w:left="-8" w:firstLine="656"/>
        <w:spacing w:after="0" w:line="250" w:lineRule="auto"/>
        <w:tabs>
          <w:tab w:leader="none" w:pos="107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 w:lineRule="exact"/>
        <w:rPr>
          <w:rFonts w:ascii="Arial" w:cs="Arial" w:eastAsia="Arial" w:hAnsi="Arial"/>
          <w:sz w:val="18"/>
          <w:szCs w:val="18"/>
          <w:color w:val="auto"/>
        </w:rPr>
      </w:pPr>
    </w:p>
    <w:p>
      <w:pPr>
        <w:ind w:left="-8" w:firstLine="656"/>
        <w:spacing w:after="0" w:line="261" w:lineRule="auto"/>
        <w:tabs>
          <w:tab w:leader="none" w:pos="108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2009 Plan.</w:t>
      </w:r>
    </w:p>
    <w:p>
      <w:pPr>
        <w:spacing w:after="0" w:line="183" w:lineRule="exact"/>
        <w:rPr>
          <w:rFonts w:ascii="Arial" w:cs="Arial" w:eastAsia="Arial" w:hAnsi="Arial"/>
          <w:sz w:val="18"/>
          <w:szCs w:val="18"/>
          <w:color w:val="auto"/>
        </w:rPr>
      </w:pPr>
    </w:p>
    <w:p>
      <w:pPr>
        <w:ind w:left="312" w:hanging="312"/>
        <w:spacing w:after="0"/>
        <w:tabs>
          <w:tab w:leader="none" w:pos="312" w:val="left"/>
        </w:tabs>
        <w:numPr>
          <w:ilvl w:val="0"/>
          <w:numId w:val="47"/>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left="-8" w:firstLine="656"/>
        <w:spacing w:after="0" w:line="250"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Equity Plan, it will advise the Participant in an Award Agreement of the terms, conditions, and restrictions related to the grant, including the number of Restricted Stock Units.</w:t>
      </w:r>
    </w:p>
    <w:p>
      <w:pPr>
        <w:spacing w:after="0" w:line="1" w:lineRule="exact"/>
        <w:rPr>
          <w:rFonts w:ascii="Arial" w:cs="Arial" w:eastAsia="Arial" w:hAnsi="Arial"/>
          <w:sz w:val="18"/>
          <w:szCs w:val="18"/>
          <w:color w:val="auto"/>
        </w:rPr>
      </w:pPr>
    </w:p>
    <w:p>
      <w:pPr>
        <w:jc w:val="both"/>
        <w:ind w:left="-8" w:firstLine="656"/>
        <w:spacing w:after="0" w:line="250" w:lineRule="auto"/>
        <w:tabs>
          <w:tab w:leader="none" w:pos="109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Performance Goals, Company-wide, business unit, or individual goals (including, but not limited to, continued employment), or any other basis determined by the Administrator in its discretion.</w:t>
      </w:r>
    </w:p>
    <w:p>
      <w:pPr>
        <w:spacing w:after="0" w:line="1" w:lineRule="exact"/>
        <w:rPr>
          <w:rFonts w:ascii="Arial" w:cs="Arial" w:eastAsia="Arial" w:hAnsi="Arial"/>
          <w:sz w:val="18"/>
          <w:szCs w:val="18"/>
          <w:color w:val="auto"/>
        </w:rPr>
      </w:pPr>
    </w:p>
    <w:p>
      <w:pPr>
        <w:jc w:val="both"/>
        <w:ind w:left="-8" w:firstLine="656"/>
        <w:spacing w:after="0" w:line="250" w:lineRule="auto"/>
        <w:tabs>
          <w:tab w:leader="none" w:pos="107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 w:lineRule="exact"/>
        <w:rPr>
          <w:rFonts w:ascii="Arial" w:cs="Arial" w:eastAsia="Arial" w:hAnsi="Arial"/>
          <w:sz w:val="18"/>
          <w:szCs w:val="18"/>
          <w:color w:val="auto"/>
        </w:rPr>
      </w:pPr>
    </w:p>
    <w:p>
      <w:pPr>
        <w:jc w:val="both"/>
        <w:ind w:left="-8" w:firstLine="656"/>
        <w:spacing w:after="0" w:line="255" w:lineRule="auto"/>
        <w:tabs>
          <w:tab w:leader="none" w:pos="103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 w:lineRule="exact"/>
        <w:rPr>
          <w:rFonts w:ascii="Arial" w:cs="Arial" w:eastAsia="Arial" w:hAnsi="Arial"/>
          <w:sz w:val="18"/>
          <w:szCs w:val="18"/>
          <w:color w:val="auto"/>
        </w:rPr>
      </w:pPr>
    </w:p>
    <w:p>
      <w:pPr>
        <w:jc w:val="both"/>
        <w:ind w:left="-8" w:firstLine="656"/>
        <w:spacing w:after="0" w:line="311" w:lineRule="auto"/>
        <w:tabs>
          <w:tab w:leader="none" w:pos="148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Return of RSUs to Company</w:t>
      </w:r>
      <w:r>
        <w:rPr>
          <w:rFonts w:ascii="Arial" w:cs="Arial" w:eastAsia="Arial" w:hAnsi="Arial"/>
          <w:sz w:val="18"/>
          <w:szCs w:val="18"/>
          <w:color w:val="auto"/>
        </w:rPr>
        <w:t>. On the date set forth in the Award Agreement, all unearned Restricted Stock Units will be forfeited to the Company. On the date set forth in the Award Agreement, all unearned Restricted Stock Units that have not vested will revert to the Company and again will become available for grant under the 2009 Plan.</w:t>
      </w:r>
    </w:p>
    <w:p>
      <w:pPr>
        <w:spacing w:after="0" w:line="154" w:lineRule="exact"/>
        <w:rPr>
          <w:rFonts w:ascii="Arial" w:cs="Arial" w:eastAsia="Arial" w:hAnsi="Arial"/>
          <w:sz w:val="18"/>
          <w:szCs w:val="18"/>
          <w:color w:val="auto"/>
        </w:rPr>
      </w:pPr>
    </w:p>
    <w:p>
      <w:pPr>
        <w:ind w:left="312" w:hanging="312"/>
        <w:spacing w:after="0"/>
        <w:tabs>
          <w:tab w:leader="none" w:pos="312" w:val="left"/>
        </w:tabs>
        <w:numPr>
          <w:ilvl w:val="0"/>
          <w:numId w:val="47"/>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left="-8" w:right="20" w:firstLine="656"/>
        <w:spacing w:after="0" w:line="250" w:lineRule="auto"/>
        <w:tabs>
          <w:tab w:leader="none" w:pos="108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Equity Plan, a Stock Appreciation Right may be granted to Service Providers at any time and from time to time as will be determined by the Administrator, in its sole discretion.</w:t>
      </w:r>
    </w:p>
    <w:p>
      <w:pPr>
        <w:ind w:left="-8" w:firstLine="656"/>
        <w:spacing w:after="0" w:line="250" w:lineRule="auto"/>
        <w:tabs>
          <w:tab w:leader="none" w:pos="109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jc w:val="both"/>
        <w:ind w:left="-8" w:firstLine="656"/>
        <w:spacing w:after="0" w:line="250"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Equity Plan, will have complete discretion to determine the terms and conditions of Stock Appreciation Rights granted under the Equity Plan.</w:t>
      </w:r>
    </w:p>
    <w:p>
      <w:pPr>
        <w:spacing w:after="0" w:line="1" w:lineRule="exact"/>
        <w:rPr>
          <w:rFonts w:ascii="Arial" w:cs="Arial" w:eastAsia="Arial" w:hAnsi="Arial"/>
          <w:sz w:val="18"/>
          <w:szCs w:val="18"/>
          <w:color w:val="auto"/>
        </w:rPr>
      </w:pPr>
    </w:p>
    <w:p>
      <w:pPr>
        <w:jc w:val="both"/>
        <w:ind w:left="-8" w:firstLine="656"/>
        <w:spacing w:after="0" w:line="250" w:lineRule="auto"/>
        <w:tabs>
          <w:tab w:leader="none" w:pos="108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 w:lineRule="exact"/>
        <w:rPr>
          <w:rFonts w:ascii="Arial" w:cs="Arial" w:eastAsia="Arial" w:hAnsi="Arial"/>
          <w:sz w:val="18"/>
          <w:szCs w:val="18"/>
          <w:color w:val="auto"/>
        </w:rPr>
      </w:pPr>
    </w:p>
    <w:p>
      <w:pPr>
        <w:jc w:val="both"/>
        <w:ind w:left="-8" w:firstLine="656"/>
        <w:spacing w:after="0" w:line="255"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Equity Plan will expire upon the date determined by the Administrator, in its sole discretion, and set forth in the Award Agreement. Notwithstanding the foregoing, the rules of Section 5(b) relating to the maximum term and Section 5(d) relating to exercise also will apply to Stock Appreciation Rights.</w:t>
      </w:r>
    </w:p>
    <w:p>
      <w:pPr>
        <w:spacing w:after="0" w:line="1" w:lineRule="exact"/>
        <w:rPr>
          <w:rFonts w:ascii="Arial" w:cs="Arial" w:eastAsia="Arial" w:hAnsi="Arial"/>
          <w:sz w:val="18"/>
          <w:szCs w:val="18"/>
          <w:color w:val="auto"/>
        </w:rPr>
      </w:pPr>
    </w:p>
    <w:p>
      <w:pPr>
        <w:ind w:left="-8" w:firstLine="656"/>
        <w:spacing w:after="0" w:line="297" w:lineRule="auto"/>
        <w:tabs>
          <w:tab w:leader="none" w:pos="146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ind w:left="2112" w:hanging="815"/>
        <w:spacing w:after="0"/>
        <w:tabs>
          <w:tab w:leader="none" w:pos="21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49" w:lineRule="exact"/>
        <w:rPr>
          <w:rFonts w:ascii="Arial" w:cs="Arial" w:eastAsia="Arial" w:hAnsi="Arial"/>
          <w:sz w:val="18"/>
          <w:szCs w:val="18"/>
          <w:color w:val="auto"/>
        </w:rPr>
      </w:pPr>
    </w:p>
    <w:p>
      <w:pPr>
        <w:ind w:left="2172" w:hanging="875"/>
        <w:spacing w:after="0"/>
        <w:tabs>
          <w:tab w:leader="none" w:pos="2172"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ectPr>
          <w:pgSz w:w="11900" w:h="16838" w:orient="portrait"/>
          <w:cols w:equalWidth="0" w:num="1">
            <w:col w:w="11412"/>
          </w:cols>
          <w:pgMar w:left="248" w:top="584"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firstLine="656"/>
        <w:spacing w:after="0" w:line="250" w:lineRule="auto"/>
        <w:tabs>
          <w:tab w:leader="none" w:pos="108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employees at any time and from time to time, as will be determined by the Administrator, in its sole discretion. The Administrator will have complete discretion in determining the number of Performance Units and Performance Shares granted to each Participant and the extent to which such Awards are intended to be granted in compliance with Code Section 162(m).</w:t>
      </w:r>
    </w:p>
    <w:p>
      <w:pPr>
        <w:spacing w:after="0" w:line="1" w:lineRule="exact"/>
        <w:rPr>
          <w:rFonts w:ascii="Arial" w:cs="Arial" w:eastAsia="Arial" w:hAnsi="Arial"/>
          <w:sz w:val="18"/>
          <w:szCs w:val="18"/>
          <w:color w:val="auto"/>
        </w:rPr>
      </w:pPr>
    </w:p>
    <w:p>
      <w:pPr>
        <w:ind w:firstLine="656"/>
        <w:spacing w:after="0" w:line="250" w:lineRule="auto"/>
        <w:tabs>
          <w:tab w:leader="none" w:pos="106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jc w:val="both"/>
        <w:ind w:firstLine="656"/>
        <w:spacing w:after="0" w:line="281" w:lineRule="auto"/>
        <w:tabs>
          <w:tab w:leader="none" w:pos="108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Administrator or the Committee will set Performance Goals, performance objectives or other vesting provisions (including, without limitation, continued status as an employee)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w:t>
      </w:r>
    </w:p>
    <w:p>
      <w:pPr>
        <w:spacing w:after="0" w:line="3" w:lineRule="exact"/>
        <w:rPr>
          <w:rFonts w:ascii="Arial" w:cs="Arial" w:eastAsia="Arial" w:hAnsi="Arial"/>
          <w:sz w:val="16"/>
          <w:szCs w:val="16"/>
          <w:color w:val="auto"/>
        </w:rPr>
      </w:pPr>
    </w:p>
    <w:p>
      <w:pPr>
        <w:jc w:val="both"/>
        <w:ind w:firstLine="656"/>
        <w:spacing w:after="0" w:line="281" w:lineRule="auto"/>
        <w:tabs>
          <w:tab w:leader="none" w:pos="111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 w:lineRule="exact"/>
        <w:rPr>
          <w:rFonts w:ascii="Arial" w:cs="Arial" w:eastAsia="Arial" w:hAnsi="Arial"/>
          <w:sz w:val="16"/>
          <w:szCs w:val="16"/>
          <w:color w:val="auto"/>
        </w:rPr>
      </w:pPr>
    </w:p>
    <w:p>
      <w:pPr>
        <w:jc w:val="both"/>
        <w:ind w:firstLine="656"/>
        <w:spacing w:after="0" w:line="250" w:lineRule="auto"/>
        <w:tabs>
          <w:tab w:leader="none" w:pos="105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 w:lineRule="exact"/>
        <w:rPr>
          <w:rFonts w:ascii="Arial" w:cs="Arial" w:eastAsia="Arial" w:hAnsi="Arial"/>
          <w:sz w:val="18"/>
          <w:szCs w:val="18"/>
          <w:color w:val="auto"/>
        </w:rPr>
      </w:pPr>
    </w:p>
    <w:p>
      <w:pPr>
        <w:ind w:right="20" w:firstLine="656"/>
        <w:spacing w:after="0" w:line="261" w:lineRule="auto"/>
        <w:tabs>
          <w:tab w:leader="none" w:pos="106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Return of Performance Units/Shares to Company</w:t>
      </w:r>
      <w:r>
        <w:rPr>
          <w:rFonts w:ascii="Arial" w:cs="Arial" w:eastAsia="Arial" w:hAnsi="Arial"/>
          <w:sz w:val="18"/>
          <w:szCs w:val="18"/>
          <w:color w:val="auto"/>
        </w:rPr>
        <w:t>. All unearned or unvested Performance Units/Shares will be forfeited to the Company and again will become available for grant under the 2009 Plan.</w:t>
      </w:r>
    </w:p>
    <w:p>
      <w:pPr>
        <w:spacing w:after="0" w:line="183" w:lineRule="exact"/>
        <w:rPr>
          <w:rFonts w:ascii="Arial" w:cs="Arial" w:eastAsia="Arial" w:hAnsi="Arial"/>
          <w:sz w:val="18"/>
          <w:szCs w:val="18"/>
          <w:color w:val="auto"/>
        </w:rPr>
      </w:pPr>
    </w:p>
    <w:p>
      <w:pPr>
        <w:ind w:firstLine="8"/>
        <w:spacing w:after="0" w:line="239" w:lineRule="auto"/>
        <w:tabs>
          <w:tab w:leader="none" w:pos="405" w:val="left"/>
        </w:tabs>
        <w:numPr>
          <w:ilvl w:val="0"/>
          <w:numId w:val="48"/>
        </w:numPr>
        <w:rPr>
          <w:rFonts w:ascii="Arial" w:cs="Arial" w:eastAsia="Arial" w:hAnsi="Arial"/>
          <w:sz w:val="18"/>
          <w:szCs w:val="18"/>
          <w:b w:val="1"/>
          <w:bCs w:val="1"/>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or contrary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25"/>
          <w:szCs w:val="25"/>
          <w:color w:val="auto"/>
          <w:vertAlign w:val="superscript"/>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205" w:lineRule="exact"/>
        <w:rPr>
          <w:rFonts w:ascii="Arial" w:cs="Arial" w:eastAsia="Arial" w:hAnsi="Arial"/>
          <w:sz w:val="18"/>
          <w:szCs w:val="18"/>
          <w:b w:val="1"/>
          <w:bCs w:val="1"/>
          <w:color w:val="auto"/>
        </w:rPr>
      </w:pPr>
    </w:p>
    <w:p>
      <w:pPr>
        <w:jc w:val="both"/>
        <w:ind w:right="140" w:firstLine="8"/>
        <w:spacing w:after="0" w:line="259" w:lineRule="auto"/>
        <w:tabs>
          <w:tab w:leader="none" w:pos="395" w:val="left"/>
        </w:tabs>
        <w:numPr>
          <w:ilvl w:val="0"/>
          <w:numId w:val="48"/>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86" w:lineRule="exact"/>
        <w:rPr>
          <w:rFonts w:ascii="Arial" w:cs="Arial" w:eastAsia="Arial" w:hAnsi="Arial"/>
          <w:sz w:val="18"/>
          <w:szCs w:val="18"/>
          <w:b w:val="1"/>
          <w:bCs w:val="1"/>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firstLine="656"/>
        <w:spacing w:after="0" w:line="250" w:lineRule="auto"/>
        <w:tabs>
          <w:tab w:leader="none" w:pos="10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hereunder, will adjust the number and class of Shares that may be delivered and/or the number, class, and price of Shares covered by each outstanding Award and the numerical Share limits in Section 2 of the Equity Plan.</w:t>
      </w:r>
    </w:p>
    <w:p>
      <w:pPr>
        <w:spacing w:after="0" w:line="2" w:lineRule="exact"/>
        <w:rPr>
          <w:rFonts w:ascii="Arial" w:cs="Arial" w:eastAsia="Arial" w:hAnsi="Arial"/>
          <w:sz w:val="18"/>
          <w:szCs w:val="18"/>
          <w:color w:val="auto"/>
        </w:rPr>
      </w:pPr>
    </w:p>
    <w:p>
      <w:pPr>
        <w:jc w:val="both"/>
        <w:ind w:firstLine="656"/>
        <w:spacing w:after="0" w:line="250"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 w:lineRule="exact"/>
        <w:rPr>
          <w:rFonts w:ascii="Arial" w:cs="Arial" w:eastAsia="Arial" w:hAnsi="Arial"/>
          <w:sz w:val="18"/>
          <w:szCs w:val="18"/>
          <w:color w:val="auto"/>
        </w:rPr>
      </w:pPr>
    </w:p>
    <w:p>
      <w:pPr>
        <w:ind w:firstLine="656"/>
        <w:spacing w:after="0" w:line="261" w:lineRule="auto"/>
        <w:tabs>
          <w:tab w:leader="none" w:pos="108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or Change in Control, each outstanding Award will be treated as the Administrator determines, including, without limitation, that each Award be assumed or an equivalent option or right substituted</w:t>
      </w:r>
    </w:p>
    <w:p>
      <w:pPr>
        <w:sectPr>
          <w:pgSz w:w="11900" w:h="16838" w:orient="portrait"/>
          <w:cols w:equalWidth="0" w:num="1">
            <w:col w:w="11420"/>
          </w:cols>
          <w:pgMar w:left="240" w:top="584" w:right="2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by the successor corporation or a Parent or Subsidiary of the successor corporation. The Administrator will not be required to treat all Awards similarly in the transaction.</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7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anything in this Section 1(c) to the contrary, an Award that vests, is earned or paid-out upon the satisfaction of one or more performance goals or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firstLine="656"/>
        <w:spacing w:after="0" w:line="250" w:lineRule="auto"/>
        <w:tabs>
          <w:tab w:leader="none" w:pos="105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and social insurance contributions (including the Participant’s FICA obligation) required to be withheld with respect to such Award (or exercise thereof).</w:t>
      </w:r>
    </w:p>
    <w:p>
      <w:pPr>
        <w:spacing w:after="0" w:line="1" w:lineRule="exact"/>
        <w:rPr>
          <w:rFonts w:ascii="Arial" w:cs="Arial" w:eastAsia="Arial" w:hAnsi="Arial"/>
          <w:sz w:val="18"/>
          <w:szCs w:val="18"/>
          <w:color w:val="auto"/>
        </w:rPr>
      </w:pPr>
    </w:p>
    <w:p>
      <w:pPr>
        <w:jc w:val="both"/>
        <w:ind w:firstLine="656"/>
        <w:spacing w:after="0" w:line="265" w:lineRule="auto"/>
        <w:tabs>
          <w:tab w:leader="none" w:pos="1052"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 w:lineRule="exact"/>
        <w:rPr>
          <w:rFonts w:ascii="Arial" w:cs="Arial" w:eastAsia="Arial" w:hAnsi="Arial"/>
          <w:sz w:val="17"/>
          <w:szCs w:val="17"/>
          <w:color w:val="auto"/>
        </w:rPr>
      </w:pPr>
    </w:p>
    <w:p>
      <w:pPr>
        <w:jc w:val="both"/>
        <w:ind w:firstLine="656"/>
        <w:spacing w:after="0" w:line="288" w:lineRule="auto"/>
        <w:tabs>
          <w:tab w:leader="none" w:pos="1041"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Equity Plan and each Award Agreement under the Equity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68" w:lineRule="exact"/>
        <w:rPr>
          <w:rFonts w:ascii="Arial" w:cs="Arial" w:eastAsia="Arial" w:hAnsi="Arial"/>
          <w:sz w:val="16"/>
          <w:szCs w:val="16"/>
          <w:color w:val="auto"/>
        </w:rPr>
      </w:pPr>
    </w:p>
    <w:p>
      <w:pPr>
        <w:ind w:right="80" w:firstLine="8"/>
        <w:spacing w:after="0" w:line="259" w:lineRule="auto"/>
        <w:tabs>
          <w:tab w:leader="none" w:pos="405"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Equity Plan nor any Award will confer upon a Participant any right with respect to continuing the Participant’s relationship as a Service Provider with the Participant’s employer or contracting company, nor will they interfere in any way with the Participant’s right or the Participant’s employer or contracting company’s right to terminate such relationship at any time, with or without cause, to the extent permitted by Applicable Laws.</w:t>
      </w:r>
    </w:p>
    <w:p>
      <w:pPr>
        <w:spacing w:after="0" w:line="186" w:lineRule="exact"/>
        <w:rPr>
          <w:rFonts w:ascii="Arial" w:cs="Arial" w:eastAsia="Arial" w:hAnsi="Arial"/>
          <w:sz w:val="18"/>
          <w:szCs w:val="18"/>
          <w:b w:val="1"/>
          <w:bCs w:val="1"/>
          <w:color w:val="auto"/>
        </w:rPr>
      </w:pPr>
    </w:p>
    <w:p>
      <w:pPr>
        <w:ind w:right="320" w:firstLine="8"/>
        <w:spacing w:after="0" w:line="264" w:lineRule="auto"/>
        <w:tabs>
          <w:tab w:leader="none" w:pos="405"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ectPr>
          <w:pgSz w:w="11900" w:h="16838" w:orient="portrait"/>
          <w:cols w:equalWidth="0" w:num="1">
            <w:col w:w="11420"/>
          </w:cols>
          <w:pgMar w:left="240" w:top="584" w:right="239" w:bottom="1440" w:gutter="0" w:footer="0" w:header="0"/>
        </w:sectPr>
      </w:pPr>
    </w:p>
    <w:bookmarkStart w:id="79" w:name="page80"/>
    <w:bookmarkEnd w:id="79"/>
    <w:p>
      <w:pPr>
        <w:ind w:left="-8" w:right="120" w:firstLine="8"/>
        <w:spacing w:after="0" w:line="342" w:lineRule="auto"/>
        <w:tabs>
          <w:tab w:leader="none" w:pos="397"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Term of Equity Plan</w:t>
      </w:r>
      <w:r>
        <w:rPr>
          <w:rFonts w:ascii="Arial" w:cs="Arial" w:eastAsia="Arial" w:hAnsi="Arial"/>
          <w:sz w:val="16"/>
          <w:szCs w:val="16"/>
          <w:color w:val="auto"/>
        </w:rPr>
        <w:t>. Subject to Section 21 of the Equity Plan, the Equity Plan will become effective upon its adoption by the Board. It will continue in effect for a term of five (5) years from the date adopted by the Company’s stockholders, unless terminated earlier under Section 17 of the Equity Plan.</w:t>
      </w:r>
    </w:p>
    <w:p>
      <w:pPr>
        <w:spacing w:after="0" w:line="123" w:lineRule="exact"/>
        <w:rPr>
          <w:rFonts w:ascii="Arial" w:cs="Arial" w:eastAsia="Arial" w:hAnsi="Arial"/>
          <w:sz w:val="16"/>
          <w:szCs w:val="16"/>
          <w:b w:val="1"/>
          <w:bCs w:val="1"/>
          <w:color w:val="auto"/>
        </w:rPr>
      </w:pPr>
    </w:p>
    <w:p>
      <w:pPr>
        <w:ind w:left="412" w:hanging="412"/>
        <w:spacing w:after="0"/>
        <w:tabs>
          <w:tab w:leader="none" w:pos="412"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and Termination of the Equity Plan</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left="1032" w:hanging="384"/>
        <w:spacing w:after="0"/>
        <w:tabs>
          <w:tab w:leader="none" w:pos="103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Equity Plan.</w:t>
      </w:r>
    </w:p>
    <w:p>
      <w:pPr>
        <w:spacing w:after="0" w:line="9" w:lineRule="exact"/>
        <w:rPr>
          <w:rFonts w:ascii="Arial" w:cs="Arial" w:eastAsia="Arial" w:hAnsi="Arial"/>
          <w:sz w:val="18"/>
          <w:szCs w:val="18"/>
          <w:color w:val="auto"/>
        </w:rPr>
      </w:pPr>
    </w:p>
    <w:p>
      <w:pPr>
        <w:ind w:left="-8" w:right="20" w:firstLine="656"/>
        <w:spacing w:after="0" w:line="250" w:lineRule="auto"/>
        <w:tabs>
          <w:tab w:leader="none" w:pos="104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Equity Plan amendment to the extent necessary and desirable to comply with Applicable Laws.</w:t>
      </w:r>
    </w:p>
    <w:p>
      <w:pPr>
        <w:jc w:val="both"/>
        <w:ind w:left="-8" w:firstLine="656"/>
        <w:spacing w:after="0" w:line="254" w:lineRule="auto"/>
        <w:tabs>
          <w:tab w:leader="none" w:pos="107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Equity Plan will impair the rights of any Participant, unless mutually agreed otherwise between the Participant and the Administrator, which agreement must be in writing and signed by the Participant and the Company. Termination of the Equity Plan will not affect the Administrator’s ability to exercise the powers granted to it hereunder with respect to Awards granted under the Equity Plan prior to the date of such termination.</w:t>
      </w:r>
    </w:p>
    <w:p>
      <w:pPr>
        <w:spacing w:after="0" w:line="189" w:lineRule="exact"/>
        <w:rPr>
          <w:rFonts w:ascii="Arial" w:cs="Arial" w:eastAsia="Arial" w:hAnsi="Arial"/>
          <w:sz w:val="18"/>
          <w:szCs w:val="18"/>
          <w:color w:val="auto"/>
        </w:rPr>
      </w:pPr>
    </w:p>
    <w:p>
      <w:pPr>
        <w:ind w:left="412" w:hanging="412"/>
        <w:spacing w:after="0"/>
        <w:tabs>
          <w:tab w:leader="none" w:pos="412"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left="-8" w:firstLine="656"/>
        <w:spacing w:after="0" w:line="250" w:lineRule="auto"/>
        <w:tabs>
          <w:tab w:leader="none" w:pos="108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 w:lineRule="exact"/>
        <w:rPr>
          <w:rFonts w:ascii="Arial" w:cs="Arial" w:eastAsia="Arial" w:hAnsi="Arial"/>
          <w:sz w:val="18"/>
          <w:szCs w:val="18"/>
          <w:color w:val="auto"/>
        </w:rPr>
      </w:pPr>
    </w:p>
    <w:p>
      <w:pPr>
        <w:jc w:val="both"/>
        <w:ind w:left="-8" w:firstLine="656"/>
        <w:spacing w:after="0" w:line="255" w:lineRule="auto"/>
        <w:tabs>
          <w:tab w:leader="none" w:pos="112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0" w:lineRule="exact"/>
        <w:rPr>
          <w:rFonts w:ascii="Arial" w:cs="Arial" w:eastAsia="Arial" w:hAnsi="Arial"/>
          <w:sz w:val="18"/>
          <w:szCs w:val="18"/>
          <w:color w:val="auto"/>
        </w:rPr>
      </w:pPr>
    </w:p>
    <w:p>
      <w:pPr>
        <w:jc w:val="both"/>
        <w:ind w:left="-8" w:firstLine="8"/>
        <w:spacing w:after="0" w:line="264" w:lineRule="auto"/>
        <w:tabs>
          <w:tab w:leader="none" w:pos="397"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81" w:lineRule="exact"/>
        <w:rPr>
          <w:rFonts w:ascii="Arial" w:cs="Arial" w:eastAsia="Arial" w:hAnsi="Arial"/>
          <w:sz w:val="18"/>
          <w:szCs w:val="18"/>
          <w:b w:val="1"/>
          <w:bCs w:val="1"/>
          <w:color w:val="auto"/>
        </w:rPr>
      </w:pPr>
    </w:p>
    <w:p>
      <w:pPr>
        <w:jc w:val="both"/>
        <w:ind w:left="-8" w:firstLine="8"/>
        <w:spacing w:after="0" w:line="273" w:lineRule="auto"/>
        <w:tabs>
          <w:tab w:leader="none" w:pos="397" w:val="left"/>
        </w:tabs>
        <w:numPr>
          <w:ilvl w:val="0"/>
          <w:numId w:val="50"/>
        </w:numPr>
        <w:rPr>
          <w:rFonts w:ascii="Arial" w:cs="Arial" w:eastAsia="Arial" w:hAnsi="Arial"/>
          <w:sz w:val="17"/>
          <w:szCs w:val="17"/>
          <w:b w:val="1"/>
          <w:bCs w:val="1"/>
          <w:color w:val="auto"/>
        </w:rPr>
      </w:pPr>
      <w:r>
        <w:rPr>
          <w:rFonts w:ascii="Arial" w:cs="Arial" w:eastAsia="Arial" w:hAnsi="Arial"/>
          <w:sz w:val="17"/>
          <w:szCs w:val="17"/>
          <w:u w:val="single" w:color="auto"/>
          <w:color w:val="auto"/>
        </w:rPr>
        <w:t>Repricing, Exchange and Buyout of Awards</w:t>
      </w:r>
      <w:r>
        <w:rPr>
          <w:rFonts w:ascii="Arial" w:cs="Arial" w:eastAsia="Arial" w:hAnsi="Arial"/>
          <w:sz w:val="17"/>
          <w:szCs w:val="17"/>
          <w:color w:val="auto"/>
        </w:rPr>
        <w:t>. The repricing of Options or SARs is not permitted without prior stockholder approval. Repricing is defined as the terms of outstanding awards may not be amended to reduce the exercise price of outstanding Options or SARs or cancel, substitute, buyout or exchange outstanding Options or SARs in exchange for cash, other Awards or Options or SARs with an exercise price that is less than the exercise price of the original Options or SARs. The Committee may, at any time or from time to time authorize the Company, in the case of an Option or SAR exchange with stockholder approval, and with the consent of the respective Participants (unless such consent is not required), to pay cash or issue new Awards in exchange for the surrender and cancellation of any, or all, outstanding Awards.</w:t>
      </w:r>
    </w:p>
    <w:p>
      <w:pPr>
        <w:spacing w:after="0" w:line="178" w:lineRule="exact"/>
        <w:rPr>
          <w:rFonts w:ascii="Arial" w:cs="Arial" w:eastAsia="Arial" w:hAnsi="Arial"/>
          <w:sz w:val="17"/>
          <w:szCs w:val="17"/>
          <w:b w:val="1"/>
          <w:bCs w:val="1"/>
          <w:color w:val="auto"/>
        </w:rPr>
      </w:pPr>
    </w:p>
    <w:p>
      <w:pPr>
        <w:ind w:left="-8" w:right="20" w:firstLine="8"/>
        <w:spacing w:after="0" w:line="308" w:lineRule="auto"/>
        <w:tabs>
          <w:tab w:leader="none" w:pos="438" w:val="left"/>
        </w:tabs>
        <w:numPr>
          <w:ilvl w:val="0"/>
          <w:numId w:val="50"/>
        </w:numPr>
        <w:rPr>
          <w:rFonts w:ascii="Arial" w:cs="Arial" w:eastAsia="Arial" w:hAnsi="Arial"/>
          <w:sz w:val="17"/>
          <w:szCs w:val="17"/>
          <w:b w:val="1"/>
          <w:bCs w:val="1"/>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Equity Plan will be subject to approval by the stockholders of the Company within twelve (12) months after the date the Equity Plan is adopted by the Board. Such stockholder approval will be obtained in the manner and to the degree required under Applicable Laws.</w:t>
      </w:r>
    </w:p>
    <w:p>
      <w:pPr>
        <w:sectPr>
          <w:pgSz w:w="11900" w:h="16838" w:orient="portrait"/>
          <w:cols w:equalWidth="0" w:num="1">
            <w:col w:w="11412"/>
          </w:cols>
          <w:pgMar w:left="248" w:top="80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55"/>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Ahmed Rubaie, certify that:</w:t>
      </w:r>
    </w:p>
    <w:p>
      <w:pPr>
        <w:spacing w:after="0" w:line="77" w:lineRule="exact"/>
        <w:rPr>
          <w:sz w:val="20"/>
          <w:szCs w:val="20"/>
          <w:color w:val="auto"/>
        </w:rPr>
      </w:pPr>
    </w:p>
    <w:p>
      <w:pPr>
        <w:ind w:left="880" w:hanging="46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80" w:hanging="448"/>
        <w:spacing w:after="0" w:line="264" w:lineRule="auto"/>
        <w:tabs>
          <w:tab w:leader="none" w:pos="13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00" w:hanging="448"/>
        <w:spacing w:after="0" w:line="277" w:lineRule="auto"/>
        <w:tabs>
          <w:tab w:leader="none" w:pos="13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Ahmed Rubaie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Ahmed Rubaie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420" w:firstLine="495"/>
        <w:spacing w:after="0" w:line="279" w:lineRule="auto"/>
        <w:rPr>
          <w:sz w:val="20"/>
          <w:szCs w:val="20"/>
          <w:color w:val="auto"/>
        </w:rPr>
      </w:pPr>
      <w:r>
        <w:rPr>
          <w:rFonts w:ascii="Arial" w:cs="Arial" w:eastAsia="Arial" w:hAnsi="Arial"/>
          <w:sz w:val="17"/>
          <w:szCs w:val="17"/>
          <w:color w:val="auto"/>
        </w:rPr>
        <w:t>I, Ken Xie, certify, pursuant to 18 U.S.C. Section 1350, as adopted pursuant to Section 906 of the Sarbanes-Oxley Act of 2002, that the Quarterly Report on Form 10-Q of Fortinet, Inc. for the quarterly period ended September 30, 2013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5, 2013</w:t>
            </w:r>
          </w:p>
        </w:tc>
        <w:tc>
          <w:tcPr>
            <w:tcW w:w="2280" w:type="dxa"/>
            <w:vAlign w:val="bottom"/>
          </w:tcPr>
          <w:p>
            <w:pPr>
              <w:ind w:left="154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280" w:type="dxa"/>
            <w:vAlign w:val="bottom"/>
          </w:tcPr>
          <w:p>
            <w:pPr>
              <w:ind w:left="154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35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 Board of</w:t>
            </w:r>
          </w:p>
        </w:tc>
      </w:tr>
      <w:tr>
        <w:trPr>
          <w:trHeight w:val="216"/>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Directors</w:t>
            </w:r>
          </w:p>
        </w:tc>
      </w:tr>
      <w:tr>
        <w:trPr>
          <w:trHeight w:val="230"/>
        </w:trPr>
        <w:tc>
          <w:tcPr>
            <w:tcW w:w="3540" w:type="dxa"/>
            <w:vAlign w:val="bottom"/>
          </w:tcPr>
          <w:p>
            <w:pPr>
              <w:spacing w:after="0"/>
              <w:rPr>
                <w:sz w:val="20"/>
                <w:szCs w:val="20"/>
                <w:color w:val="auto"/>
              </w:rPr>
            </w:pPr>
          </w:p>
        </w:tc>
        <w:tc>
          <w:tcPr>
            <w:tcW w:w="2280" w:type="dxa"/>
            <w:vAlign w:val="bottom"/>
          </w:tcPr>
          <w:p>
            <w:pPr>
              <w:ind w:left="154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jc w:val="both"/>
        <w:ind w:left="40" w:right="420" w:firstLine="531"/>
        <w:spacing w:after="0" w:line="259" w:lineRule="auto"/>
        <w:rPr>
          <w:sz w:val="20"/>
          <w:szCs w:val="20"/>
          <w:color w:val="auto"/>
        </w:rPr>
      </w:pPr>
      <w:r>
        <w:rPr>
          <w:rFonts w:ascii="Arial" w:cs="Arial" w:eastAsia="Arial" w:hAnsi="Arial"/>
          <w:sz w:val="18"/>
          <w:szCs w:val="18"/>
          <w:color w:val="auto"/>
        </w:rPr>
        <w:t>I, Ahmed Rubaie, certify, pursuant to 18 U.S.C. Section 1350, as adopted pursuant to Section 906 of the Sarbanes-Oxley Act of 2002, that the Quarterly Report on Form 10-Q of Fortinet, Inc. for the quarterly period ended September 30, 2013 fully complies with the requirements of Section 13(a) or 15(d) of the Exchange Act and the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5, 2013</w:t>
            </w:r>
          </w:p>
        </w:tc>
        <w:tc>
          <w:tcPr>
            <w:tcW w:w="2280" w:type="dxa"/>
            <w:vAlign w:val="bottom"/>
          </w:tcPr>
          <w:p>
            <w:pPr>
              <w:ind w:left="154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Ahmed Rubaie</w:t>
            </w:r>
          </w:p>
        </w:tc>
      </w:tr>
      <w:tr>
        <w:trPr>
          <w:trHeight w:val="27"/>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280" w:type="dxa"/>
            <w:vAlign w:val="bottom"/>
          </w:tcPr>
          <w:p>
            <w:pPr>
              <w:ind w:left="154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Ahmed Rubaie</w:t>
            </w:r>
          </w:p>
        </w:tc>
      </w:tr>
      <w:tr>
        <w:trPr>
          <w:trHeight w:val="256"/>
        </w:trPr>
        <w:tc>
          <w:tcPr>
            <w:tcW w:w="35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540" w:type="dxa"/>
            <w:vAlign w:val="bottom"/>
          </w:tcPr>
          <w:p>
            <w:pPr>
              <w:spacing w:after="0"/>
              <w:rPr>
                <w:sz w:val="20"/>
                <w:szCs w:val="20"/>
                <w:color w:val="auto"/>
              </w:rPr>
            </w:pPr>
          </w:p>
        </w:tc>
        <w:tc>
          <w:tcPr>
            <w:tcW w:w="2280" w:type="dxa"/>
            <w:vAlign w:val="bottom"/>
          </w:tcPr>
          <w:p>
            <w:pPr>
              <w:ind w:left="154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T"/>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lvl w:ilvl="1">
      <w:lvlJc w:val="left"/>
      <w:lvlText w:val="(%2)"/>
      <w:numFmt w:val="lowerLetter"/>
      <w:start w:val="1"/>
    </w:lvl>
  </w:abstractNum>
  <w:abstractNum w:abstractNumId="27">
    <w:nsid w:val="153EA438"/>
    <w:multiLevelType w:val="hybridMultilevel"/>
    <w:lvl w:ilvl="0">
      <w:lvlJc w:val="left"/>
      <w:lvlText w:val="%1."/>
      <w:numFmt w:val="decimal"/>
      <w:start w:val="2"/>
    </w:lvl>
    <w:lvl w:ilvl="1">
      <w:lvlJc w:val="left"/>
      <w:lvlText w:val="%2"/>
      <w:numFmt w:val="lowerLetter"/>
      <w:start w:val="1"/>
    </w:lvl>
  </w:abstractNum>
  <w:abstractNum w:abstractNumId="28">
    <w:nsid w:val="3855585C"/>
    <w:multiLevelType w:val="hybridMultilevel"/>
    <w:lvl w:ilvl="0">
      <w:lvlJc w:val="left"/>
      <w:lvlText w:val="%1."/>
      <w:numFmt w:val="decimal"/>
      <w:start w:val="3"/>
    </w:lvl>
    <w:lvl w:ilvl="1">
      <w:lvlJc w:val="left"/>
      <w:lvlText w:val="(%2)"/>
      <w:numFmt w:val="lowerLetter"/>
      <w:start w:val="1"/>
    </w:lvl>
  </w:abstractNum>
  <w:abstractNum w:abstractNumId="29">
    <w:nsid w:val="70A64E2A"/>
    <w:multiLevelType w:val="hybridMultilevel"/>
    <w:lvl w:ilvl="0">
      <w:lvlJc w:val="left"/>
      <w:lvlText w:val="%1"/>
      <w:numFmt w:val="decimal"/>
      <w:start w:val="1"/>
    </w:lvl>
    <w:lvl w:ilvl="1">
      <w:lvlJc w:val="left"/>
      <w:lvlText w:val="(%2)"/>
      <w:numFmt w:val="lowerLetter"/>
      <w:start w:val="7"/>
    </w:lvl>
  </w:abstractNum>
  <w:abstractNum w:abstractNumId="30">
    <w:nsid w:val="6A2342EC"/>
    <w:multiLevelType w:val="hybridMultilevel"/>
    <w:lvl w:ilvl="0">
      <w:lvlJc w:val="left"/>
      <w:lvlText w:val="%1."/>
      <w:numFmt w:val="decimal"/>
      <w:start w:val="8"/>
    </w:lvl>
    <w:lvl w:ilvl="1">
      <w:lvlJc w:val="left"/>
      <w:lvlText w:val="%2"/>
      <w:numFmt w:val="lowerLetter"/>
      <w:start w:val="1"/>
    </w:lvl>
  </w:abstractNum>
  <w:abstractNum w:abstractNumId="3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1D4ED43B"/>
    <w:multiLevelType w:val="hybridMultilevel"/>
    <w:lvl w:ilvl="0">
      <w:lvlJc w:val="left"/>
      <w:lvlText w:val="%1"/>
      <w:numFmt w:val="lowerLetter"/>
      <w:start w:val="1"/>
    </w:lvl>
    <w:lvl w:ilvl="1">
      <w:lvlJc w:val="left"/>
      <w:lvlText w:val="(%2)"/>
      <w:numFmt w:val="lowerLetter"/>
      <w:start w:val="61"/>
    </w:lvl>
  </w:abstractNum>
  <w:abstractNum w:abstractNumId="33">
    <w:nsid w:val="725A06FB"/>
    <w:multiLevelType w:val="hybridMultilevel"/>
    <w:lvl w:ilvl="0">
      <w:lvlJc w:val="left"/>
      <w:lvlText w:val="(%1)"/>
      <w:numFmt w:val="lowerLetter"/>
      <w:start w:val="7"/>
    </w:lvl>
    <w:lvl w:ilvl="1">
      <w:lvlJc w:val="left"/>
      <w:lvlText w:val="(%2)"/>
      <w:numFmt w:val="lowerLetter"/>
      <w:start w:val="9"/>
    </w:lvl>
  </w:abstractNum>
  <w:abstractNum w:abstractNumId="34">
    <w:nsid w:val="2CD89A32"/>
    <w:multiLevelType w:val="hybridMultilevel"/>
    <w:lvl w:ilvl="0">
      <w:lvlJc w:val="left"/>
      <w:lvlText w:val="%1"/>
      <w:numFmt w:val="lowerLetter"/>
      <w:start w:val="1"/>
    </w:lvl>
    <w:lvl w:ilvl="1">
      <w:lvlJc w:val="left"/>
      <w:lvlText w:val="(%2)"/>
      <w:numFmt w:val="lowerRoman"/>
      <w:start w:val="2"/>
    </w:lvl>
  </w:abstractNum>
  <w:abstractNum w:abstractNumId="35">
    <w:nsid w:val="57E4CCAF"/>
    <w:multiLevelType w:val="hybridMultilevel"/>
    <w:lvl w:ilvl="0">
      <w:lvlJc w:val="left"/>
      <w:lvlText w:val="(%1)"/>
      <w:numFmt w:val="lowerLetter"/>
      <w:start w:val="15"/>
    </w:lvl>
    <w:lvl w:ilvl="1">
      <w:lvlJc w:val="left"/>
      <w:lvlText w:val="%2"/>
      <w:numFmt w:val="lowerRoman"/>
      <w:start w:val="1"/>
    </w:lvl>
  </w:abstractNum>
  <w:abstractNum w:abstractNumId="36">
    <w:nsid w:val="7A6D8D3C"/>
    <w:multiLevelType w:val="hybridMultilevel"/>
    <w:lvl w:ilvl="0">
      <w:lvlJc w:val="left"/>
      <w:lvlText w:val="(%1)"/>
      <w:numFmt w:val="lowerLetter"/>
      <w:start w:val="16"/>
    </w:lvl>
  </w:abstractNum>
  <w:abstractNum w:abstractNumId="37">
    <w:nsid w:val="4B588F54"/>
    <w:multiLevelType w:val="hybridMultilevel"/>
    <w:lvl w:ilvl="0">
      <w:lvlJc w:val="left"/>
      <w:lvlText w:val="(%1)"/>
      <w:numFmt w:val="lowerLetter"/>
      <w:start w:val="27"/>
    </w:lvl>
  </w:abstractNum>
  <w:abstractNum w:abstractNumId="38">
    <w:nsid w:val="542289EC"/>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39">
    <w:nsid w:val="6DE91B1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decimal"/>
      <w:start w:val="1"/>
    </w:lvl>
    <w:lvl w:ilvl="4">
      <w:lvlJc w:val="left"/>
      <w:lvlText w:val="%5"/>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42">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43">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4">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
    <w:nsid w:val="749ABB4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3DC240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1BA026FA"/>
    <w:multiLevelType w:val="hybridMultilevel"/>
    <w:lvl w:ilvl="0">
      <w:lvlJc w:val="left"/>
      <w:lvlText w:val="%1."/>
      <w:numFmt w:val="decimal"/>
      <w:start w:val="9"/>
    </w:lvl>
    <w:lvl w:ilvl="1">
      <w:lvlJc w:val="left"/>
      <w:lvlText w:val="(%2)"/>
      <w:numFmt w:val="lowerLetter"/>
      <w:start w:val="1"/>
    </w:lvl>
  </w:abstractNum>
  <w:abstractNum w:abstractNumId="48">
    <w:nsid w:val="79A1DEAA"/>
    <w:multiLevelType w:val="hybridMultilevel"/>
    <w:lvl w:ilvl="0">
      <w:lvlJc w:val="left"/>
      <w:lvlText w:val="%1."/>
      <w:numFmt w:val="decimal"/>
      <w:start w:val="13"/>
    </w:lvl>
    <w:lvl w:ilvl="1">
      <w:lvlJc w:val="left"/>
      <w:lvlText w:val="(%2)"/>
      <w:numFmt w:val="lowerLetter"/>
      <w:start w:val="1"/>
    </w:lvl>
  </w:abstractNum>
  <w:abstractNum w:abstractNumId="49">
    <w:nsid w:val="75C6C33A"/>
    <w:multiLevelType w:val="hybridMultilevel"/>
    <w:lvl w:ilvl="0">
      <w:lvlJc w:val="left"/>
      <w:lvlText w:val="%1."/>
      <w:numFmt w:val="decimal"/>
      <w:start w:val="16"/>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3">
    <w:nsid w:val="374A3FE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2019-12-07T05:42:14Z</dcterms:created>
  <dcterms:modified xsi:type="dcterms:W3CDTF">2019-12-07T05:42:14Z</dcterms:modified>
</cp:coreProperties>
</file>