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4998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998085"/>
                    </a:xfrm>
                    <a:prstGeom prst="rect">
                      <a:avLst/>
                    </a:prstGeom>
                    <a:noFill/>
                  </pic:spPr>
                </pic:pic>
              </a:graphicData>
            </a:graphic>
          </wp:anchor>
        </w:drawing>
      </w:r>
    </w:p>
    <w:p>
      <w:pPr>
        <w:spacing w:after="0" w:line="1198"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20" w:type="dxa"/>
            <w:vAlign w:val="bottom"/>
            <w:gridSpan w:val="2"/>
            <w:vMerge w:val="restart"/>
          </w:tcPr>
          <w:p>
            <w:pPr>
              <w:spacing w:after="0"/>
              <w:rPr>
                <w:rFonts w:ascii="Times New Roman" w:cs="Times New Roman" w:eastAsia="Times New Roman" w:hAnsi="Times New Roman"/>
                <w:sz w:val="21"/>
                <w:szCs w:val="21"/>
                <w:color w:val="0000EE"/>
                <w:w w:val="96"/>
              </w:rPr>
            </w:pPr>
            <w:hyperlink r:id="rId13">
              <w:r>
                <w:rPr>
                  <w:rFonts w:ascii="Times New Roman" w:cs="Times New Roman" w:eastAsia="Times New Roman" w:hAnsi="Times New Roman"/>
                  <w:sz w:val="21"/>
                  <w:szCs w:val="21"/>
                  <w:color w:val="0000EE"/>
                  <w:w w:val="96"/>
                </w:rPr>
                <w:t>STAVRIDIS JAMES G.</w:t>
              </w:r>
            </w:hyperlink>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Fortinet,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FTNT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20" w:type="dxa"/>
            <w:vAlign w:val="bottom"/>
            <w:tcBorders>
              <w:bottom w:val="single" w:sz="8" w:color="0000EE"/>
            </w:tcBorders>
            <w:gridSpan w:val="2"/>
            <w:vMerge w:val="continue"/>
          </w:tcPr>
          <w:p>
            <w:pPr>
              <w:spacing w:after="0"/>
              <w:rPr>
                <w:sz w:val="5"/>
                <w:szCs w:val="5"/>
                <w:color w:val="auto"/>
              </w:rPr>
            </w:pPr>
          </w:p>
        </w:tc>
        <w:tc>
          <w:tcPr>
            <w:tcW w:w="16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Borders>
              <w:top w:val="single" w:sz="8" w:color="0000EE"/>
            </w:tcBorders>
          </w:tcPr>
          <w:p>
            <w:pPr>
              <w:spacing w:after="0"/>
              <w:rPr>
                <w:sz w:val="5"/>
                <w:szCs w:val="5"/>
                <w:color w:val="auto"/>
              </w:rPr>
            </w:pPr>
          </w:p>
        </w:tc>
        <w:tc>
          <w:tcPr>
            <w:tcW w:w="268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6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6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16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4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62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12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06/11/2026</w:t>
            </w:r>
          </w:p>
        </w:tc>
        <w:tc>
          <w:tcPr>
            <w:tcW w:w="26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FORTINET, INC.</w:t>
            </w:r>
          </w:p>
        </w:tc>
        <w:tc>
          <w:tcPr>
            <w:tcW w:w="162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26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20" w:type="dxa"/>
            <w:vAlign w:val="bottom"/>
            <w:gridSpan w:val="2"/>
            <w:vMerge w:val="continue"/>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20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909 KIFER ROAD</w:t>
            </w: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268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020" w:type="dxa"/>
            <w:vAlign w:val="bottom"/>
            <w:gridSpan w:val="2"/>
            <w:vMerge w:val="continue"/>
          </w:tcPr>
          <w:p>
            <w:pPr>
              <w:spacing w:after="0"/>
              <w:rPr>
                <w:sz w:val="8"/>
                <w:szCs w:val="8"/>
                <w:color w:val="auto"/>
              </w:rPr>
            </w:pPr>
          </w:p>
        </w:tc>
        <w:tc>
          <w:tcPr>
            <w:tcW w:w="1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SUNNYVALE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94086</w:t>
            </w:r>
          </w:p>
        </w:tc>
      </w:tr>
      <w:tr>
        <w:trPr>
          <w:trHeight w:val="152"/>
        </w:trPr>
        <w:tc>
          <w:tcPr>
            <w:tcW w:w="2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90"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680"/>
              <w:spacing w:after="0" w:line="130"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17"/>
                <w:szCs w:val="17"/>
                <w:color w:val="0000FF"/>
              </w:rPr>
              <w:t>06/11/2026</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M</w:t>
            </w:r>
            <w:r>
              <w:rPr>
                <w:rFonts w:ascii="Times New Roman" w:cs="Times New Roman" w:eastAsia="Times New Roman" w:hAnsi="Times New Roman"/>
                <w:sz w:val="11"/>
                <w:szCs w:val="11"/>
                <w:color w:val="008000"/>
              </w:rPr>
              <w:t>(1)</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650</w:t>
            </w:r>
          </w:p>
        </w:tc>
        <w:tc>
          <w:tcPr>
            <w:tcW w:w="66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17,189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80" w:type="dxa"/>
            <w:vAlign w:val="bottom"/>
            <w:gridSpan w:val="11"/>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Times New Roman" w:cs="Times New Roman" w:eastAsia="Times New Roman" w:hAnsi="Times New Roman"/>
                <w:sz w:val="26"/>
                <w:szCs w:val="26"/>
                <w:color w:val="0000FF"/>
                <w:vertAlign w:val="subscript"/>
              </w:rPr>
              <w:t>0</w:t>
            </w:r>
            <w:r>
              <w:rPr>
                <w:rFonts w:ascii="Times New Roman" w:cs="Times New Roman" w:eastAsia="Times New Roman" w:hAnsi="Times New Roman"/>
                <w:sz w:val="11"/>
                <w:szCs w:val="11"/>
                <w:color w:val="008000"/>
              </w:rPr>
              <w:t>(2)</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M</w:t>
            </w:r>
            <w:r>
              <w:rPr>
                <w:rFonts w:ascii="Times New Roman" w:cs="Times New Roman" w:eastAsia="Times New Roman" w:hAnsi="Times New Roman"/>
                <w:sz w:val="11"/>
                <w:szCs w:val="11"/>
                <w:color w:val="008000"/>
              </w:rPr>
              <w:t>(1)</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200" w:type="dxa"/>
            <w:vAlign w:val="bottom"/>
          </w:tcPr>
          <w:p>
            <w:pPr>
              <w:spacing w:after="0"/>
              <w:rPr>
                <w:sz w:val="15"/>
                <w:szCs w:val="15"/>
                <w:color w:val="auto"/>
              </w:rPr>
            </w:pP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650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ind w:left="260"/>
              <w:spacing w:after="0" w:line="144" w:lineRule="exact"/>
              <w:rPr>
                <w:sz w:val="20"/>
                <w:szCs w:val="20"/>
                <w:color w:val="auto"/>
              </w:rPr>
            </w:pPr>
            <w:r>
              <w:rPr>
                <w:rFonts w:ascii="Times New Roman" w:cs="Times New Roman" w:eastAsia="Times New Roman" w:hAnsi="Times New Roman"/>
                <w:sz w:val="13"/>
                <w:szCs w:val="13"/>
                <w:color w:val="0000FF"/>
              </w:rPr>
              <w:t>06/11/2026</w:t>
            </w:r>
          </w:p>
        </w:tc>
        <w:tc>
          <w:tcPr>
            <w:tcW w:w="1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vMerge w:val="restart"/>
          </w:tcPr>
          <w:p>
            <w:pPr>
              <w:ind w:left="440"/>
              <w:spacing w:after="0" w:line="144" w:lineRule="exact"/>
              <w:rPr>
                <w:sz w:val="20"/>
                <w:szCs w:val="20"/>
                <w:color w:val="auto"/>
              </w:rPr>
            </w:pPr>
            <w:r>
              <w:rPr>
                <w:rFonts w:ascii="Times New Roman" w:cs="Times New Roman" w:eastAsia="Times New Roman" w:hAnsi="Times New Roman"/>
                <w:sz w:val="13"/>
                <w:szCs w:val="13"/>
                <w:color w:val="0000FF"/>
              </w:rPr>
              <w:t>650</w:t>
            </w:r>
          </w:p>
        </w:tc>
        <w:tc>
          <w:tcPr>
            <w:tcW w:w="7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ind w:left="24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380"/>
              <w:spacing w:after="0" w:line="144"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-2113915</wp:posOffset>
            </wp:positionV>
            <wp:extent cx="29210" cy="21189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899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Vesting of restricted stock units ("RSUs") granted to the Reporting Person on August 20, 2025.</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share of the Issuer's common stock upon settlement.</w:t>
      </w:r>
    </w:p>
    <w:p>
      <w:pPr>
        <w:spacing w:after="0" w:line="45" w:lineRule="exact"/>
        <w:rPr>
          <w:rFonts w:ascii="Times New Roman" w:cs="Times New Roman" w:eastAsia="Times New Roman" w:hAnsi="Times New Roman"/>
          <w:sz w:val="13"/>
          <w:szCs w:val="13"/>
          <w:color w:val="008000"/>
        </w:rPr>
      </w:pPr>
    </w:p>
    <w:p>
      <w:pPr>
        <w:ind w:left="40" w:right="240" w:firstLine="3"/>
        <w:spacing w:after="0" w:line="245"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will vest in substantially equal increments on each of September 30, 2025, December 31, 2025, March 31, 2026, and the earlier of (i) June 30, 2026 and (ii) the date immediately preceding the Issuer's 2026 annual meeting of stockholders, subject to the Reporting Person's provision of services to the Issuer on each vesting date. Shares of the Issuer's Common Stock will be delivered to the Reporting Person following vesting.</w:t>
      </w:r>
    </w:p>
    <w:p>
      <w:pPr>
        <w:spacing w:after="0" w:line="2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do not expire; they either vest or are canceled prior to vest date</w:t>
      </w:r>
    </w:p>
    <w:p>
      <w:pPr>
        <w:spacing w:after="0" w:line="39"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Robert Turner, by power of</w:t>
            </w:r>
          </w:p>
        </w:tc>
        <w:tc>
          <w:tcPr>
            <w:tcW w:w="60" w:type="dxa"/>
            <w:vAlign w:val="bottom"/>
          </w:tcPr>
          <w:p>
            <w:pPr>
              <w:spacing w:after="0"/>
              <w:rPr>
                <w:sz w:val="18"/>
                <w:szCs w:val="18"/>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8"/>
              </w:rPr>
              <w:t>06/12/2026</w:t>
            </w:r>
          </w:p>
        </w:tc>
        <w:tc>
          <w:tcPr>
            <w:tcW w:w="0" w:type="dxa"/>
            <w:vAlign w:val="bottom"/>
          </w:tcPr>
          <w:p>
            <w:pPr>
              <w:spacing w:after="0"/>
              <w:rPr>
                <w:sz w:val="1"/>
                <w:szCs w:val="1"/>
                <w:color w:val="auto"/>
              </w:rPr>
            </w:pPr>
          </w:p>
        </w:tc>
      </w:tr>
      <w:tr>
        <w:trPr>
          <w:trHeight w:val="84"/>
        </w:trPr>
        <w:tc>
          <w:tcPr>
            <w:tcW w:w="560" w:type="dxa"/>
            <w:vAlign w:val="bottom"/>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6"/>
              </w:rPr>
              <w:t>attorney</w:t>
            </w:r>
          </w:p>
        </w:tc>
        <w:tc>
          <w:tcPr>
            <w:tcW w:w="156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560" w:type="dxa"/>
            <w:vAlign w:val="bottom"/>
            <w:tcBorders>
              <w:bottom w:val="single" w:sz="8" w:color="auto"/>
            </w:tcBorders>
            <w:vMerge w:val="continue"/>
          </w:tcPr>
          <w:p>
            <w:pPr>
              <w:spacing w:after="0"/>
              <w:rPr>
                <w:sz w:val="7"/>
                <w:szCs w:val="7"/>
                <w:color w:val="auto"/>
              </w:rPr>
            </w:pPr>
          </w:p>
        </w:tc>
        <w:tc>
          <w:tcPr>
            <w:tcW w:w="15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61859" TargetMode="External"/><Relationship Id="rId14" Type="http://schemas.openxmlformats.org/officeDocument/2006/relationships/hyperlink" Target="http://www.sec.gov/cgi-bin/browse-edgar?action=getcompany&amp;CIK=00012620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2026-06-12T16:46:05Z</dcterms:created>
  <dcterms:modified xsi:type="dcterms:W3CDTF">2026-06-12T16:46:05Z</dcterms:modified>
</cp:coreProperties>
</file>