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75" w:lineRule="exact"/>
        <w:rPr>
          <w:sz w:val="24"/>
          <w:szCs w:val="24"/>
          <w:color w:val="auto"/>
        </w:rPr>
      </w:pPr>
    </w:p>
    <w:p>
      <w:pPr>
        <w:ind w:left="3820" w:right="1660" w:hanging="3794"/>
        <w:spacing w:after="0" w:line="393" w:lineRule="auto"/>
        <w:tabs>
          <w:tab w:leader="none" w:pos="412" w:val="left"/>
        </w:tabs>
        <w:numPr>
          <w:ilvl w:val="0"/>
          <w:numId w:val="1"/>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8"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0"/>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r>
      <w:tr>
        <w:trPr>
          <w:trHeight w:val="205"/>
        </w:trPr>
        <w:tc>
          <w:tcPr>
            <w:tcW w:w="6420" w:type="dxa"/>
            <w:vAlign w:val="bottom"/>
            <w:gridSpan w:val="5"/>
          </w:tcPr>
          <w:p>
            <w:pPr>
              <w:jc w:val="center"/>
              <w:ind w:left="263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2280" w:type="dxa"/>
            <w:vAlign w:val="bottom"/>
          </w:tcPr>
          <w:p>
            <w:pPr>
              <w:spacing w:after="0"/>
              <w:rPr>
                <w:sz w:val="17"/>
                <w:szCs w:val="17"/>
                <w:color w:val="auto"/>
              </w:rPr>
            </w:pPr>
          </w:p>
        </w:tc>
      </w:tr>
      <w:tr>
        <w:trPr>
          <w:trHeight w:val="310"/>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4"/>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10"/>
        </w:trPr>
        <w:tc>
          <w:tcPr>
            <w:tcW w:w="6420" w:type="dxa"/>
            <w:vAlign w:val="bottom"/>
            <w:gridSpan w:val="5"/>
          </w:tcPr>
          <w:p>
            <w:pPr>
              <w:jc w:val="center"/>
              <w:ind w:left="261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2280" w:type="dxa"/>
            <w:vAlign w:val="bottom"/>
          </w:tcPr>
          <w:p>
            <w:pPr>
              <w:spacing w:after="0"/>
              <w:rPr>
                <w:sz w:val="18"/>
                <w:szCs w:val="18"/>
                <w:color w:val="auto"/>
              </w:rPr>
            </w:pPr>
          </w:p>
        </w:tc>
      </w:tr>
      <w:tr>
        <w:trPr>
          <w:trHeight w:val="681"/>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02"/>
        </w:trPr>
        <w:tc>
          <w:tcPr>
            <w:tcW w:w="56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616"/>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18"/>
                <w:szCs w:val="18"/>
                <w:b w:val="1"/>
                <w:bCs w:val="1"/>
                <w:color w:val="auto"/>
                <w:w w:val="99"/>
              </w:rPr>
              <w:t>909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4"/>
        </w:trPr>
        <w:tc>
          <w:tcPr>
            <w:tcW w:w="5680" w:type="dxa"/>
            <w:vAlign w:val="bottom"/>
            <w:gridSpan w:val="3"/>
          </w:tcPr>
          <w:p>
            <w:pPr>
              <w:jc w:val="center"/>
              <w:ind w:left="3371"/>
              <w:spacing w:after="0" w:line="184" w:lineRule="exact"/>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2"/>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r>
      <w:tr>
        <w:trPr>
          <w:trHeight w:val="420"/>
        </w:trPr>
        <w:tc>
          <w:tcPr>
            <w:tcW w:w="5640" w:type="dxa"/>
            <w:vAlign w:val="bottom"/>
            <w:gridSpan w:val="2"/>
          </w:tcPr>
          <w:p>
            <w:pPr>
              <w:jc w:val="center"/>
              <w:ind w:left="33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bl>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200"/>
          </w:cols>
          <w:pgMar w:left="320" w:top="225" w:right="37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00"/>
          </w:cols>
          <w:pgMar w:left="320" w:top="225" w:right="379" w:bottom="1440" w:gutter="0" w:footer="0" w:header="0"/>
          <w:type w:val="continuous"/>
        </w:sectPr>
      </w:pPr>
    </w:p>
    <w:p>
      <w:pPr>
        <w:spacing w:after="0" w:line="128" w:lineRule="exact"/>
        <w:rPr>
          <w:sz w:val="24"/>
          <w:szCs w:val="24"/>
          <w:color w:val="auto"/>
        </w:rPr>
      </w:pPr>
    </w:p>
    <w:p>
      <w:pPr>
        <w:ind w:right="220"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40"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6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firstLine="283"/>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6" w:lineRule="exact"/>
        <w:rPr>
          <w:sz w:val="20"/>
          <w:szCs w:val="20"/>
          <w:color w:val="auto"/>
        </w:rPr>
      </w:pPr>
    </w:p>
    <w:p>
      <w:pPr>
        <w:ind w:left="300" w:right="1860"/>
        <w:spacing w:after="0" w:line="3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As of May 3, 2024, there were 763,938,008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March 31, 2024 and 2023</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2024 and 2023</w:t>
            </w:r>
          </w:p>
        </w:tc>
        <w:tc>
          <w:tcPr>
            <w:tcW w:w="1080" w:type="dxa"/>
            <w:vAlign w:val="bottom"/>
            <w:gridSpan w:val="2"/>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 for the Three Months Ended March 31, 2024 and 2023</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62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60" w:type="dxa"/>
            <w:vAlign w:val="bottom"/>
            <w:gridSpan w:val="3"/>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2"/>
          </w:tcPr>
          <w:p>
            <w:pPr>
              <w:spacing w:after="0"/>
              <w:rPr>
                <w:sz w:val="18"/>
                <w:szCs w:val="18"/>
                <w:color w:val="auto"/>
              </w:rPr>
            </w:pPr>
          </w:p>
        </w:tc>
        <w:tc>
          <w:tcPr>
            <w:tcW w:w="320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54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4"/>
          </w:tcPr>
          <w:p>
            <w:pPr>
              <w:spacing w:after="0"/>
              <w:rPr>
                <w:sz w:val="18"/>
                <w:szCs w:val="18"/>
                <w:color w:val="auto"/>
              </w:rPr>
            </w:pPr>
          </w:p>
        </w:tc>
        <w:tc>
          <w:tcPr>
            <w:tcW w:w="834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866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8"/>
                <w:szCs w:val="18"/>
                <w:color w:val="auto"/>
              </w:rPr>
            </w:pPr>
          </w:p>
        </w:tc>
      </w:tr>
      <w:tr>
        <w:trPr>
          <w:trHeight w:val="1729"/>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w:t>
      </w:r>
    </w:p>
    <w:p>
      <w:pPr>
        <w:spacing w:after="0" w:line="22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38"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such as a possible economic downturn or recession, and possible impacts of inflation or stagflation, increasing or decreasing interest rates, changes in government spending or reduced information technology spending, including firewall spending, may adversely impact our business.</w:t>
      </w:r>
    </w:p>
    <w:p>
      <w:pPr>
        <w:spacing w:after="0" w:line="203"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19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supply chain disruptions in previous periods, we increased our purchase order commitments in previous periods and, as a result, may be required to accept or pay for components and finished goods regardless of our level of sales in a particular period, which may negatively impact our operating results and financial condition.</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may slow further or may not continue, and our operating margins may decline.</w:t>
      </w:r>
    </w:p>
    <w:p>
      <w:pPr>
        <w:spacing w:after="0" w:line="252"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including construction, acquisitions, sales or strategy changes, and ongoing maintenance and management of office buildings, warehouses, data centers and points of presence, as well as data center expansions or enhancements, could involve significant risks to our business.</w:t>
      </w:r>
    </w:p>
    <w:p>
      <w:pPr>
        <w:spacing w:after="0" w:line="217"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and any decrease in growth or negative growth of in-quarter billings and revenue may not be reflected by our aggregate billings and revenue if we experience supply chain shortages, including component and other shortages. When we fulfill, ship and bill during a quarter to satisfy backlog, this increases our aggregate billings and revenue during any particular quarter.</w:t>
      </w:r>
    </w:p>
    <w:p>
      <w:pPr>
        <w:spacing w:after="0" w:line="203" w:lineRule="exact"/>
        <w:rPr>
          <w:rFonts w:ascii="Times New Roman" w:cs="Times New Roman" w:eastAsia="Times New Roman" w:hAnsi="Times New Roman"/>
          <w:sz w:val="18"/>
          <w:szCs w:val="18"/>
          <w:color w:val="auto"/>
        </w:rPr>
      </w:pPr>
    </w:p>
    <w:p>
      <w:pPr>
        <w:jc w:val="both"/>
        <w:ind w:left="660" w:right="40" w:hanging="328"/>
        <w:spacing w:after="0" w:line="23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supply chain challenges normalize, the growth comparisons versus prior quarters where backlog contributed more to billings become more challenging. This reduced quarterly billings based on reduced backlog contribution to billings has resulted, and will result, in decreased year-over-year quarterly growth.</w:t>
      </w:r>
    </w:p>
    <w:p>
      <w:pPr>
        <w:spacing w:after="0" w:line="2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sales strategy, productivity, personnel and execution could negatively impact our results of operations.</w:t>
      </w:r>
    </w:p>
    <w:p>
      <w:pPr>
        <w:spacing w:after="0" w:line="238" w:lineRule="exact"/>
        <w:rPr>
          <w:rFonts w:ascii="Times New Roman" w:cs="Times New Roman" w:eastAsia="Times New Roman" w:hAnsi="Times New Roman"/>
          <w:sz w:val="18"/>
          <w:szCs w:val="18"/>
          <w:color w:val="auto"/>
        </w:rPr>
      </w:pPr>
    </w:p>
    <w:p>
      <w:pPr>
        <w:ind w:left="660" w:right="6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w:t>
      </w:r>
    </w:p>
    <w:p>
      <w:pPr>
        <w:spacing w:after="0" w:line="202"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billings, revenue, and a small number of distributors represents a large percentage of our revenue and accounts receivable.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could cause our billings and revenue to fall below expected levels.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security subscription and FortiCare technical support services, and revenue from these services may decline or fluctuate.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billings, revenue and cash flow from sales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38"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by sales to government organizations and other customers, which are subject to a number of regulatory requirements, challenges and risks.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 w:name="page5"/>
    <w:bookmarkEnd w:id="4"/>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pacing w:after="0" w:line="238" w:lineRule="exact"/>
        <w:rPr>
          <w:rFonts w:ascii="Times New Roman" w:cs="Times New Roman" w:eastAsia="Times New Roman" w:hAnsi="Times New Roman"/>
          <w:sz w:val="18"/>
          <w:szCs w:val="18"/>
          <w:color w:val="auto"/>
        </w:rPr>
      </w:pPr>
    </w:p>
    <w:p>
      <w:pPr>
        <w:ind w:left="328" w:right="140" w:hanging="328"/>
        <w:spacing w:after="0" w:line="258"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components from third-party manufacturers based on our forecasts of future demand and targeted inventory levels, which exposes us to the risk of both product shortages, may result in lost sales and higher expenses, including excess inventory charges and costs related to future purchase commitments, and may require us to sell our products at discounts or offer various other incentives.</w:t>
      </w:r>
    </w:p>
    <w:p>
      <w:pPr>
        <w:spacing w:after="0" w:line="182" w:lineRule="exact"/>
        <w:rPr>
          <w:rFonts w:ascii="Times New Roman" w:cs="Times New Roman" w:eastAsia="Times New Roman" w:hAnsi="Times New Roman"/>
          <w:sz w:val="18"/>
          <w:szCs w:val="18"/>
          <w:color w:val="auto"/>
        </w:rPr>
      </w:pPr>
    </w:p>
    <w:p>
      <w:pPr>
        <w:ind w:left="328" w:right="26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various components for our products and build our products and are susceptible to manufacturing delays, capacity constraints and cost increases.</w:t>
      </w:r>
    </w:p>
    <w:p>
      <w:pPr>
        <w:spacing w:after="0" w:line="189" w:lineRule="exact"/>
        <w:rPr>
          <w:rFonts w:ascii="Times New Roman" w:cs="Times New Roman" w:eastAsia="Times New Roman" w:hAnsi="Times New Roman"/>
          <w:sz w:val="18"/>
          <w:szCs w:val="18"/>
          <w:color w:val="auto"/>
        </w:rPr>
      </w:pPr>
    </w:p>
    <w:p>
      <w:pPr>
        <w:ind w:left="328" w:hanging="328"/>
        <w:spacing w:after="0" w:line="24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failure of our products or services to detect or prevent a security incident,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certain other companies given we are a security company.</w:t>
      </w:r>
    </w:p>
    <w:p>
      <w:pPr>
        <w:spacing w:after="0" w:line="211" w:lineRule="exact"/>
        <w:rPr>
          <w:rFonts w:ascii="Times New Roman" w:cs="Times New Roman" w:eastAsia="Times New Roman" w:hAnsi="Times New Roman"/>
          <w:sz w:val="18"/>
          <w:szCs w:val="18"/>
          <w:color w:val="auto"/>
        </w:rPr>
      </w:pPr>
    </w:p>
    <w:p>
      <w:pPr>
        <w:ind w:left="328" w:right="320" w:hanging="328"/>
        <w:spacing w:after="0" w:line="245"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In addition, any additional future impairment of the value of our investment in Linksys Holdings, Inc. (“Linksys”) could negatively affect our financial condition and results of operations.</w:t>
      </w:r>
    </w:p>
    <w:p>
      <w:pPr>
        <w:spacing w:after="0" w:line="207" w:lineRule="exact"/>
        <w:rPr>
          <w:rFonts w:ascii="Times New Roman" w:cs="Times New Roman" w:eastAsia="Times New Roman" w:hAnsi="Times New Roman"/>
          <w:sz w:val="18"/>
          <w:szCs w:val="18"/>
          <w:color w:val="auto"/>
        </w:rPr>
      </w:pPr>
    </w:p>
    <w:p>
      <w:pPr>
        <w:ind w:left="328" w:right="18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and regulators’ expectations of our performance relating to environmental, social and governance factors may impose additional costs and expose us to new risks.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38" w:lineRule="exact"/>
        <w:rPr>
          <w:rFonts w:ascii="Times New Roman" w:cs="Times New Roman" w:eastAsia="Times New Roman" w:hAnsi="Times New Roman"/>
          <w:sz w:val="18"/>
          <w:szCs w:val="18"/>
          <w:color w:val="auto"/>
        </w:rPr>
      </w:pPr>
    </w:p>
    <w:p>
      <w:pPr>
        <w:ind w:left="328" w:right="30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75" w:lineRule="exact"/>
        <w:rPr>
          <w:rFonts w:ascii="Times New Roman" w:cs="Times New Roman" w:eastAsia="Times New Roman" w:hAnsi="Times New Roman"/>
          <w:sz w:val="18"/>
          <w:szCs w:val="18"/>
          <w:color w:val="auto"/>
        </w:rPr>
      </w:pPr>
    </w:p>
    <w:p>
      <w:pPr>
        <w:ind w:left="328" w:right="14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202" w:lineRule="exact"/>
        <w:rPr>
          <w:rFonts w:ascii="Times New Roman" w:cs="Times New Roman" w:eastAsia="Times New Roman" w:hAnsi="Times New Roman"/>
          <w:sz w:val="18"/>
          <w:szCs w:val="18"/>
          <w:color w:val="auto"/>
        </w:rPr>
      </w:pPr>
    </w:p>
    <w:p>
      <w:pPr>
        <w:ind w:left="328" w:right="3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weakening product demand caused by political instability, changes in trade agreements, wars and foreign conflicts, such as the war in Ukraine and the Israel-Hamas war or tensions between China and Taiwan, could adversely affect our business and financial performance.</w:t>
      </w:r>
    </w:p>
    <w:p>
      <w:pPr>
        <w:spacing w:after="0" w:line="200" w:lineRule="exact"/>
        <w:rPr>
          <w:sz w:val="20"/>
          <w:szCs w:val="20"/>
          <w:color w:val="auto"/>
        </w:rPr>
      </w:pPr>
    </w:p>
    <w:p>
      <w:pPr>
        <w:spacing w:after="0" w:line="3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3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9"/>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2,848.7</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3,719.0</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7,722.3</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5"/>
        </w:trPr>
        <w:tc>
          <w:tcPr>
            <w:tcW w:w="80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763.2 and 761.0 shares issued and</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outstanding on March 31, 2024 and December 31, 2023, respectively</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r>
      <w:tr>
        <w:trPr>
          <w:trHeight w:val="223"/>
        </w:trPr>
        <w:tc>
          <w:tcPr>
            <w:tcW w:w="8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6"/>
                <w:szCs w:val="16"/>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LOSS FROM EQUITY METHOD INVESTMENTS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(Note 8):</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770.5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3"/>
                <w:szCs w:val="13"/>
                <w:color w:val="auto"/>
              </w:rPr>
            </w:pPr>
          </w:p>
        </w:tc>
        <w:tc>
          <w:tcPr>
            <w:tcW w:w="1240" w:type="dxa"/>
            <w:vAlign w:val="bottom"/>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22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tax provision (benefit) related to items of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8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2024</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8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700" w:type="dxa"/>
            <w:vAlign w:val="bottom"/>
            <w:vMerge w:val="restart"/>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2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184"/>
        </w:trPr>
        <w:tc>
          <w:tcPr>
            <w:tcW w:w="50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(1,562.4)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2023</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8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700" w:type="dxa"/>
            <w:vAlign w:val="bottom"/>
            <w:vMerge w:val="restart"/>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2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184"/>
        </w:trPr>
        <w:tc>
          <w:tcPr>
            <w:tcW w:w="50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8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18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investment discounts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Accounts receivable—net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Inventory</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Deferred contract costs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 made in connection with a business combination, net of cash acquired</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0" w:type="dxa"/>
            <w:vAlign w:val="bottom"/>
          </w:tcPr>
          <w:p>
            <w:pPr>
              <w:spacing w:after="0"/>
              <w:rPr>
                <w:sz w:val="1"/>
                <w:szCs w:val="1"/>
                <w:color w:val="auto"/>
              </w:rPr>
            </w:pPr>
          </w:p>
        </w:tc>
      </w:tr>
      <w:tr>
        <w:trPr>
          <w:trHeight w:val="20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2,304.2</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Transfers of evaluation units from inventory to property and equipment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2023, contained in our Annual Report on Form 10-K filed with the SEC on February 26, 2024. In the opinion of management, all adjustments, which include normal recurring adjustments, considered necessary for a fair presentation, have been included. The results of operations for the three months ended March 31, 2024 are not necessarily indicative of the results to be expected for the full year or for any future periods. The condensed consolidated balance sheet as of December 31, 2023 is derived from the audited consolidated financial statements for the year ended December 31, 2023.</w:t>
      </w:r>
    </w:p>
    <w:p>
      <w:pPr>
        <w:spacing w:after="0" w:line="21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89"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of and for the three months ended March 31, 2024, as compared to the significant accounting policies described in our Annual Report on Form 10-K for the fiscal year ended December 31, 2023 filed with the SEC.</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2023-07, Segment Reporting (Topic 280): Improvements to Reportable Segment Disclosures, which is intended to improve reportable segment disclosure requirements, primarily through enhanced disclosures about significant expenses. The amendments are effective for our annual reporting for fiscal year 2024, and for our interim period reporting starting in fiscal year 2025 retrospectively, with early adoption permitted. We are currently evaluating the ASU to determine its impact on our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our annual period beginning fiscal year 2025, with early adoption permitted, and should be applied prospectively. We are currently evaluating the ASU to determine its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3"/>
                <w:szCs w:val="13"/>
                <w:color w:val="auto"/>
              </w:rPr>
            </w:pPr>
          </w:p>
        </w:tc>
        <w:tc>
          <w:tcPr>
            <w:tcW w:w="1260" w:type="dxa"/>
            <w:vAlign w:val="bottom"/>
          </w:tcPr>
          <w:p>
            <w:pPr>
              <w:jc w:val="right"/>
              <w:ind w:right="31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3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2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service revenue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1,262.3</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we recognized $851.1 million and $675.9 million in service revenue that was included in the deferred revenue balance as of December 31,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aggregate amount of the transaction price allocated to remaining performance obligations was $5.81 billion, which was substantially comprised of deferred security subscription and technical support services revenue that will be recognized in future periods. We expect to recognize approximately $2.93 billion as revenue over the next 12 months and the remainder thereafter.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net of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condensed consolidated statements of income.</w:t>
      </w:r>
    </w:p>
    <w:p>
      <w:pPr>
        <w:spacing w:after="0" w:line="195" w:lineRule="exact"/>
        <w:rPr>
          <w:sz w:val="20"/>
          <w:szCs w:val="20"/>
          <w:color w:val="auto"/>
        </w:rPr>
      </w:pPr>
    </w:p>
    <w:p>
      <w:pPr>
        <w:ind w:right="260" w:firstLine="583"/>
        <w:spacing w:after="0" w:line="250" w:lineRule="auto"/>
        <w:rPr>
          <w:sz w:val="20"/>
          <w:szCs w:val="20"/>
          <w:color w:val="auto"/>
        </w:rPr>
      </w:pPr>
      <w:r>
        <w:rPr>
          <w:rFonts w:ascii="Times New Roman" w:cs="Times New Roman" w:eastAsia="Times New Roman" w:hAnsi="Times New Roman"/>
          <w:sz w:val="18"/>
          <w:szCs w:val="18"/>
          <w:color w:val="auto"/>
        </w:rPr>
        <w:t>The allowance for credit losses was $6.9 million and $8.2 million as of March 31, 2024 and December 31, 2023, respectively. Provisions, write-offs and recoveries were not material during the three months ended March 31, 2024 and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Amortization of deferred contract costs during the three months ended March 31, 2024 and 2023 were $72.0 million and $62.5 million,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available-for-sale investments (in millions):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48"/>
        </w:trPr>
        <w:tc>
          <w:tcPr>
            <w:tcW w:w="49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09"/>
        </w:trPr>
        <w:tc>
          <w:tcPr>
            <w:tcW w:w="4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8"/>
        </w:trPr>
        <w:tc>
          <w:tcPr>
            <w:tcW w:w="4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0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investments that have been in a continuous unrealized loss position (in millions):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5"/>
        </w:trPr>
        <w:tc>
          <w:tcPr>
            <w:tcW w:w="4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1"/>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our investments were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3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Available-for-sale investments are reported at fair value, with unrealized gains and losses and the related tax impact included as a separate component of stockholders’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investments were insignificant in the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Our marketable equity securities were $21.4 million and $21.0 million as of March 31, 2024 and December 31, 2023. The changes in fair value of our marketable equity securities are recorded in other income (expense)—net on the condensed consolidated statements of income. We recognized a $0.3 million and $0.6 million gain during the three months ended March 31, 2024 and 2023,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3"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89" w:lineRule="exact"/>
        <w:rPr>
          <w:sz w:val="20"/>
          <w:szCs w:val="20"/>
          <w:color w:val="auto"/>
        </w:rPr>
      </w:pPr>
    </w:p>
    <w:p>
      <w:pPr>
        <w:ind w:left="1300" w:right="30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of our financial assets measured at fair value on a recurring basis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92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6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92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92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36"/>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60" w:type="dxa"/>
            <w:vAlign w:val="bottom"/>
          </w:tcPr>
          <w:p>
            <w:pPr>
              <w:spacing w:after="0"/>
              <w:rPr>
                <w:sz w:val="10"/>
                <w:szCs w:val="10"/>
                <w:color w:val="auto"/>
              </w:rPr>
            </w:pPr>
          </w:p>
        </w:tc>
        <w:tc>
          <w:tcPr>
            <w:tcW w:w="760" w:type="dxa"/>
            <w:vAlign w:val="bottom"/>
          </w:tcPr>
          <w:p>
            <w:pPr>
              <w:jc w:val="center"/>
              <w:ind w:right="76"/>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0"/>
                <w:szCs w:val="10"/>
                <w:color w:val="auto"/>
              </w:rPr>
            </w:pPr>
          </w:p>
        </w:tc>
        <w:tc>
          <w:tcPr>
            <w:tcW w:w="92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60" w:type="dxa"/>
            <w:vAlign w:val="bottom"/>
          </w:tcPr>
          <w:p>
            <w:pPr>
              <w:spacing w:after="0"/>
              <w:rPr>
                <w:sz w:val="15"/>
                <w:szCs w:val="15"/>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92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214"/>
        </w:trPr>
        <w:tc>
          <w:tcPr>
            <w:tcW w:w="27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7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Certificates of deposit and term</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714.9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three months ended March 31, 2024 and year ended December 31, 2023.</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consisted of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32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1"/>
        </w:trPr>
        <w:tc>
          <w:tcPr>
            <w:tcW w:w="7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The excess and obsolete inventory reserve was $101.6 million and $89.2 million as of March 31, 2024 and December 31, 2023, respectively. Inventory write-downs related to excess and obsolete inventory were $18.1 million for the three months ended March 31, 2024, and were not material for the three months ended March 31, 2023. These were recorded in cost of product revenue on the condensed consolidated statements of income.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(in millions):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r>
      <w:tr>
        <w:trPr>
          <w:trHeight w:val="21"/>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During the three months ended March 31, 2024, we purchased certain real estate properties in California for a total purchase price of</w:t>
      </w:r>
    </w:p>
    <w:p>
      <w:pPr>
        <w:spacing w:after="0" w:line="16"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$207.1 million to be used predominantly for research and development and warehousing operations. The purchases were accounted for under the asset acquisition method. The cost of the assets allocated to land, buildings and improvements, and furniture and fixtures were $101.4 million, $104.8 million, and $0.9 million, respectively, based on their relative fair values.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$25.6 million and $22.8 million during the three months ended March 31, 2024 and 2023, respectively.</w:t>
      </w:r>
    </w:p>
    <w:p>
      <w:pPr>
        <w:spacing w:after="0" w:line="24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PRIVATELY HELD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Linksys Holdings, Inc.</w:t>
      </w:r>
    </w:p>
    <w:p>
      <w:pPr>
        <w:spacing w:after="0" w:line="24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During 2021, we invested $160.0 million in cash for shares of the Series A Preferred Stock of privately held Linksys Holdings, Inc. (“Linksys”), for a 50.8% ownership interest in outstanding equity of Linksys. As of March 31, 2024 and December 31, 2023, our ownership interest remained the same. Linksys provides router connectivity solutions to the consumer and small business markets.</w:t>
      </w:r>
    </w:p>
    <w:p>
      <w:pPr>
        <w:spacing w:after="0" w:line="20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of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with the exception of material transactions or events that occur during the intervening period that materially affect the financial position or results of operations. We determined that there was a basis difference between the cost of our investment in Linksys and the amount of underlying equity in net assets of Linksys.</w:t>
      </w:r>
    </w:p>
    <w:p>
      <w:pPr>
        <w:spacing w:after="0" w:line="20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share of loss of Linksys’ financial results, as well as our share of the amortization of the basis differences, totaled $6.4 million and $22.1 million for the three months ended March 31, 2024 and 2023, respectively, and has been recorded in loss from equity method investments on the condensed consolidated statements of income. The carrying amount of our Linksys investment was $35.8 million and $42.2 million as of March 31, 2024 and December 31, 2023, respectively, and the investment was included in other assets on our condensed consolidated balance sheets.</w:t>
      </w:r>
    </w:p>
    <w:p>
      <w:pPr>
        <w:spacing w:after="0" w:line="208"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Due to the presence of impairment indicators, such as a series of operating losses, we evaluated our equity method investment for an other-than-temporary impairment (“OTTI”) during the three months ended March 31, 2024. We considered various factors in determining whether an OTTI has occurred, including the limited operating history available, our ability and intent to hold the investment until its fair value recovers, the implied revenue valuation multiples compared to guideline public</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companies, Linksys’ ability to achieve milestones and any notable operational and strategic changes. After the evaluation, we determined that an additional OTTI has not occurred as of March 31, 2024. However, we may be required to recognize an impairment loss in future reporting periods if and when our evaluation of the aforementioned factors indicates that the investment in Linksys is determined to be other than temporarily impaired. Such determination will be based on the prevailing facts and circumstances at that time, including the results and disclosures of Linksys.</w:t>
      </w:r>
    </w:p>
    <w:p>
      <w:pPr>
        <w:spacing w:after="0" w:line="2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GOODWILL AND OTHER INTANGIBLE ASSETS—Net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due to business combination</w:t>
            </w: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1"/>
        </w:trPr>
        <w:tc>
          <w:tcPr>
            <w:tcW w:w="9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impairments to goodwill during the three months ended March 31, 2024 or during prior periods.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$3.0 million and $4.7 million during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(the remainder of 2024)</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spacing w:after="0" w:line="225"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(in millions, except per share amounts):</w:t>
      </w:r>
    </w:p>
    <w:p>
      <w:pPr>
        <w:spacing w:after="0" w:line="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8100" w:type="dxa"/>
        <w:tblCellMar>
          <w:top w:w="0" w:type="dxa"/>
          <w:left w:w="0" w:type="dxa"/>
          <w:bottom w:w="0" w:type="dxa"/>
          <w:right w:w="0" w:type="dxa"/>
        </w:tblCellMar>
      </w:tblPr>
      <w:tr>
        <w:trPr>
          <w:trHeight w:val="161"/>
        </w:trPr>
        <w:tc>
          <w:tcPr>
            <w:tcW w:w="15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5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15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-128270</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Basic shares: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710628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Diluted shares:</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710628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Effect of potentially dilutive securities: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tabs>
          <w:tab w:leader="none" w:pos="1000" w:val="left"/>
          <w:tab w:leader="none" w:pos="1600" w:val="left"/>
          <w:tab w:leader="none" w:pos="2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299.3</w:t>
        <w:tab/>
        <w:t>$</w:t>
      </w:r>
      <w:r>
        <w:rPr>
          <w:sz w:val="20"/>
          <w:szCs w:val="20"/>
          <w:color w:val="auto"/>
        </w:rPr>
        <w:tab/>
      </w:r>
      <w:r>
        <w:rPr>
          <w:rFonts w:ascii="Times New Roman" w:cs="Times New Roman" w:eastAsia="Times New Roman" w:hAnsi="Times New Roman"/>
          <w:sz w:val="17"/>
          <w:szCs w:val="17"/>
          <w:color w:val="auto"/>
        </w:rPr>
        <w:t>247.7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9888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80"/>
        <w:spacing w:after="0"/>
        <w:tabs>
          <w:tab w:leader="none" w:pos="380" w:val="left"/>
        </w:tabs>
        <w:rPr>
          <w:sz w:val="20"/>
          <w:szCs w:val="20"/>
          <w:color w:val="auto"/>
        </w:rPr>
      </w:pPr>
      <w:r>
        <w:rPr>
          <w:rFonts w:ascii="Times New Roman" w:cs="Times New Roman" w:eastAsia="Times New Roman" w:hAnsi="Times New Roman"/>
          <w:sz w:val="18"/>
          <w:szCs w:val="18"/>
          <w:color w:val="auto"/>
        </w:rPr>
        <w:t>762.4</w:t>
      </w:r>
      <w:r>
        <w:rPr>
          <w:sz w:val="20"/>
          <w:szCs w:val="20"/>
          <w:color w:val="auto"/>
        </w:rPr>
        <w:tab/>
      </w:r>
      <w:r>
        <w:rPr>
          <w:rFonts w:ascii="Times New Roman" w:cs="Times New Roman" w:eastAsia="Times New Roman" w:hAnsi="Times New Roman"/>
          <w:sz w:val="17"/>
          <w:szCs w:val="17"/>
          <w:color w:val="auto"/>
        </w:rPr>
        <w:t>783.2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9888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59" w:lineRule="exact"/>
        <w:rPr>
          <w:sz w:val="20"/>
          <w:szCs w:val="20"/>
          <w:color w:val="auto"/>
        </w:rPr>
      </w:pPr>
    </w:p>
    <w:p>
      <w:pPr>
        <w:jc w:val="right"/>
        <w:ind w:right="80"/>
        <w:spacing w:after="0"/>
        <w:tabs>
          <w:tab w:leader="none" w:pos="380" w:val="left"/>
        </w:tabs>
        <w:rPr>
          <w:sz w:val="20"/>
          <w:szCs w:val="20"/>
          <w:color w:val="auto"/>
        </w:rPr>
      </w:pPr>
      <w:r>
        <w:rPr>
          <w:rFonts w:ascii="Times New Roman" w:cs="Times New Roman" w:eastAsia="Times New Roman" w:hAnsi="Times New Roman"/>
          <w:sz w:val="18"/>
          <w:szCs w:val="18"/>
          <w:color w:val="auto"/>
        </w:rPr>
        <w:t>762.4</w:t>
      </w:r>
      <w:r>
        <w:rPr>
          <w:sz w:val="20"/>
          <w:szCs w:val="20"/>
          <w:color w:val="auto"/>
        </w:rPr>
        <w:tab/>
      </w:r>
      <w:r>
        <w:rPr>
          <w:rFonts w:ascii="Times New Roman" w:cs="Times New Roman" w:eastAsia="Times New Roman" w:hAnsi="Times New Roman"/>
          <w:sz w:val="17"/>
          <w:szCs w:val="17"/>
          <w:color w:val="auto"/>
        </w:rPr>
        <w:t>783.2</w:t>
      </w:r>
    </w:p>
    <w:p>
      <w:pPr>
        <w:spacing w:after="0" w:line="257" w:lineRule="exact"/>
        <w:rPr>
          <w:sz w:val="20"/>
          <w:szCs w:val="20"/>
          <w:color w:val="auto"/>
        </w:rPr>
      </w:pPr>
    </w:p>
    <w:p>
      <w:pPr>
        <w:sectPr>
          <w:pgSz w:w="11900" w:h="16838" w:orient="portrait"/>
          <w:cols w:equalWidth="0" w:num="2">
            <w:col w:w="7380" w:space="720"/>
            <w:col w:w="312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8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RSUs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PSUs</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per share</w:t>
            </w:r>
          </w:p>
        </w:tc>
        <w:tc>
          <w:tcPr>
            <w:tcW w:w="5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160" w:type="dxa"/>
            <w:vAlign w:val="bottom"/>
            <w:tcBorders>
              <w:top w:val="single" w:sz="8" w:color="auto"/>
            </w:tcBorders>
          </w:tcPr>
          <w:p>
            <w:pPr>
              <w:jc w:val="center"/>
              <w:ind w:left="239"/>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314"/>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92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1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March 31, 2024 and December 31, 2023, the Senior Notes were recorded as long-term debt, net of discount and issuance costs, which are amortized to interest expense over the respective contractual terms of these notes using the effective interest method.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2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20" w:type="dxa"/>
            <w:vAlign w:val="bottom"/>
          </w:tcPr>
          <w:p>
            <w:pPr>
              <w:spacing w:after="0"/>
              <w:rPr>
                <w:sz w:val="18"/>
                <w:szCs w:val="18"/>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2031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40" w:firstLine="648"/>
        <w:spacing w:after="0" w:line="245" w:lineRule="auto"/>
        <w:rPr>
          <w:sz w:val="20"/>
          <w:szCs w:val="20"/>
          <w:color w:val="auto"/>
        </w:rPr>
      </w:pPr>
      <w:r>
        <w:rPr>
          <w:rFonts w:ascii="Times New Roman" w:cs="Times New Roman" w:eastAsia="Times New Roman" w:hAnsi="Times New Roman"/>
          <w:sz w:val="18"/>
          <w:szCs w:val="18"/>
          <w:color w:val="auto"/>
        </w:rPr>
        <w:t>As of March 31, 2024 and December 31, 2023, we accrued interest payable of $0.7 million and $4.7 million, respectively, and there are no financial covenants with which we must comply. During the three months ended March 31, 2024 and 2023, we recorded $4.5 million of total interest expense in relation to these Senior Notes in each period. No interest costs were capitalized for the three months ended March 31, 2024 and 2023, as the costs that qualified for capitalization were not material.</w:t>
      </w:r>
    </w:p>
    <w:p>
      <w:pPr>
        <w:spacing w:after="0" w:line="2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Senior Notes was approximately $878.9 million, including accrued and unpaid interest, as of March 31, 2024. The fair value was determined based on observable market prices of identical instruments in less active markets. The estimated fair values are based on Level 2 inputs.</w:t>
      </w:r>
    </w:p>
    <w:p>
      <w:pPr>
        <w:spacing w:after="0" w:line="199"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March 31, 2024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150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—We purchase components of our inventory from certain suppliers and use several independent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02" w:lineRule="exact"/>
        <w:rPr>
          <w:sz w:val="20"/>
          <w:szCs w:val="20"/>
          <w:color w:val="auto"/>
        </w:rPr>
      </w:pPr>
    </w:p>
    <w:p>
      <w:pPr>
        <w:jc w:val="both"/>
        <w:ind w:right="180" w:firstLine="648"/>
        <w:spacing w:after="0" w:line="242" w:lineRule="auto"/>
        <w:rPr>
          <w:sz w:val="20"/>
          <w:szCs w:val="20"/>
          <w:color w:val="auto"/>
        </w:rPr>
      </w:pPr>
      <w:r>
        <w:rPr>
          <w:rFonts w:ascii="Times New Roman" w:cs="Times New Roman" w:eastAsia="Times New Roman" w:hAnsi="Times New Roman"/>
          <w:sz w:val="18"/>
          <w:szCs w:val="18"/>
          <w:color w:val="auto"/>
        </w:rPr>
        <w:t>As of March 31, 2024, we had $629.7 million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March 31, 2024 and December 31, 2023, the liability for these inventory purchase commitments was</w:t>
      </w:r>
    </w:p>
    <w:p>
      <w:pPr>
        <w:spacing w:after="0" w:line="1"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8"/>
          <w:szCs w:val="18"/>
          <w:color w:val="auto"/>
        </w:rPr>
        <w:t>$115.0 million and $84.7 million, respectively, and was recorded in accrued liabilities on our condensed consolidated balance sheets. The expense related to such accrued liability for inventory purchase commitments was $31.6 million and $10.4 million during the three months ended March 31, 2024 and 2023, respectively, and was recorded in cost of product revenue on the condensed consolidated statements of income.</w:t>
      </w:r>
    </w:p>
    <w:p>
      <w:pPr>
        <w:spacing w:after="0" w:line="22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March 31, 2024, we had $40.4 million in other contractual commitments having a remaining term in excess of one year that are non-cancelable.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we had $89.8 million in contractual commitments related to payments for operating leases.</w:t>
      </w:r>
    </w:p>
    <w:p>
      <w:pPr>
        <w:spacing w:after="0" w:line="235"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 Litigation loss contingency accruals associated with outstanding cases were not material as of March 31, 2024, and December 31, 2023.</w:t>
      </w:r>
    </w:p>
    <w:p>
      <w:pPr>
        <w:spacing w:after="0" w:line="20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On March 21, 2019, we were sued by Alorica Inc. (“Alorica”) in Santa Clara County Superior Court in California. Alorica has alleged breach of warranty and misrepresentation claims, which we deny. Fact discovery closed during the quarter ended June 30, 2023 and trial is currently set for September 2024. Although we believe that the ultimate outcome of this matter will not materially impact our financial position, results of operations or cash flows, legal proceedings are subject to inherent uncertainties, and an unfavorable ruling could occur, which may result in a material adverse impact on our business, financial position, results of operations and cash flows. No loss accrual had been recorded as of March 31, 2024 or December 31, 2023 related to this litigation.</w:t>
      </w:r>
    </w:p>
    <w:p>
      <w:pPr>
        <w:spacing w:after="0" w:line="22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—Under the indemnification provisions of our standard sales contracts, we agree to defend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asserted against us and currently there are pending indemnification claims, to date there have been no material awards under such indemnification provisions.</w:t>
      </w:r>
    </w:p>
    <w:p>
      <w:pPr>
        <w:spacing w:after="0" w:line="1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00"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PLANS AND SHARE REPURCHASE PROGRAM</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maintain the Amended and Restated Fortinet, Inc. 2009 Equity Incentive Plan (the “Amended Plan”) pursuant to which we have granted RSUs, stock options and PSUs. As of March 31, 2024, there were a total of 50.8 million shares of common stock available for grant under the Amended Plan.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0" w:type="dxa"/>
            <w:vAlign w:val="bottom"/>
          </w:tcPr>
          <w:p>
            <w:pPr>
              <w:spacing w:after="0"/>
              <w:rPr>
                <w:sz w:val="1"/>
                <w:szCs w:val="1"/>
                <w:color w:val="auto"/>
              </w:rPr>
            </w:pPr>
          </w:p>
        </w:tc>
      </w:tr>
      <w:tr>
        <w:trPr>
          <w:trHeight w:val="214"/>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76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30"/>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March 31, 2024, total compensation expense related to unvested RSUs granted to employees and non-employees under the Amended Plan, but not yet recognized, was $529.6 million, with a weighted-average remaining vesting period of 2.9 years.</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1100" w:type="dxa"/>
            <w:vAlign w:val="bottom"/>
          </w:tcPr>
          <w:p>
            <w:pPr>
              <w:jc w:val="center"/>
              <w:ind w:left="297"/>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96"/>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r>
      <w:tr>
        <w:trPr>
          <w:trHeight w:val="214"/>
        </w:trPr>
        <w:tc>
          <w:tcPr>
            <w:tcW w:w="8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r>
      <w:tr>
        <w:trPr>
          <w:trHeight w:val="22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Amount withheld for taxes</w:t>
            </w: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42.9</w:t>
            </w:r>
          </w:p>
        </w:tc>
        <w:tc>
          <w:tcPr>
            <w:tcW w:w="120" w:type="dxa"/>
            <w:vAlign w:val="bottom"/>
          </w:tcPr>
          <w:p>
            <w:pPr>
              <w:spacing w:after="0"/>
              <w:rPr>
                <w:sz w:val="20"/>
                <w:szCs w:val="20"/>
                <w:color w:val="auto"/>
              </w:rPr>
            </w:pP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3360" w:type="dxa"/>
            <w:vAlign w:val="bottom"/>
            <w:tcBorders>
              <w:bottom w:val="single" w:sz="8" w:color="auto"/>
            </w:tcBorders>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7820" w:type="dxa"/>
            <w:vAlign w:val="bottom"/>
          </w:tcPr>
          <w:p>
            <w:pPr>
              <w:spacing w:after="0"/>
              <w:rPr>
                <w:sz w:val="13"/>
                <w:szCs w:val="13"/>
                <w:color w:val="auto"/>
              </w:rPr>
            </w:pPr>
          </w:p>
        </w:tc>
        <w:tc>
          <w:tcPr>
            <w:tcW w:w="1740" w:type="dxa"/>
            <w:vAlign w:val="bottom"/>
            <w:gridSpan w:val="2"/>
          </w:tcPr>
          <w:p>
            <w:pPr>
              <w:ind w:left="4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20" w:type="dxa"/>
            <w:vAlign w:val="bottom"/>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78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1"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vest—March 31, 2024</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exercisable—March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for all in-the-money stock options. Stock compensation expense is recognized on a straight-line basis over the vesting period of each stock option. As of March 31, 2024, total compensation expense related to unvested stock options granted to employees but not yet recognized was $63.6 million, with a weighted-average remaining vesting period of 2.7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3"/>
                <w:szCs w:val="13"/>
                <w:color w:val="auto"/>
              </w:rPr>
            </w:pPr>
          </w:p>
        </w:tc>
        <w:tc>
          <w:tcPr>
            <w:tcW w:w="1260" w:type="dxa"/>
            <w:vAlign w:val="bottom"/>
          </w:tcPr>
          <w:p>
            <w:pPr>
              <w:jc w:val="right"/>
              <w:ind w:right="314"/>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Market/Performance-Based PSUs</w:t>
      </w:r>
    </w:p>
    <w:p>
      <w:pPr>
        <w:spacing w:after="0" w:line="24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We granted market/performance-based PSUs under the Amended Plan to certain of our executives. Based on the achievement of the</w:t>
      </w:r>
    </w:p>
    <w:p>
      <w:pPr>
        <w:spacing w:after="0" w:line="16"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7"/>
          <w:szCs w:val="17"/>
          <w:color w:val="auto"/>
        </w:rPr>
        <w:t>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PSUs: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3360" w:type="dxa"/>
            <w:vAlign w:val="bottom"/>
            <w:tcBorders>
              <w:bottom w:val="single" w:sz="8" w:color="auto"/>
            </w:tcBorders>
            <w:gridSpan w:val="3"/>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9"/>
        </w:trPr>
        <w:tc>
          <w:tcPr>
            <w:tcW w:w="7880" w:type="dxa"/>
            <w:vAlign w:val="bottom"/>
          </w:tcPr>
          <w:p>
            <w:pPr>
              <w:spacing w:after="0"/>
              <w:rPr>
                <w:sz w:val="13"/>
                <w:szCs w:val="13"/>
                <w:color w:val="auto"/>
              </w:rPr>
            </w:pPr>
          </w:p>
        </w:tc>
        <w:tc>
          <w:tcPr>
            <w:tcW w:w="1740" w:type="dxa"/>
            <w:vAlign w:val="bottom"/>
            <w:gridSpan w:val="2"/>
          </w:tcPr>
          <w:p>
            <w:pPr>
              <w:ind w:left="4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20" w:type="dxa"/>
            <w:vAlign w:val="bottom"/>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78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granted approximately 0.3 million shares of PSU awards with a weighted-average grant date fair value of $98.19 and $90.96 per share to certain of our executives during the first quarter of 2024 and 2023, respectively. The grant date fair value of these awards was determined using a Monte Carlo simulation pricing model. Approximately 0.1 million shares of PSU awards vested during the three months ended March 31, 2024. No shares of PSU awards vested during the three months ended March 31, 2023. None of these PSU awards were forfeited during the three months ended March 31, 2024 and 2023.</w:t>
      </w:r>
    </w:p>
    <w:p>
      <w:pPr>
        <w:spacing w:after="0" w:line="21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total compensation expense related to unvested PSUs that were granted to certain of our executives, but not yet recognized, was $38.7 million. This expense is expected to be amortized on a graded vesting method over a weighted-average vesting period of 2.5 years.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9"/>
        </w:trPr>
        <w:tc>
          <w:tcPr>
            <w:tcW w:w="810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17.0</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26.3</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8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63.0</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57.0</w:t>
            </w:r>
          </w:p>
        </w:tc>
      </w:tr>
      <w:tr>
        <w:trPr>
          <w:trHeight w:val="20"/>
        </w:trPr>
        <w:tc>
          <w:tcPr>
            <w:tcW w:w="8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 liabilities, by award type (in millions):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r>
      <w:tr>
        <w:trPr>
          <w:trHeight w:val="214"/>
        </w:trPr>
        <w:tc>
          <w:tcPr>
            <w:tcW w:w="8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r>
      <w:tr>
        <w:trPr>
          <w:trHeight w:val="22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49.1</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63.0</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57.0</w:t>
            </w:r>
          </w:p>
        </w:tc>
      </w:tr>
      <w:tr>
        <w:trPr>
          <w:trHeight w:val="20"/>
        </w:trPr>
        <w:tc>
          <w:tcPr>
            <w:tcW w:w="8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income is (in millions):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1100" w:type="dxa"/>
            <w:vAlign w:val="bottom"/>
          </w:tcPr>
          <w:p>
            <w:pPr>
              <w:jc w:val="center"/>
              <w:ind w:left="297"/>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96"/>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r>
      <w:tr>
        <w:trPr>
          <w:trHeight w:val="214"/>
        </w:trPr>
        <w:tc>
          <w:tcPr>
            <w:tcW w:w="8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r>
      <w:tr>
        <w:trPr>
          <w:trHeight w:val="22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10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share repurchase amount under the Repurchase Program, bringing the aggregate amount authorized to be repurchased to $7.25 billion of our outstanding common stock. In February 2024, our board of directors approved an extension of the Repurchase Program to February 28, 2025.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1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There were no shares repurchased under the Repurchase Program during the three months ended March 31, 2024. As of March 31, 2024, $1.03 billion remained available for future share repurchases under the Repurchase Program.</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effective tax rate was 11% for the three months ended March 31, 2024, compared to an effective tax rate of 7% for the same period last year. The tax rates for the three months ended March 31, 2024 and 2023 were composed of U.S. federal and state taxes, withholding taxes and foreign taxes that amounted to $81.7 million and $85.8 million, respectively. The tax rate for the three months ended March 31, 2024 was impacted by a tax benefit of $24.0 million from the FDII deduction, and excess tax benefits from stock-based compensation expense of $18.2 million. The tax rate for the three months ended March 31, 2023 was impacted by a tax benefit of $38.2 million from the FDII deduction and excess tax benefits from stock-based compensation expense of $26.3 million.</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and December 31, 2023, unrecognized tax benefits were $66.0 million and $65.8 million, respectively. If recognized, $55.4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the unrecognized tax benefits as of March 31, 2024 would favorably affect our effective tax rate. It is our policy to include accrued interest and</w:t>
      </w:r>
    </w:p>
    <w:p>
      <w:pPr>
        <w:spacing w:after="0" w:line="234" w:lineRule="auto"/>
        <w:rPr>
          <w:sz w:val="20"/>
          <w:szCs w:val="20"/>
          <w:color w:val="auto"/>
        </w:rPr>
      </w:pPr>
      <w:r>
        <w:rPr>
          <w:rFonts w:ascii="Times New Roman" w:cs="Times New Roman" w:eastAsia="Times New Roman" w:hAnsi="Times New Roman"/>
          <w:sz w:val="18"/>
          <w:szCs w:val="18"/>
          <w:color w:val="auto"/>
        </w:rPr>
        <w:t>penalties related to unrecognized tax benefits in income tax expense. As of March 31, 2024 and December 31, 2023, accrued interest and penalties were</w:t>
      </w:r>
    </w:p>
    <w:p>
      <w:pPr>
        <w:spacing w:after="0" w:line="235" w:lineRule="auto"/>
        <w:rPr>
          <w:sz w:val="20"/>
          <w:szCs w:val="20"/>
          <w:color w:val="auto"/>
        </w:rPr>
      </w:pPr>
      <w:r>
        <w:rPr>
          <w:rFonts w:ascii="Times New Roman" w:cs="Times New Roman" w:eastAsia="Times New Roman" w:hAnsi="Times New Roman"/>
          <w:sz w:val="18"/>
          <w:szCs w:val="18"/>
          <w:color w:val="auto"/>
        </w:rPr>
        <w:t>$6.9 million and $6.4 million, respectively. It is reasonably possible that our gross unrecognized tax benefits will decrease by up to $4.7 million in the next</w:t>
      </w:r>
    </w:p>
    <w:p>
      <w:pPr>
        <w:spacing w:after="0" w:line="235" w:lineRule="auto"/>
        <w:rPr>
          <w:sz w:val="20"/>
          <w:szCs w:val="20"/>
          <w:color w:val="auto"/>
        </w:rPr>
      </w:pPr>
      <w:r>
        <w:rPr>
          <w:rFonts w:ascii="Times New Roman" w:cs="Times New Roman" w:eastAsia="Times New Roman" w:hAnsi="Times New Roman"/>
          <w:sz w:val="18"/>
          <w:szCs w:val="18"/>
          <w:color w:val="auto"/>
        </w:rPr>
        <w:t>12 months, due to the lapse of statutes of limitation in various jurisdictions. This decrease, if recognized, would favorably impact our effective tax rate, and</w:t>
      </w:r>
    </w:p>
    <w:p>
      <w:pPr>
        <w:spacing w:after="0"/>
        <w:rPr>
          <w:sz w:val="20"/>
          <w:szCs w:val="20"/>
          <w:color w:val="auto"/>
        </w:rPr>
      </w:pPr>
      <w:r>
        <w:rPr>
          <w:rFonts w:ascii="Times New Roman" w:cs="Times New Roman" w:eastAsia="Times New Roman" w:hAnsi="Times New Roman"/>
          <w:sz w:val="18"/>
          <w:szCs w:val="18"/>
          <w:color w:val="auto"/>
        </w:rPr>
        <w:t>would be recognized as an additional tax benefit.</w:t>
      </w:r>
    </w:p>
    <w:p>
      <w:pPr>
        <w:spacing w:after="0" w:line="23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and several other foreign jurisdictions. The focus of these audits is the inter-company profit allocation.</w:t>
      </w:r>
    </w:p>
    <w:p>
      <w:pPr>
        <w:spacing w:after="0" w:line="19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spacing w:after="0" w:line="216" w:lineRule="exact"/>
        <w:rPr>
          <w:sz w:val="20"/>
          <w:szCs w:val="20"/>
          <w:color w:val="auto"/>
        </w:rPr>
      </w:pPr>
    </w:p>
    <w:p>
      <w:pPr>
        <w:ind w:right="80" w:firstLine="648"/>
        <w:spacing w:after="0" w:line="264" w:lineRule="auto"/>
        <w:rPr>
          <w:sz w:val="20"/>
          <w:szCs w:val="20"/>
          <w:color w:val="auto"/>
        </w:rPr>
      </w:pPr>
      <w:r>
        <w:rPr>
          <w:rFonts w:ascii="Times New Roman" w:cs="Times New Roman" w:eastAsia="Times New Roman" w:hAnsi="Times New Roman"/>
          <w:sz w:val="17"/>
          <w:szCs w:val="17"/>
          <w:color w:val="auto"/>
        </w:rPr>
        <w:t>In December 2021, the Organisation for Economic Co-operation and Development (the “OECD”) enacted model rules for a new global minimum tax framework (“BEPS Pillar Two”), and various governments around the world have enacted, or are in the process of enacting, legislation on this. The OECD continues to release additional guidance on these rules. Based on the enacted laws, BEPS Pillar Two has no impact to our effective tax rate or cash flows for the three months ended March 31, 2024. We will continue to evaluate the impact of these tax law changes on future reporting periods.</w:t>
      </w:r>
    </w:p>
    <w:p>
      <w:pPr>
        <w:spacing w:after="0" w:line="20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employee contributions up to 4% of each employee’s eligible earnings. Our matching contributions to our 401(k) Plan and the RRSP for the three months ended March 31, 2024 and 2023 were $6.3 million and $4.4 million, respectively.</w:t>
      </w:r>
    </w:p>
    <w:p>
      <w:pPr>
        <w:spacing w:after="0" w:line="185"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14"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80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Total Americas</w:t>
            </w:r>
          </w:p>
        </w:tc>
        <w:tc>
          <w:tcPr>
            <w:tcW w:w="1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80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24"/>
                <w:szCs w:val="24"/>
                <w:color w:val="auto"/>
              </w:rPr>
            </w:pPr>
          </w:p>
        </w:tc>
        <w:tc>
          <w:tcPr>
            <w:tcW w:w="144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9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0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0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Americas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our revenue:</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4"/>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33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7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net accounts receivable: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20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90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2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00"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and service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from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increasing or decreasing inflation or stagflation, and changing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right="500" w:hanging="644"/>
        <w:spacing w:after="0" w:line="284" w:lineRule="auto"/>
        <w:tabs>
          <w:tab w:leader="none" w:pos="129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macroeconomic, geopolitical factors and other disruption on our manufacturing or sales, including public health issues, wars and natural disasters;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government regulation, tariffs and other policies;</w:t>
      </w:r>
    </w:p>
    <w:p>
      <w:pPr>
        <w:spacing w:after="0" w:line="252" w:lineRule="exact"/>
        <w:rPr>
          <w:rFonts w:ascii="Times New Roman" w:cs="Times New Roman" w:eastAsia="Times New Roman" w:hAnsi="Times New Roman"/>
          <w:sz w:val="18"/>
          <w:szCs w:val="18"/>
          <w:i w:val="1"/>
          <w:iCs w:val="1"/>
          <w:color w:val="auto"/>
        </w:rPr>
      </w:pPr>
    </w:p>
    <w:p>
      <w:pPr>
        <w:ind w:left="1300" w:right="560" w:hanging="644"/>
        <w:spacing w:after="0" w:line="268"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pricing of our products and services, sales productivity, pipeline and capacity, functionality, value and technology improvements in our service offerings;</w:t>
      </w:r>
    </w:p>
    <w:p>
      <w:pPr>
        <w:spacing w:after="0" w:line="199"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right="660" w:hanging="644"/>
        <w:spacing w:after="0" w:line="284" w:lineRule="auto"/>
        <w:tabs>
          <w:tab w:leader="none" w:pos="129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anticipate market changes related to cloud-based solutions and to sell, support and meet service level agreements related to cloud-based solutions;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expectations for the secure networking market;</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constraints, component availability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forecasts of future demand and targeted inventory levels, including changing market drivers and demands;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backlog from prior quarters, including its effect on growth of in-quarter billings and revenue;</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 including expectations regarding product revenue and service revenue growth;</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plans and strategy for the acceleration of our points of presence (“PoP”) deployment;</w:t>
      </w:r>
    </w:p>
    <w:p>
      <w:pPr>
        <w:sectPr>
          <w:pgSz w:w="11900" w:h="16838" w:orient="portrait"/>
          <w:cols w:equalWidth="0" w:num="1">
            <w:col w:w="11180"/>
          </w:cols>
          <w:pgMar w:left="320" w:top="279" w:right="39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our operating expenses will increase year over year in absolute dollars during the remainder of 2024;</w:t>
      </w:r>
    </w:p>
    <w:p>
      <w:pPr>
        <w:spacing w:after="0" w:line="252" w:lineRule="exact"/>
        <w:rPr>
          <w:rFonts w:ascii="Times New Roman" w:cs="Times New Roman" w:eastAsia="Times New Roman" w:hAnsi="Times New Roman"/>
          <w:sz w:val="18"/>
          <w:szCs w:val="18"/>
          <w:i w:val="1"/>
          <w:iCs w:val="1"/>
          <w:color w:val="auto"/>
        </w:rPr>
      </w:pPr>
    </w:p>
    <w:p>
      <w:pPr>
        <w:ind w:left="1300" w:right="8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85" w:lineRule="exact"/>
        <w:rPr>
          <w:rFonts w:ascii="Times New Roman" w:cs="Times New Roman" w:eastAsia="Times New Roman" w:hAnsi="Times New Roman"/>
          <w:sz w:val="18"/>
          <w:szCs w:val="18"/>
          <w:i w:val="1"/>
          <w:iCs w:val="1"/>
          <w:color w:val="auto"/>
        </w:rPr>
      </w:pPr>
    </w:p>
    <w:p>
      <w:pPr>
        <w:ind w:left="1300" w:right="40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tax benefits and our effective domestic and global tax rates, the impact of interpretations of or changes to tax law, and the timing of tax payments;</w:t>
      </w:r>
    </w:p>
    <w:p>
      <w:pPr>
        <w:spacing w:after="0" w:line="185" w:lineRule="exact"/>
        <w:rPr>
          <w:rFonts w:ascii="Times New Roman" w:cs="Times New Roman" w:eastAsia="Times New Roman" w:hAnsi="Times New Roman"/>
          <w:sz w:val="18"/>
          <w:szCs w:val="18"/>
          <w:i w:val="1"/>
          <w:iCs w:val="1"/>
          <w:color w:val="auto"/>
        </w:rPr>
      </w:pPr>
    </w:p>
    <w:p>
      <w:pPr>
        <w:ind w:left="1300" w:right="280" w:hanging="644"/>
        <w:spacing w:after="0" w:line="268"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spending related to real estate assets, acquisitions and development, including data center, office building and warehouse investments, as well as other capital expenditures and to the impact on free cash flow and expenses;</w:t>
      </w:r>
    </w:p>
    <w:p>
      <w:pPr>
        <w:spacing w:after="0" w:line="19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estimates of a range of 2024 spending on capital expenditures;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68"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Fortinet is a leader in cybersecurity and the convergence of networking and security. Our mission is to secure people, devices and data everywhere. Our integrated platform, the Fortinet Security Fabric, spans secure networking, unified SASE and AI-driven security operations to deliver cybersecurity where our customers need it. As of March 31, 2024, over a half million customers trusted our solutions, including enterprises such as in the financial services, retail, healthcare and operational technology market verticals, communication and security service providers, and government organizations. As a global company headquartered in Sunnyvale, California our research and development is centered in the United States and Canada with a global footprint of support and centers of excellence around the world. As of March 31, 2024, we held 978 U.S. patents and 1,318 global patents and we are recognized in over 100 enterprise analyst reports demonstrating both our vision and execution across security and networking products.</w:t>
      </w:r>
    </w:p>
    <w:p>
      <w:pPr>
        <w:spacing w:after="0" w:line="198" w:lineRule="exact"/>
        <w:rPr>
          <w:sz w:val="20"/>
          <w:szCs w:val="20"/>
          <w:color w:val="auto"/>
        </w:rPr>
      </w:pPr>
    </w:p>
    <w:p>
      <w:pPr>
        <w:ind w:left="660" w:hanging="328"/>
        <w:spacing w:after="0" w:line="23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FortiOS, our networking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operating system that is the foundation of our Fortinet Security Fabric platform and supports over 30 functions that can be delivered via a physical, virtual, cloud or SaaS solution. When delivered via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The Network Firewall solution consists of FortiGate data centers, hyperscale and distributed firewalls, as well as encrypted applications (SSL inspection, Virtual Private Network and IPsec connectivity). Our ability to converge networking and security also enables the ethernet to become an extension of a company’s security infrastructure through FortiSwitch and FortiLink. Our wireless LAN solution leverages secure networking to provide secure wireless access for the enterprise LAN edge. FortiExtender secures 5G/LTE and remote ethernet extenders to</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connect and secure any branch environment. The Secure Connectivity solution includes FortiSwitch Secure Ethernet Switches, FortiAP Wireless Local Area Network Access Points and FortiExtender 5G Connectivity Gateways.</w:t>
      </w:r>
    </w:p>
    <w:p>
      <w:pPr>
        <w:spacing w:after="0" w:line="185" w:lineRule="exact"/>
        <w:rPr>
          <w:sz w:val="20"/>
          <w:szCs w:val="20"/>
          <w:color w:val="auto"/>
        </w:rPr>
      </w:pPr>
    </w:p>
    <w:p>
      <w:pPr>
        <w:ind w:left="660" w:right="120" w:hanging="328"/>
        <w:spacing w:after="0" w:line="23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work from anywhere becomes established, cloud delivery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enables secure access to applications on any cloud. The Fortinet Unified SASE solution is a single-vendor SASE solution that includes Firewall, SD-WAN, Secure Web Gateway, Cloud Access Services Broker, Data Loss Prevention, Zero Trust Network Access and cloud security, including Web Application Firewalls, Virtualized Firewalls and Cloud-Native Firewalls, among other products. These functions are delivered through our FortiOS operating systems, which can deploy the full SASE stack through the cloud or on our ASIC-driven appliances. All functions can be managed through a unified management console.</w:t>
      </w:r>
    </w:p>
    <w:p>
      <w:pPr>
        <w:spacing w:after="0" w:line="207" w:lineRule="exact"/>
        <w:rPr>
          <w:rFonts w:ascii="Times New Roman" w:cs="Times New Roman" w:eastAsia="Times New Roman" w:hAnsi="Times New Roman"/>
          <w:sz w:val="18"/>
          <w:szCs w:val="18"/>
          <w:color w:val="auto"/>
        </w:rPr>
      </w:pPr>
    </w:p>
    <w:p>
      <w:pPr>
        <w:ind w:left="660" w:right="160" w:hanging="328"/>
        <w:spacing w:after="0" w:line="259"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Security Operations (SecOps)</w:t>
      </w:r>
      <w:r>
        <w:rPr>
          <w:rFonts w:ascii="Times New Roman" w:cs="Times New Roman" w:eastAsia="Times New Roman" w:hAnsi="Times New Roman"/>
          <w:sz w:val="17"/>
          <w:szCs w:val="17"/>
          <w:color w:val="auto"/>
        </w:rPr>
        <w:t>—Fortinet’s Security Operations portfolio is comprised of cybersecurity solutions that identify, protect, detect,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respond and recover, and are delivered as a platform that automates detection and response to accelerate discovery and remediation. The SecOps so</w:t>
      </w:r>
      <w:r>
        <w:rPr>
          <w:rFonts w:ascii="Times New Roman" w:cs="Times New Roman" w:eastAsia="Times New Roman" w:hAnsi="Times New Roman"/>
          <w:sz w:val="17"/>
          <w:szCs w:val="17"/>
          <w:color w:val="333333"/>
        </w:rPr>
        <w:t>lution includes FortiAI generative AI assistant,</w:t>
      </w:r>
      <w:r>
        <w:rPr>
          <w:rFonts w:ascii="Times New Roman" w:cs="Times New Roman" w:eastAsia="Times New Roman" w:hAnsi="Times New Roman"/>
          <w:sz w:val="17"/>
          <w:szCs w:val="17"/>
          <w:color w:val="auto"/>
        </w:rPr>
        <w:t xml:space="preserve"> FortiSIEM Security Information and Event Management, FortiSOAR Security Orchestration, Automation and Response, FortiEDR Endpoint Detection and Response, FortiXDR Extended Detection and Response, FortiMDR Managed Detection and Response Service, FortiNDR Network Detection and Response, FortiRecon Digital Risk Protection, FortiDeceptor Deception technology, FortiGuard SoCaaS, FortiSandbox Sandboxing Services and FortiGuard Incident Response Services, among other products.</w:t>
      </w:r>
    </w:p>
    <w:p>
      <w:pPr>
        <w:spacing w:after="0" w:line="196"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FortiGuard Labs is our cybersecurity threat intelligence and research organization comprised of experienced threat hunters, researchers, analysts, engineers and data scientists who develop and utilize machine learning and AI technologies to provide timely protection updates and actionable threat intelligence for the benefit of our customers. FortiGuard Security Services are a suite of AI-powered security capabilities that are natively integrated as part of the Fortinet 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212" w:lineRule="exact"/>
        <w:rPr>
          <w:sz w:val="20"/>
          <w:szCs w:val="20"/>
          <w:color w:val="auto"/>
        </w:rPr>
      </w:pPr>
    </w:p>
    <w:p>
      <w:pPr>
        <w:ind w:right="140" w:firstLine="648"/>
        <w:spacing w:after="0" w:line="248" w:lineRule="auto"/>
        <w:rPr>
          <w:sz w:val="20"/>
          <w:szCs w:val="20"/>
          <w:color w:val="auto"/>
        </w:rPr>
      </w:pPr>
      <w:r>
        <w:rPr>
          <w:rFonts w:ascii="Times New Roman" w:cs="Times New Roman" w:eastAsia="Times New Roman" w:hAnsi="Times New Roman"/>
          <w:sz w:val="17"/>
          <w:szCs w:val="17"/>
          <w:color w:val="auto"/>
        </w:rPr>
        <w:t>FortiCare Technical Support Service is a per-device technical support service, which provides customers access to experts to ensure efficient and effective operations and maintenance of their Fortinet capabilities. Global technical support is offered 24x7 with flexible add-ons, including enhanced SLAs and premium hardware replacement through in-country depots. Organizations have the flexibility to procure different levels of service for different devices based on their availability needs. We offer three per-device support options tailored to the needs of our enterprise customers: FortiCare Premium, FortiCare Elite and FortiCare Essential. The FortiCare Elite service aims to provide 15-minute response times for key product families.</w:t>
      </w:r>
    </w:p>
    <w:p>
      <w:pPr>
        <w:spacing w:after="0" w:line="205"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Additionally, Fortinet is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over 1.5 million certifications to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right="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$1.35 billion during the three months ended March 31, 2024, an increase of 7%, compared to $1.26 billion in the same period last year. Our revenue growth was driven by growth in service revenue. Product revenue was $408.9 million during the three months ended March 31, 2024, a decrease of 18%, compared to $500.7 million in the same period last year. Service revenue was $944.4 million during the three months ended March 31, 2024, an increase of 24%, compared to $761.6 million in the same period last year.</w:t>
      </w:r>
    </w:p>
    <w:p>
      <w:pPr>
        <w:spacing w:after="0" w:line="206"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$1.05 billion during the three months ended March 31, 2024, an increase of 10%, compared to $954.5 million in the same period last year. Total gross margin was 77.5% during the three months ended March 31, 2024, an increase of 1.9 percentage points, compared to 75.6% in the same period last year.</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$321.2 million during the three months ended March 31, 2024, an increase of 17%, compared to $273.5 million in the same period last year.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short-term and long-term investments and marketable equity securities were $3.02 billion as of March 31,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$5.79 billion, including short-term deferred revenue of $2.91 billion,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1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$830.4 million during the three months ended March 31, 2024, an increase of $152.9 million, or 23%, compared to the same period last year.</w:t>
      </w:r>
    </w:p>
    <w:p>
      <w:pPr>
        <w:spacing w:after="0" w:line="18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On a geographic basis, revenue continues to be diversified globally, which remains a key strength of our business. During the three months ended March 31, 2024, the Americas region, the Europe, Middle East and Africa (“EMEA”) region and the Asia Pacific (“APAC”) region contributed 41%, 40% and 19% of our total revenue, respectively. Americas region and EMEA region increased 6% and 13%, respectively, and APAC region decreased 1% during the three months ended March 31, 2024 compared to the same period last year.</w:t>
      </w:r>
    </w:p>
    <w:p>
      <w:pPr>
        <w:spacing w:after="0" w:line="191"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Product revenue decreased 18% during the three months ended March 31, 2024 compared to the same period last year, due to the decrease in hardware revenue, partially offset by the increase in software revenue. The decrease in hardware revenue was impacted by the backlog drawdown in the prior period, continued product digestion of previously placed orders, reduced net prices on certain products and macroeconomic conditions. When we fulfill, ship and bill during a quarter to satisfy backlog, this increases our aggregate billings and revenue during any particular quarter. As the supply chain challenges normalize, the growth comparisons versus prior quarters where backlog contributed more to billings become more challenging. For the remainder of 2024, we expect product revenue growth rates will continue to be impacted by drawdown of backlog in earlier periods and earlier pricing actions.</w:t>
      </w:r>
    </w:p>
    <w:p>
      <w:pPr>
        <w:spacing w:after="0" w:line="21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7"/>
          <w:szCs w:val="17"/>
          <w:color w:val="auto"/>
        </w:rPr>
        <w:t>Service revenue growth during the three months ended March 31, 2024 was 24%, as compared to the same period last year, was primarily driven by the strength of our security subscription revenue, which grew 27%. The increase was primarily due to the recognition of revenue from our growing deferred revenue balance related to FortiGuard and other security subscriptions delivered to on-premise and cloud-based environments and strength in unified SASE and SecOps. We expect our service revenue to continue to grow for the remainder of 2024, with growth opportunities that include unified SASE and SecOps offerings. While service revenue is expected to grow, we anticipate that the growth rates will ease for the remainder of 2024.</w:t>
      </w:r>
    </w:p>
    <w:p>
      <w:pPr>
        <w:spacing w:after="0" w:line="21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billings were diversified on a geographic basis. During the three months ended March 31, 2024, six countries represented approximately 50% of our billings and the remaining 50% in the aggregate were from over 100 countries that each individually contributed less than 3% of our billings.</w:t>
      </w:r>
    </w:p>
    <w:p>
      <w:pPr>
        <w:spacing w:after="0" w:line="17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Operating expenses as a percentage of revenue decreased 0.1 percentage points during the three months ended March 31, 2024 compared to the same period last year, mainly driven by a decrease in marketing expense. Headcount decreased to 13,522 employees and contractors as of March 31, 2024, a 0.3% decrease compared to 13,568 as of December 31,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Developments</w:t>
      </w:r>
    </w:p>
    <w:p>
      <w:pPr>
        <w:spacing w:after="0" w:line="243"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212529"/>
        </w:rPr>
        <w:t>Our overall performance depends in part on worldwide economic and geopolitical conditions, such as the war in Ukraine and the Israel-Hamas war or tensions between China and Taiwan, and their impact on customer behavior. Worsening economic conditions, including inflation, higher interest rates, slower growth, any recession, fluctuations in foreign exchange rates and other changes in economic conditions, may result in decreased sales productivity and growth and adversely affect our results of operations and financial performance. We have seen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w:t>
      </w:r>
    </w:p>
    <w:p>
      <w:pPr>
        <w:spacing w:after="0" w:line="211"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212529"/>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43"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certain large enterprise customers, large service providers and major systems integrators. In addition, we sell our software licenses and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deployment may involve as few as one or as many as thousands of secure networking, unified SASE and security operations technology products, depending on the end-customer’s size and security requirements.</w:t>
      </w:r>
    </w:p>
    <w:p>
      <w:pPr>
        <w:spacing w:after="0" w:line="189"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Our customers purchase our hardware products, software licenses and cloud-delivered solutions, as well as our FortiGuard and other security subscription and FortiCare technical support services. We generally invoice at the time of our sale for the total price of the products and services. Standard payment terms are generally no more than 60 days, though we may offer extended payment terms to certain distributors or related to certain transactions.</w:t>
      </w:r>
    </w:p>
    <w:p>
      <w:pPr>
        <w:spacing w:after="0" w:line="186"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We also offer our products hosted in our own data centers, PoPs and through co-locations and major cloud service providers, including Amazon Web Services, Microsoft Azure and Google Cloud. We have also recognized revenue from customers who deploy our products in a bring-your-own-license (“BYOL”) arrangements at cloud service providers or at private clouds. In a BYOL arrangement, a customer purchases a software license through our channel partners and deploys the software in a cloud provider’s environment, in third-party clouds or in their private cloud.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211"/>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3"/>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1,353.3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5,789.9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4,880.9</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(non-GAAP)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1,407.2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608.5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r>
    </w:tbl>
    <w:p>
      <w:pPr>
        <w:spacing w:after="0" w:line="304"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short-term and total deferred revenue growth and the mix of short-term and long-term deferred revenue because deferred revenue represents a significant portion of free cash flow and of revenue to be recognized in future periods. Deferred revenue was $5.79 billion as of March 31, 2024, an increase of $54.9 million, or 1%, from December 31, 2023. Short term deferred revenue was $2.91 billion as of March 31, 2024, an increase of $63.3 million, or 2%, from December 31, 2023.</w:t>
      </w:r>
    </w:p>
    <w:p>
      <w:pPr>
        <w:spacing w:after="0" w:line="21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 change in deferred revenue from the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several limitations related to the use of billings instead of GAAP revenue. First, billings include amounts that have not yet been recognized as revenue and are impacted by the term of FortiGuard security subscription and FortiCare and other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$1.41 billion for the three months ended March 31, 2024, a decrease of 6% compared to $1.50 billion in the same period last year.</w:t>
      </w:r>
    </w:p>
    <w:p>
      <w:pPr>
        <w:spacing w:after="0" w:line="21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Our backlog fluctuated over quarters and any decrease in growth or negative growth of in-quarter billings and revenue may not be reflected by our aggregate billings and revenue. When we have fulfilled, shipped and billed during a quarter to satisfy backlog, this increased our aggregate billings and revenue during any particular quarter, and as the supply chain challenges normalized, the growth comparisons versus prior quarters where backlog contributed more to billings became more challenging.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w:t>
            </w: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29"/>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condensed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677.5</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(30.3)</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647.2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ind w:left="880"/>
              <w:spacing w:after="0" w:line="203"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as of and for the three months ended March 31, 2024, as compared to the critical accounting policies and estimates described in our Annual Report on Form 10-K filed with the SEC on February 26, 2024 (the “Form 10-K”).</w:t>
      </w:r>
    </w:p>
    <w:p>
      <w:pPr>
        <w:spacing w:after="0" w:line="20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Total revenue increased $91.0 million, or 7%, during the three months ended March 31, 2024 compared to the same period last year. We continued to experience diversification of revenue geographically, and across customer and industry segments. Revenue from the Americas and EMEA grew, with EMEA contributing the larger portion of the increase on an absolute dollar basis and on a percentage basis.</w:t>
      </w:r>
    </w:p>
    <w:p>
      <w:pPr>
        <w:spacing w:after="0" w:line="21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Product revenue decreased $91.8 million, or 18%, during the three months ended March 31, 2024 compared to the same period last year, due to the decrease in hardware revenue, partially offset by the increase in software revenue. The decrease in hardware revenue was impacted by the backlog drawdown in the prior period, continued product digestion of previously placed orders, reduced net prices on certain products and macroeconomic conditions. When we fulfill, ship and bill during a quarter to satisfy backlog, this increases our aggregate billings and revenue during any particular quarter. As the supply chain challenges normalize, the growth comparisons versus prior quarters where backlog contributed more to billings become more challenging. For the remainder of 2024, we expect product revenue growth rates will continue to be impacted by drawdown of backlog in earlier periods and earlier pricing actions.</w:t>
      </w:r>
    </w:p>
    <w:p>
      <w:pPr>
        <w:spacing w:after="0" w:line="19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Service revenue increased $182.8 million, or 24%, during the three months ended March 31, 2024 compared to the same period last year. Security subscription revenue increased $115.2 million, or 27%, and technical support and other services revenue increased $67.6 million, or 20%, during the three months ended March 31, 2024 compared to the same period last year. The increase was primarily due to the recognition of revenue from our growing deferred revenue balance related to FortiGuard and other security subscriptions delivered to on-premise and cloud-based environments and strength in unified SASE and SecOps.</w:t>
      </w:r>
    </w:p>
    <w:p>
      <w:pPr>
        <w:spacing w:after="0" w:line="212"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Of the service revenue recognized during the three months ended March 31, 2024, 90% was included in the deferred revenue balance as of December 31, 2023. Of the service revenue recognized during the three months ended March 31, 2023, 89% was included in the deferred revenue balance as of December 31, 2022. We expect service revenue growth rates to ease throughout the remainder of 2024 due to slowing deferred revenue and product revenue growth over the past several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1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6"/>
                <w:szCs w:val="16"/>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4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Total gross margin increased 1.9 percentage points during the three months ended March 31, 2024 compared to the same period last year, primarily driven by a shift in the revenue mix and increased service gross margin, partially offset by decreased product gross margin. Revenue mix shifted by 9.5 percentage points from product revenue to service revenue, as a percentage of total revenue.</w:t>
      </w:r>
    </w:p>
    <w:p>
      <w:pPr>
        <w:spacing w:after="0" w:line="2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Product gross margin decreased 6.0 percentage points during the three months ended March 31, 2024 compared to the same period last year, primarily due to inventory related reserves expense and reduced net prices on certain products, partially offset by lower expedite fees and freight costs and a shift in revenue mix from hardware to software. During the first quarter, we lowered list prices on select products. Cost of product revenue was comprised primarily of third-party contract manufacturers’ costs, costs of materials used in production and inventory reserves.</w:t>
      </w:r>
    </w:p>
    <w:p>
      <w:pPr>
        <w:spacing w:after="0" w:line="20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Service gross margin increased 2.1 percentage points during the three months ended March 31, 2024 compared to the same period last year, primarily driven by pricing actions in earlier periods, a revenue mix shift towards higher margin security subscription services and slower labor cost growth. Cost of service revenue was comprised primarily of personnel-related costs, third-party repair and contract fulfillment, data center costs, colocation and cloud provider fees, supplies and facility-related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6"/>
                <w:szCs w:val="16"/>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77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Research and development expense increased $21.9 million, or 14%, during the three months ended March 31, 2024 compared to the same period last year, primarily due to an increase of $15.8 million in personnel-related costs as a result of increased headcount and compensation rates to support the development of new products and continued enhancements to our existing products. In addition, depreciation expenses and other occupancy-related expenses increased $3.7 million. We currently intend to continue investing in our research and development organization, and expect research and development expenses to increase in absolute dollars year over year during the remainder of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7"/>
          <w:szCs w:val="17"/>
          <w:color w:val="auto"/>
        </w:rPr>
        <w:t>Sales and marketing expense increased $22.8 million, or 5%, during the three months ended March 31, 2024 compared to the same period last year, primarily due to an increase of $21.7 million in personnel-related costs as we increased our sales capacity. The increase in headcount is expected to</w:t>
      </w:r>
    </w:p>
    <w:p>
      <w:pPr>
        <w:spacing w:after="0" w:line="233" w:lineRule="auto"/>
        <w:rPr>
          <w:sz w:val="20"/>
          <w:szCs w:val="20"/>
          <w:color w:val="auto"/>
        </w:rPr>
      </w:pPr>
      <w:r>
        <w:rPr>
          <w:rFonts w:ascii="Times New Roman" w:cs="Times New Roman" w:eastAsia="Times New Roman" w:hAnsi="Times New Roman"/>
          <w:sz w:val="18"/>
          <w:szCs w:val="18"/>
          <w:color w:val="auto"/>
        </w:rPr>
        <w:t>help drive global market revenue increases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addition, travel expense increased $2.8 million. The increases were partially offset by a decrease of</w:t>
      </w:r>
    </w:p>
    <w:p>
      <w:pPr>
        <w:ind w:right="320"/>
        <w:spacing w:after="0" w:line="243" w:lineRule="auto"/>
        <w:rPr>
          <w:sz w:val="20"/>
          <w:szCs w:val="20"/>
          <w:color w:val="auto"/>
        </w:rPr>
      </w:pPr>
      <w:r>
        <w:rPr>
          <w:rFonts w:ascii="Times New Roman" w:cs="Times New Roman" w:eastAsia="Times New Roman" w:hAnsi="Times New Roman"/>
          <w:sz w:val="18"/>
          <w:szCs w:val="18"/>
          <w:color w:val="auto"/>
        </w:rPr>
        <w:t>$5.3 million in marketing-related expenses. We currently intend to continue making investments in sales and marketing resources critical to support our future growth and expect our sales and marketing expenses to increase in absolute dollars year over year during the remainder of 2024.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General and administrative expense increased $1.6 million, or 3%, during the three months ended March 31, 2024 compared to the same period last year, primarily due to an increase of $3.7 million in professional services fees, an increase of $1.4 million in personnel-related costs and an increase of $1.2 million in depreciation expenses and other occupancy-related expenses, partially offset by a decrease of $4.3 million in provision for expected credit losses. We currently expect general and administrative expenses to increase in absolute dollars year over year during the remainder of 2024.</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7"/>
          <w:szCs w:val="17"/>
          <w:color w:val="auto"/>
        </w:rPr>
        <w:t>We generated operating income of $321.2 million during the three months ended March 31, 2024, an increase of $47.7 million, or 17%, compared to $273.5 million in the same period last year. Operating margin was 23.7% during the three months ended March 31, 2024, compared to 21.7% in the same period last year. The increase in operating margin was primarily due to 1.9 percentage points increase in gross margin, 0.9 percentage points decrease and</w:t>
      </w:r>
    </w:p>
    <w:p>
      <w:pPr>
        <w:spacing w:after="0" w:line="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0.2 percentage points decrease in sales and marketing expenses and general and administrative expenses as a percentage of revenue, respectively, partially offset by 0.8 percentage points increase in research and development expense as a percentage of revenue.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0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380" w:type="dxa"/>
            <w:vAlign w:val="bottom"/>
          </w:tcPr>
          <w:p>
            <w:pPr>
              <w:spacing w:after="0"/>
              <w:rPr>
                <w:sz w:val="16"/>
                <w:szCs w:val="16"/>
                <w:color w:val="auto"/>
              </w:rPr>
            </w:pP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60" w:type="dxa"/>
            <w:vAlign w:val="bottom"/>
          </w:tcPr>
          <w:p>
            <w:pPr>
              <w:spacing w:after="0"/>
              <w:rPr>
                <w:sz w:val="16"/>
                <w:szCs w:val="16"/>
                <w:color w:val="auto"/>
              </w:rPr>
            </w:pPr>
          </w:p>
        </w:tc>
        <w:tc>
          <w:tcPr>
            <w:tcW w:w="17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32.2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11.6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(4.9)</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Interest income increased $11.6 million during the three months ended March 31, 2024 compared to the same period last year, primarily as a result of higher interest rates and investment balances. Interest income varies depending on our average investment balances during the period, types and mix of investments, and market interest rates. Interest expense remained comparatively flat during the three months ended March 31, 2024 compared to the same period last year. The $4.9 million change in Other income (expense)—net during the three months ended March 31, 2024 compared to the same period last year, was primarily due to an increase of $4.4 million foreign currency exchange losses and a $0.3 million lower gain on marketable equity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3260" w:type="dxa"/>
            <w:vAlign w:val="bottom"/>
            <w:tcBorders>
              <w:bottom w:val="single" w:sz="8" w:color="auto"/>
            </w:tcBorders>
            <w:gridSpan w:val="3"/>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300" w:type="dxa"/>
            <w:vAlign w:val="bottom"/>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Pr>
          <w:p>
            <w:pPr>
              <w:spacing w:after="0"/>
              <w:rPr>
                <w:sz w:val="16"/>
                <w:szCs w:val="16"/>
                <w:color w:val="auto"/>
              </w:rPr>
            </w:pPr>
          </w:p>
        </w:tc>
        <w:tc>
          <w:tcPr>
            <w:tcW w:w="136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40" w:type="dxa"/>
            <w:vAlign w:val="bottom"/>
          </w:tcPr>
          <w:p>
            <w:pPr>
              <w:spacing w:after="0"/>
              <w:rPr>
                <w:sz w:val="16"/>
                <w:szCs w:val="16"/>
                <w:color w:val="auto"/>
              </w:rPr>
            </w:pPr>
          </w:p>
        </w:tc>
        <w:tc>
          <w:tcPr>
            <w:tcW w:w="13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5"/>
              </w:rPr>
              <w:t>39.5</w:t>
            </w:r>
          </w:p>
        </w:tc>
        <w:tc>
          <w:tcPr>
            <w:tcW w:w="136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21.3</w:t>
            </w:r>
          </w:p>
        </w:tc>
        <w:tc>
          <w:tcPr>
            <w:tcW w:w="134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18.2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1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11% for the three months ended March 31, 2024 compared to an effective tax rate of 7% for the same period last year. The provision for income taxes for the three months ended March 31, 2024 was primarily comprised of U.S. federal and state taxes, withholding taxes and foreign taxes totaling $81.7 million, which were favorably affected by a tax benefit of $24.0 million from the foreign-derived intangible income deduction (the “FDII deduction”) and excess tax benefits from stock-based compensation expense of $18.2 million.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provision for income taxes for the three months ended March 31, 2023 was comprised of U.S. federal and state taxes, withholding taxes, and foreign taxes totaling $85.8 million, which were favorably affected by a tax benefit of $38.2 million from the FDII deduction and excess tax benefits from stock-based compensation expense of $26.3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19685</wp:posOffset>
            </wp:positionV>
            <wp:extent cx="22885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320" w:type="dxa"/>
            <w:vAlign w:val="bottom"/>
          </w:tcPr>
          <w:p>
            <w:pPr>
              <w:spacing w:after="0"/>
              <w:rPr>
                <w:sz w:val="16"/>
                <w:szCs w:val="16"/>
                <w:color w:val="auto"/>
              </w:rPr>
            </w:pPr>
          </w:p>
        </w:tc>
        <w:tc>
          <w:tcPr>
            <w:tcW w:w="1440" w:type="dxa"/>
            <w:vAlign w:val="bottom"/>
          </w:tcPr>
          <w:p>
            <w:pPr>
              <w:jc w:val="center"/>
              <w:ind w:right="23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Loss from equity method investments decreased $15.5 million during the three months ended March 31, 2024 compared to the same period last year, primarily driven by our proportionate share of Linksys’ financial results including our share of the amortization of the basis differences improved over the same period last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97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0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9"/>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investments and marketable equity securities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30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9"/>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Liquidity and capital resources are primarily impacted by our operating activities, as well as real estate purchases and other capital expenditures, payment of taxes in connection with the net settlement of equity awards and proceeds from the issuance of common stock.</w:t>
      </w:r>
    </w:p>
    <w:p>
      <w:pPr>
        <w:spacing w:after="0" w:line="18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interest rates, economic strength, supply chain capacity and disruptions, international conflicts, including the war in Ukraine and the Israel-Hamas war, and our ability to execute. We expect proceeds from the exercise of stock options in future years to be impacted by the increased mix of restricted stock units and performance stock units versus stock options granted to our employees and to vary based on our share price.</w:t>
      </w:r>
    </w:p>
    <w:p>
      <w:pPr>
        <w:spacing w:after="0" w:line="213"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share repurchase amount under the Repurchase Program, bringing the aggregate amount authorized to be repurchased to $7.25 billion of our outstanding common stock. In February 2024, our board of directors approved an extension of the Repurchase Program to February 28, 2025. As of March 31, 2024, approximately $1.03 billion remained available for future share repurchases.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expect to continue to increase our data centers, PoPs, office and warehouse capacity to support growth and the expansion of existing services or introduction of new services. As we purchase new properties, we will work to incorporate these properties into the environmental goals we have established. We estimate capital expenditures to be between approximately $350.0 million and $400.0 million in 2024.</w:t>
      </w:r>
    </w:p>
    <w:p>
      <w:pPr>
        <w:spacing w:after="0" w:line="20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our cash provided by operating activities, together with our existing cash, cash equivalents and investments will be sufficient to meet our anticipated cash needs and do not currently intend to retire our Senior Notes early. Refer to Note 9, Debt, in Part I, Item 1 of this Quarterly Report on Form 10-Q for information on the Senior Notes. As of March 31, 2024, the long-term debt, net of unamortized discount and debt issuance costs, was $992.8 million.</w:t>
      </w:r>
    </w:p>
    <w:p>
      <w:pPr>
        <w:spacing w:after="0" w:line="194"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198"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These inventory purchase commitments as of March 31, 2024 totaled $629.7 million, a decrease of $7.6 million compared to $637.3 million as of December 31, 2023 due to fulfillment of customer demand as our supply availability improved and our continued efforts to work with contract manufacturers and suppliers to optimize our inventory and purchase commitment position. As of March 31, 2024 and December 31, 2023, the liability for these inventory purchase commitments was $115.0 million and $84.7 million, respectively, and was recorded in accrued liabilities on our condensed consolidated balance sheets.</w:t>
      </w:r>
    </w:p>
    <w:p>
      <w:pPr>
        <w:spacing w:after="0" w:line="21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increased our purchase commitments in prior years to address significant supply constraints seen industry-wide due to component shortages. Our agreements secured supply and pricing for certain product components with contract manufacturers to meet customer demand and to address extended lead times.</w:t>
      </w:r>
    </w:p>
    <w:p>
      <w:pPr>
        <w:spacing w:after="0" w:line="20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Inventory and supply chain management remain areas of focus as we balance the need to maintain supply chain flexibility to help ensure 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w:t>
      </w:r>
    </w:p>
    <w:p>
      <w:pPr>
        <w:spacing w:after="0" w:line="199" w:lineRule="exact"/>
        <w:rPr>
          <w:sz w:val="20"/>
          <w:szCs w:val="20"/>
          <w:color w:val="auto"/>
        </w:rPr>
      </w:pPr>
    </w:p>
    <w:p>
      <w:pPr>
        <w:jc w:val="both"/>
        <w:ind w:right="540" w:firstLine="648"/>
        <w:spacing w:after="0" w:line="250" w:lineRule="auto"/>
        <w:rPr>
          <w:sz w:val="20"/>
          <w:szCs w:val="20"/>
          <w:color w:val="auto"/>
        </w:rPr>
      </w:pPr>
      <w:r>
        <w:rPr>
          <w:rFonts w:ascii="Times New Roman" w:cs="Times New Roman" w:eastAsia="Times New Roman" w:hAnsi="Times New Roman"/>
          <w:sz w:val="18"/>
          <w:szCs w:val="18"/>
          <w:color w:val="auto"/>
        </w:rPr>
        <w:t>We also have open purchase orders and contractual obligations in the ordinary course of business for which we have not received goods or services. As of March 31, 2024, we had $40.4 million in other contractual commitments having a remaining term in excess of one year that are non-cancelable.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significant changes to our leases as disclosed in our Annual Report on Form 10-K for the year ended December 31, 2023.</w:t>
      </w:r>
    </w:p>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our cash, cash equivalents and short-term and long-term investments of $3.00 billion were invested primarily in deposit accounts, commercial paper, corporate debt securities, U.S. government and agency securities, certificates of deposit and term deposits and money market funds. It is our investment policy to invest excess cash in a manner that preserves capital, provides liquidity and generates return without significantly increasing risk. We do not enter into investments for trading or speculative purposes.</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$191.4 million as of March 31, 2024 and $199.9 million as of December 31, 2023.</w:t>
      </w:r>
    </w:p>
    <w:p>
      <w:pPr>
        <w:spacing w:after="0" w:line="17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interest rates; and the war in Ukraine and the Israel-Hamas war. Historically, we have required capital principally to fund our working capital needs, share repurchases, capital expenditures and acquisition activities.</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additional financing is required from outside sources, we may not be able to raise it on terms acceptable to us or at all.</w:t>
      </w:r>
    </w:p>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accounts receivable—net, accrued liabilities, deferred tax assets, deferred contract costs, accounts payable, deferred revenue and inventory.</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activities during the three months ended March 31, 2024 provided cash flows of $830.4 million, an increase of $152.9 million</w:t>
      </w:r>
    </w:p>
    <w:p>
      <w:pPr>
        <w:spacing w:after="0" w:line="237" w:lineRule="auto"/>
        <w:rPr>
          <w:sz w:val="20"/>
          <w:szCs w:val="20"/>
          <w:color w:val="auto"/>
        </w:rPr>
      </w:pPr>
      <w:r>
        <w:rPr>
          <w:rFonts w:ascii="Times New Roman" w:cs="Times New Roman" w:eastAsia="Times New Roman" w:hAnsi="Times New Roman"/>
          <w:sz w:val="18"/>
          <w:szCs w:val="18"/>
          <w:color w:val="auto"/>
        </w:rPr>
        <w:t>compared to the same period last year, as a result of the continued growth of our business, improved profitability and our ability to successfully manage our</w:t>
      </w:r>
    </w:p>
    <w:p>
      <w:pPr>
        <w:spacing w:after="0" w:line="234" w:lineRule="auto"/>
        <w:rPr>
          <w:sz w:val="20"/>
          <w:szCs w:val="20"/>
          <w:color w:val="auto"/>
        </w:rPr>
      </w:pPr>
      <w:r>
        <w:rPr>
          <w:rFonts w:ascii="Times New Roman" w:cs="Times New Roman" w:eastAsia="Times New Roman" w:hAnsi="Times New Roman"/>
          <w:sz w:val="18"/>
          <w:szCs w:val="18"/>
          <w:color w:val="auto"/>
        </w:rPr>
        <w:t>working capital. Changes in operating assets and liabilities primarily resulted from an increase in sales of our security subscription services and technical</w:t>
      </w:r>
    </w:p>
    <w:p>
      <w:pPr>
        <w:spacing w:after="0" w:line="235" w:lineRule="auto"/>
        <w:rPr>
          <w:sz w:val="20"/>
          <w:szCs w:val="20"/>
          <w:color w:val="auto"/>
        </w:rPr>
      </w:pPr>
      <w:r>
        <w:rPr>
          <w:rFonts w:ascii="Times New Roman" w:cs="Times New Roman" w:eastAsia="Times New Roman" w:hAnsi="Times New Roman"/>
          <w:sz w:val="18"/>
          <w:szCs w:val="18"/>
          <w:color w:val="auto"/>
        </w:rPr>
        <w:t>support services to new and existing customers, as reflected by an increase of $54.8 million in our deferred revenue during the three months ended</w:t>
      </w:r>
    </w:p>
    <w:p>
      <w:pPr>
        <w:spacing w:after="0" w:line="235" w:lineRule="auto"/>
        <w:rPr>
          <w:sz w:val="20"/>
          <w:szCs w:val="20"/>
          <w:color w:val="auto"/>
        </w:rPr>
      </w:pPr>
      <w:r>
        <w:rPr>
          <w:rFonts w:ascii="Times New Roman" w:cs="Times New Roman" w:eastAsia="Times New Roman" w:hAnsi="Times New Roman"/>
          <w:sz w:val="18"/>
          <w:szCs w:val="18"/>
          <w:color w:val="auto"/>
        </w:rPr>
        <w:t>March 31, 2024. In addition, changes in operating assets and liabilities were driven by a decrease of $405.6 million in accounts receivable—net, an increase</w:t>
      </w:r>
    </w:p>
    <w:p>
      <w:pPr>
        <w:spacing w:after="0" w:line="235" w:lineRule="auto"/>
        <w:rPr>
          <w:sz w:val="20"/>
          <w:szCs w:val="20"/>
          <w:color w:val="auto"/>
        </w:rPr>
      </w:pPr>
      <w:r>
        <w:rPr>
          <w:rFonts w:ascii="Times New Roman" w:cs="Times New Roman" w:eastAsia="Times New Roman" w:hAnsi="Times New Roman"/>
          <w:sz w:val="18"/>
          <w:szCs w:val="18"/>
          <w:color w:val="auto"/>
        </w:rPr>
        <w:t>of $105.0 million in accrued liabilities, an increase of $73.9 million in deferred tax assets, an increase of $66.5 million in deferred contract costs, a decrease</w:t>
      </w:r>
    </w:p>
    <w:p>
      <w:pPr>
        <w:spacing w:after="0"/>
        <w:rPr>
          <w:sz w:val="20"/>
          <w:szCs w:val="20"/>
          <w:color w:val="auto"/>
        </w:rPr>
      </w:pPr>
      <w:r>
        <w:rPr>
          <w:rFonts w:ascii="Times New Roman" w:cs="Times New Roman" w:eastAsia="Times New Roman" w:hAnsi="Times New Roman"/>
          <w:sz w:val="18"/>
          <w:szCs w:val="18"/>
          <w:color w:val="auto"/>
        </w:rPr>
        <w:t>of $61.6 million in accounts payable and a decrease of $36.5 million in inventory.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investments in various companies and business acquisitions. Historically, in making a lease-versus-ownership decision related to warehouse, office or data center space, we have considered various factors including financial metrics, expected long-term growth rates, time to market and changes in asset values. In certain cases,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cash used in investing activities was $270.3 million, primarily driven by $221.9 million used for the purchases of property and equipment, $42.7 million spent for purchases of investments, net of maturities and sales of investments and $5.7 million used for the acquisitions of certain assets and liabilities in a business combination, net of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our Amended and Restated Fortinet, Inc. 2009 Equity Incentive Plan.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cash used in financing activities was $30.3 million, primarily driven by $29.5 million used to pay tax withholding, net of proceeds from the issuance of common stock.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during the three months ended March 31, 2024 compared to the disclosures in Part II, Item 7A of the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March 31, 2024. In designing and evaluating the disclosure controls and procedures, management recognized that any controls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3"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March 31, 2024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or 15d-15(f) under the Exchange Act) during the quarter ended March 31, 2024,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10. Commitments and Contingencies in Part I, Item 1 of this Quarterly Report on Form 10-Q for additional information.</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16"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49" w:lineRule="exact"/>
        <w:rPr>
          <w:sz w:val="20"/>
          <w:szCs w:val="20"/>
          <w:color w:val="auto"/>
        </w:rPr>
      </w:pPr>
    </w:p>
    <w:p>
      <w:pPr>
        <w:ind w:left="1300" w:right="100" w:hanging="644"/>
        <w:spacing w:after="0" w:line="250"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macroeconomic and regional economic challenges resulting, for example, from a recession or other economic downturn, increased inflation or possible stagflation in certain geographies, rising interest rates, the war in Ukraine, the Israel-Hamas war, tensions between China and Taiwan, or other factors;</w:t>
      </w:r>
    </w:p>
    <w:p>
      <w:pPr>
        <w:spacing w:after="0" w:line="203"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strategy, productivity and execution, and our ability to attract and retain new end-customers or sell additional products and services to our existing end-customers, including customer demand for platform solutions like ours versus point solutions;</w:t>
      </w:r>
    </w:p>
    <w:p>
      <w:pPr>
        <w:spacing w:after="0" w:line="189" w:lineRule="exact"/>
        <w:rPr>
          <w:rFonts w:ascii="Times New Roman" w:cs="Times New Roman" w:eastAsia="Times New Roman" w:hAnsi="Times New Roman"/>
          <w:sz w:val="18"/>
          <w:szCs w:val="18"/>
          <w:color w:val="auto"/>
        </w:rPr>
      </w:pPr>
    </w:p>
    <w:p>
      <w:pPr>
        <w:ind w:left="1300" w:right="780" w:hanging="644"/>
        <w:spacing w:after="0" w:line="266"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market changes related to cloud-based solutions and to sell, support and meet service level agreements related to cloud-based solutions;</w:t>
      </w:r>
    </w:p>
    <w:p>
      <w:pPr>
        <w:spacing w:after="0" w:line="189" w:lineRule="exact"/>
        <w:rPr>
          <w:rFonts w:ascii="Times New Roman" w:cs="Times New Roman" w:eastAsia="Times New Roman" w:hAnsi="Times New Roman"/>
          <w:sz w:val="18"/>
          <w:szCs w:val="18"/>
          <w:color w:val="auto"/>
        </w:rPr>
      </w:pPr>
    </w:p>
    <w:p>
      <w:pPr>
        <w:jc w:val="both"/>
        <w:ind w:left="1300" w:right="60" w:hanging="644"/>
        <w:spacing w:after="0"/>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epidemics and pandemics, supply chain disruptions, inflation and other cost increases, international trade disputes or tariffs, natural disasters, health emergencies, power outages, civil unrest, labor disruption, international conflicts, terrorism, wars, such as the war in Ukraine and the Israel-Hamas war, and critical infrastructure attacks;</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future inventory purchase commitments;</w:t>
      </w:r>
    </w:p>
    <w:p>
      <w:pPr>
        <w:spacing w:after="0" w:line="23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or future inventory purchase commitments and lead to price decreases;</w:t>
      </w:r>
    </w:p>
    <w:p>
      <w:pPr>
        <w:spacing w:after="0" w:line="189" w:lineRule="exact"/>
        <w:rPr>
          <w:rFonts w:ascii="Times New Roman" w:cs="Times New Roman" w:eastAsia="Times New Roman" w:hAnsi="Times New Roman"/>
          <w:sz w:val="18"/>
          <w:szCs w:val="18"/>
          <w:color w:val="auto"/>
        </w:rPr>
      </w:pPr>
    </w:p>
    <w:p>
      <w:pPr>
        <w:ind w:left="1300" w:right="40" w:hanging="644"/>
        <w:spacing w:after="0" w:line="272" w:lineRule="auto"/>
        <w:tabs>
          <w:tab w:leader="none" w:pos="129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backlog may fluctuate over quarters and any decrease in growth or negative growth of in-quarter billings and revenue may not be reflected by our aggregate billings and revenue if we experience supply chain shortages, including component and other shortages. When we fulfill, ship and bill during a quarter to satisfy backlog, this increases our aggregate billings and revenue during any particular quarter;</w:t>
      </w:r>
    </w:p>
    <w:p>
      <w:pPr>
        <w:spacing w:after="0" w:line="185" w:lineRule="exact"/>
        <w:rPr>
          <w:rFonts w:ascii="Times New Roman" w:cs="Times New Roman" w:eastAsia="Times New Roman" w:hAnsi="Times New Roman"/>
          <w:sz w:val="17"/>
          <w:szCs w:val="17"/>
          <w:color w:val="auto"/>
        </w:rPr>
      </w:pPr>
    </w:p>
    <w:p>
      <w:pPr>
        <w:ind w:left="1300" w:right="100" w:hanging="644"/>
        <w:spacing w:after="0" w:line="250"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supply chain challenges normalize, the growth comparisons versus prior quarters where backlog contributed more to billings become more challenging. This reduced quarterly billings based on reduced backlog contribution to billings has resulted, and will result, in decreased year-over-year quarterly growth.</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cost increases and any lack of market acceptance of our price increases designed to help offset any supplier cost increases;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w:t>
      </w:r>
    </w:p>
    <w:p>
      <w:pPr>
        <w:spacing w:after="0" w:line="238"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factors such as increased inflation or possible stagflation in certain geographies, increasing or decreasing interest rates, the war in Ukraine and the Israel-Hamas war and other factors;</w:t>
      </w:r>
    </w:p>
    <w:p>
      <w:pPr>
        <w:spacing w:after="0" w:line="203"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vulnerabilities in our products or services, and any actual or perceived breach of our network or our customers’ networks;</w:t>
      </w:r>
    </w:p>
    <w:p>
      <w:pPr>
        <w:spacing w:after="0" w:line="135"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03" w:lineRule="exact"/>
        <w:rPr>
          <w:rFonts w:ascii="Times New Roman" w:cs="Times New Roman" w:eastAsia="Times New Roman" w:hAnsi="Times New Roman"/>
          <w:sz w:val="18"/>
          <w:szCs w:val="18"/>
          <w:color w:val="auto"/>
        </w:rPr>
      </w:pPr>
    </w:p>
    <w:p>
      <w:pPr>
        <w:ind w:left="1300" w:right="80" w:hanging="644"/>
        <w:spacing w:after="0" w:line="250"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as well as accounting risks, integration risks related to product plans and products and risks of negative impact by such acquisitions and equity investments on our financial results;</w:t>
      </w:r>
    </w:p>
    <w:p>
      <w:pPr>
        <w:spacing w:after="0" w:line="203" w:lineRule="exact"/>
        <w:rPr>
          <w:rFonts w:ascii="Times New Roman" w:cs="Times New Roman" w:eastAsia="Times New Roman" w:hAnsi="Times New Roman"/>
          <w:sz w:val="18"/>
          <w:szCs w:val="18"/>
          <w:color w:val="auto"/>
        </w:rPr>
      </w:pPr>
    </w:p>
    <w:p>
      <w:pPr>
        <w:ind w:left="1300" w:right="66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of our performance relating to environmental, social and governance (“ESG”) and commitment to carbon neutrality;</w:t>
      </w:r>
    </w:p>
    <w:p>
      <w:pPr>
        <w:spacing w:after="0" w:line="189"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customer agreements which contain service-level agreements, under which we guarantee specified availability of our platform and solutions;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data security requirements and enforcement across certain jurisdictions;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as a result of certain events or changes in circumstances;</w:t>
      </w:r>
    </w:p>
    <w:p>
      <w:pPr>
        <w:spacing w:after="0" w:line="22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189"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refresh cycles or price decreases;</w:t>
      </w:r>
    </w:p>
    <w:p>
      <w:pPr>
        <w:spacing w:after="0" w:line="189" w:lineRule="exact"/>
        <w:rPr>
          <w:rFonts w:ascii="Times New Roman" w:cs="Times New Roman" w:eastAsia="Times New Roman" w:hAnsi="Times New Roman"/>
          <w:sz w:val="18"/>
          <w:szCs w:val="18"/>
          <w:color w:val="auto"/>
        </w:rPr>
      </w:pPr>
    </w:p>
    <w:p>
      <w:pPr>
        <w:ind w:left="1300" w:right="80" w:hanging="644"/>
        <w:spacing w:after="0" w:line="245"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such as the war in Ukraine and the Israel-Hamas war, and critical infrastructure attacks;</w:t>
      </w:r>
    </w:p>
    <w:p>
      <w:pPr>
        <w:spacing w:after="0" w:line="207" w:lineRule="exact"/>
        <w:rPr>
          <w:rFonts w:ascii="Times New Roman" w:cs="Times New Roman" w:eastAsia="Times New Roman" w:hAnsi="Times New Roman"/>
          <w:sz w:val="18"/>
          <w:szCs w:val="18"/>
          <w:color w:val="auto"/>
        </w:rPr>
      </w:pPr>
    </w:p>
    <w:p>
      <w:pPr>
        <w:ind w:left="1300" w:right="40" w:hanging="644"/>
        <w:spacing w:after="0" w:line="245"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including the time it takes to hire sales personnel, the timing of hiring and our ability to hire and retain effective sales personnel, our efforts to align our sales capacity and market demand and any negative impact to our sales and the effectiveness of our sales team based on changes to sales compensation or to our sales compensation plan;</w:t>
      </w:r>
    </w:p>
    <w:p>
      <w:pPr>
        <w:spacing w:after="0" w:line="207" w:lineRule="exact"/>
        <w:rPr>
          <w:rFonts w:ascii="Times New Roman" w:cs="Times New Roman" w:eastAsia="Times New Roman" w:hAnsi="Times New Roman"/>
          <w:sz w:val="18"/>
          <w:szCs w:val="18"/>
          <w:color w:val="auto"/>
        </w:rPr>
      </w:pPr>
    </w:p>
    <w:p>
      <w:pPr>
        <w:ind w:left="1300" w:hanging="644"/>
        <w:spacing w:after="0" w:line="239"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products and services;</w:t>
      </w:r>
    </w:p>
    <w:p>
      <w:pPr>
        <w:spacing w:after="0" w:line="211" w:lineRule="exact"/>
        <w:rPr>
          <w:rFonts w:ascii="Times New Roman" w:cs="Times New Roman" w:eastAsia="Times New Roman" w:hAnsi="Times New Roman"/>
          <w:sz w:val="18"/>
          <w:szCs w:val="18"/>
          <w:color w:val="auto"/>
        </w:rPr>
      </w:pPr>
    </w:p>
    <w:p>
      <w:pPr>
        <w:ind w:left="1300" w:right="40" w:hanging="644"/>
        <w:spacing w:after="0" w:line="245"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and IoT and OT security opportunities;</w:t>
      </w:r>
    </w:p>
    <w:p>
      <w:pPr>
        <w:spacing w:after="0" w:line="2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10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48" w:lineRule="exact"/>
        <w:rPr>
          <w:rFonts w:ascii="Times New Roman" w:cs="Times New Roman" w:eastAsia="Times New Roman" w:hAnsi="Times New Roman"/>
          <w:sz w:val="18"/>
          <w:szCs w:val="18"/>
          <w:color w:val="auto"/>
        </w:rPr>
      </w:pPr>
    </w:p>
    <w:p>
      <w:pPr>
        <w:jc w:val="both"/>
        <w:ind w:left="1300" w:right="38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198"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63"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8" w:lineRule="exact"/>
        <w:rPr>
          <w:rFonts w:ascii="Times New Roman" w:cs="Times New Roman" w:eastAsia="Times New Roman" w:hAnsi="Times New Roman"/>
          <w:sz w:val="18"/>
          <w:szCs w:val="18"/>
          <w:color w:val="auto"/>
        </w:rPr>
      </w:pPr>
    </w:p>
    <w:p>
      <w:pPr>
        <w:ind w:left="1300" w:right="180" w:hanging="644"/>
        <w:spacing w:after="0" w:line="250"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w:t>
      </w:r>
    </w:p>
    <w:p>
      <w:pPr>
        <w:spacing w:after="0" w:line="149" w:lineRule="exact"/>
        <w:rPr>
          <w:rFonts w:ascii="Times New Roman" w:cs="Times New Roman" w:eastAsia="Times New Roman" w:hAnsi="Times New Roman"/>
          <w:sz w:val="18"/>
          <w:szCs w:val="18"/>
          <w:color w:val="auto"/>
        </w:rPr>
      </w:pPr>
    </w:p>
    <w:p>
      <w:pPr>
        <w:ind w:left="1300" w:right="60" w:hanging="644"/>
        <w:spacing w:after="0" w:line="250"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3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and hosted security solutions on our billings, revenue, operating margins and free cash flow;</w:t>
      </w:r>
    </w:p>
    <w:p>
      <w:pPr>
        <w:spacing w:after="0" w:line="198" w:lineRule="exact"/>
        <w:rPr>
          <w:rFonts w:ascii="Times New Roman" w:cs="Times New Roman" w:eastAsia="Times New Roman" w:hAnsi="Times New Roman"/>
          <w:sz w:val="18"/>
          <w:szCs w:val="18"/>
          <w:color w:val="auto"/>
        </w:rPr>
      </w:pPr>
    </w:p>
    <w:p>
      <w:pPr>
        <w:ind w:left="1300" w:right="62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3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 and inventory levels;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 and manage and control operating expenses in order to maintain or improve our operating margins;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collection for our contracts or the contractual term of service sold;</w:t>
      </w:r>
    </w:p>
    <w:p>
      <w:pPr>
        <w:spacing w:after="0" w:line="238"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 and the tax treatment of research and development expenses and the related impact of cash from operations;</w:t>
      </w:r>
    </w:p>
    <w:p>
      <w:pPr>
        <w:spacing w:after="0" w:line="189"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cloud-based and hosted services and the uncertainty associated with transitioning to providing such services;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shift or migration from physical appliances that deliver on-premises network security to cloud and SaaS-based security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19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9"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93" w:lineRule="exact"/>
        <w:rPr>
          <w:rFonts w:ascii="Times New Roman" w:cs="Times New Roman" w:eastAsia="Times New Roman" w:hAnsi="Times New Roman"/>
          <w:sz w:val="18"/>
          <w:szCs w:val="18"/>
          <w:color w:val="auto"/>
        </w:rPr>
      </w:pPr>
    </w:p>
    <w:p>
      <w:pPr>
        <w:ind w:left="1300" w:right="60" w:hanging="644"/>
        <w:spacing w:after="0" w:line="25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such as that caused by the war in Ukraine, the Israel-Hamas war, tensions between China and Taiwan, and any disruption or negative impact on our ability to sell to, ship product to and support customers in certain regions based on trade restrictions, embargoes and export control law restrictions;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3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189"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investments and future acquisition and development plans; and</w:t>
      </w:r>
    </w:p>
    <w:p>
      <w:pPr>
        <w:spacing w:after="0" w:line="175"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regional component bans, and requirements for local manufacture.</w:t>
      </w:r>
    </w:p>
    <w:p>
      <w:pPr>
        <w:spacing w:after="0" w:line="18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20"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such as a possible recession and possible impacts of inflation or stagflation, increasing or decreasing interest rates, reduced information technology spending, including firewall and other security spending, or any economic downturn or recession, may adversely impact our business.</w:t>
      </w:r>
    </w:p>
    <w:p>
      <w:pPr>
        <w:spacing w:after="0" w:line="161"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increasing or decreasing interest rates, geopolitical instability and uncertainty, a reduction in information technology spending regardless of macroeconomic conditions, the effects of epidemics and pandemics and the impact of the war in Ukraine and the Israel-Hamas war each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The existence of inflation in certain economies has resulted in, and may continue to result in, increasing or decreasing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may slow or may not continue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and our operating margins may decline.</w:t>
      </w:r>
    </w:p>
    <w:p>
      <w:pPr>
        <w:spacing w:after="0" w:line="21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pipeline growth or for demand for our products or services generally, a shift in 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rising interest rates, the war in Ukraine and the Israel-Hamas war,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2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including construction or acquisition of new data centers, data center expansions or office buildings, could involve significant risks to our business.</w:t>
      </w:r>
    </w:p>
    <w:p>
      <w:pPr>
        <w:spacing w:after="0" w:line="172"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In order to sustain our growth in certain of our existing and new markets, we may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212"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and delays for data center equipment, including items such as generators and switchgear;</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budget changes;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and delays in obtaining building supplies, raw materials and data center equipment;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labor disputes and work stoppages with contractors, subcontractors and other third parties;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environmental issues and geological problems;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permitting and approvals to open from public agencies and utility companies;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lack of power access;</w:t>
      </w:r>
    </w:p>
    <w:p>
      <w:pPr>
        <w:spacing w:after="0" w:line="23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for any reason to meet customer requirements and service level agreements, and any resulting penalties or liabilities related thereto;</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expectations regarding ESG;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site readiness leading to our failure to meet commitments made to customers; and</w:t>
      </w:r>
    </w:p>
    <w:p>
      <w:pPr>
        <w:spacing w:after="0" w:line="238"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9"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18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14"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2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2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28% of our total net accounts receivable as of March 31, 2024.</w:t>
      </w:r>
    </w:p>
    <w:p>
      <w:pPr>
        <w:spacing w:after="0" w:line="167"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spacing w:after="0" w:line="214"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08" w:lineRule="exact"/>
        <w:rPr>
          <w:sz w:val="20"/>
          <w:szCs w:val="20"/>
          <w:color w:val="auto"/>
        </w:rPr>
      </w:pPr>
    </w:p>
    <w:p>
      <w:pPr>
        <w:ind w:right="320" w:firstLine="648"/>
        <w:spacing w:after="0"/>
        <w:rPr>
          <w:sz w:val="20"/>
          <w:szCs w:val="20"/>
          <w:color w:val="auto"/>
        </w:rPr>
      </w:pPr>
      <w:r>
        <w:rPr>
          <w:rFonts w:ascii="Times New Roman" w:cs="Times New Roman" w:eastAsia="Times New Roman" w:hAnsi="Times New Roman"/>
          <w:sz w:val="18"/>
          <w:szCs w:val="18"/>
          <w:color w:val="auto"/>
        </w:rPr>
        <w:t>Six distributor customers accounted for 67% of our total net accounts receivable in the aggregate as of March 31, 2024. See Note 14. Segment Information in Part I, Item 1 of this Quarterly Report on Form 10-Q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12" w:lineRule="exact"/>
        <w:rPr>
          <w:sz w:val="20"/>
          <w:szCs w:val="20"/>
          <w:color w:val="auto"/>
        </w:rPr>
      </w:pPr>
    </w:p>
    <w:p>
      <w:pPr>
        <w:jc w:val="both"/>
        <w:ind w:right="220" w:firstLine="648"/>
        <w:spacing w:after="0" w:line="256" w:lineRule="auto"/>
        <w:rPr>
          <w:sz w:val="20"/>
          <w:szCs w:val="20"/>
          <w:color w:val="auto"/>
        </w:rPr>
      </w:pPr>
      <w:r>
        <w:rPr>
          <w:rFonts w:ascii="Times New Roman" w:cs="Times New Roman" w:eastAsia="Times New Roman" w:hAnsi="Times New Roman"/>
          <w:sz w:val="17"/>
          <w:szCs w:val="17"/>
          <w:color w:val="auto"/>
        </w:rPr>
        <w:t>We provide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w:t>
      </w:r>
    </w:p>
    <w:p>
      <w:pPr>
        <w:spacing w:after="0" w:line="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could cause our billings and revenue to fall below expected levels</w:t>
      </w:r>
      <w:r>
        <w:rPr>
          <w:rFonts w:ascii="Times New Roman" w:cs="Times New Roman" w:eastAsia="Times New Roman" w:hAnsi="Times New Roman"/>
          <w:sz w:val="18"/>
          <w:szCs w:val="18"/>
          <w:i w:val="1"/>
          <w:iCs w:val="1"/>
          <w:color w:val="auto"/>
        </w:rPr>
        <w:t>.</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14"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38"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2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or widespread public health problems including pandemics and epidemics;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38"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19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 and FortiCare technical support service contracts decline, our revenue and revenue growth may decrease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ratably over the term of the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For example, in December 2023, our Chief Revenue Officer announced his upcoming retirement after 19 years at Fortinet.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indebtedness and may incur other debt in the future, which may adversely affect our financial condition and future financial results.</w:t>
      </w:r>
    </w:p>
    <w:p>
      <w:pPr>
        <w:spacing w:after="0" w:line="254"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As of March 31, 2024, we had an aggregate of $992.8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4"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38"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2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4" w:lineRule="exact"/>
        <w:rPr>
          <w:sz w:val="20"/>
          <w:szCs w:val="20"/>
          <w:color w:val="auto"/>
        </w:rPr>
      </w:pPr>
    </w:p>
    <w:p>
      <w:pPr>
        <w:jc w:val="both"/>
        <w:ind w:right="60" w:firstLine="648"/>
        <w:spacing w:after="0" w:line="245" w:lineRule="auto"/>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0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45"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4" w:lineRule="exact"/>
        <w:rPr>
          <w:sz w:val="20"/>
          <w:szCs w:val="20"/>
          <w:color w:val="auto"/>
        </w:rPr>
      </w:pPr>
    </w:p>
    <w:p>
      <w:pPr>
        <w:ind w:left="1300" w:right="160" w:hanging="644"/>
        <w:spacing w:after="0" w:line="24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or other foreign conflicts, such as the war in Ukraine and the Israel-Hamas war or tensions between China and Taiwan, and critical infrastructure attacks;</w:t>
      </w:r>
    </w:p>
    <w:p>
      <w:pPr>
        <w:spacing w:after="0" w:line="211" w:lineRule="exact"/>
        <w:rPr>
          <w:rFonts w:ascii="Times New Roman" w:cs="Times New Roman" w:eastAsia="Times New Roman" w:hAnsi="Times New Roman"/>
          <w:sz w:val="18"/>
          <w:szCs w:val="18"/>
          <w:color w:val="auto"/>
        </w:rPr>
      </w:pPr>
    </w:p>
    <w:p>
      <w:pPr>
        <w:ind w:left="1300" w:right="200" w:hanging="644"/>
        <w:spacing w:after="0" w:line="250"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3" w:lineRule="exact"/>
        <w:rPr>
          <w:rFonts w:ascii="Times New Roman" w:cs="Times New Roman" w:eastAsia="Times New Roman" w:hAnsi="Times New Roman"/>
          <w:sz w:val="18"/>
          <w:szCs w:val="18"/>
          <w:color w:val="auto"/>
        </w:rPr>
      </w:pPr>
    </w:p>
    <w:p>
      <w:pPr>
        <w:ind w:left="1300" w:hanging="644"/>
        <w:spacing w:after="0" w:line="24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 such as any economic or political instability caused by economic downturns and wars or other foreign conflicts, such as the war in Ukraine and the Israel-Hamas war, tensions between China and Taiwan and any expansions thereof;</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(“IP”) rights in some countries;</w:t>
      </w:r>
    </w:p>
    <w:p>
      <w:pPr>
        <w:spacing w:after="0" w:line="23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75" w:lineRule="exact"/>
        <w:rPr>
          <w:rFonts w:ascii="Times New Roman" w:cs="Times New Roman" w:eastAsia="Times New Roman" w:hAnsi="Times New Roman"/>
          <w:sz w:val="18"/>
          <w:szCs w:val="18"/>
          <w:color w:val="auto"/>
        </w:rPr>
      </w:pPr>
    </w:p>
    <w:p>
      <w:pPr>
        <w:ind w:left="1300" w:right="940" w:hanging="644"/>
        <w:spacing w:after="0" w:line="266"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48" w:lineRule="exact"/>
        <w:rPr>
          <w:rFonts w:ascii="Times New Roman" w:cs="Times New Roman" w:eastAsia="Times New Roman" w:hAnsi="Times New Roman"/>
          <w:sz w:val="18"/>
          <w:szCs w:val="18"/>
          <w:color w:val="auto"/>
        </w:rPr>
      </w:pPr>
    </w:p>
    <w:p>
      <w:pPr>
        <w:ind w:left="1300" w:right="80" w:hanging="644"/>
        <w:spacing w:after="0" w:line="245"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07" w:lineRule="exact"/>
        <w:rPr>
          <w:rFonts w:ascii="Times New Roman" w:cs="Times New Roman" w:eastAsia="Times New Roman" w:hAnsi="Times New Roman"/>
          <w:sz w:val="18"/>
          <w:szCs w:val="18"/>
          <w:color w:val="auto"/>
        </w:rPr>
      </w:pPr>
    </w:p>
    <w:p>
      <w:pPr>
        <w:ind w:left="1300" w:right="280" w:hanging="644"/>
        <w:spacing w:after="0" w:line="266"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9" w:lineRule="exact"/>
        <w:rPr>
          <w:rFonts w:ascii="Times New Roman" w:cs="Times New Roman" w:eastAsia="Times New Roman" w:hAnsi="Times New Roman"/>
          <w:sz w:val="18"/>
          <w:szCs w:val="18"/>
          <w:color w:val="auto"/>
        </w:rPr>
      </w:pPr>
    </w:p>
    <w:p>
      <w:pPr>
        <w:ind w:left="1300" w:right="200" w:hanging="644"/>
        <w:spacing w:after="0" w:line="245"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19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12"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45"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1" w:lineRule="exact"/>
        <w:rPr>
          <w:sz w:val="20"/>
          <w:szCs w:val="20"/>
          <w:color w:val="auto"/>
        </w:rPr>
      </w:pPr>
    </w:p>
    <w:p>
      <w:pPr>
        <w:ind w:left="1300" w:right="220" w:hanging="644"/>
        <w:spacing w:after="0" w:line="250"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6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38"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63" w:lineRule="exact"/>
        <w:rPr>
          <w:rFonts w:ascii="Times New Roman" w:cs="Times New Roman" w:eastAsia="Times New Roman" w:hAnsi="Times New Roman"/>
          <w:sz w:val="18"/>
          <w:szCs w:val="18"/>
          <w:color w:val="auto"/>
        </w:rPr>
      </w:pPr>
    </w:p>
    <w:p>
      <w:pPr>
        <w:ind w:left="1300" w:right="860" w:hanging="644"/>
        <w:spacing w:after="0" w:line="26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89"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89"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19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fabric,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1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190"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spacing w:after="0" w:line="213"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sales are to government organizations, which subjects us to a number of regulatory requirements, challenges and risks.</w:t>
      </w:r>
    </w:p>
    <w:p>
      <w:pPr>
        <w:spacing w:after="0" w:line="243"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04"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203" w:lineRule="exact"/>
        <w:rPr>
          <w:sz w:val="20"/>
          <w:szCs w:val="20"/>
          <w:color w:val="auto"/>
        </w:rPr>
      </w:pPr>
    </w:p>
    <w:p>
      <w:pPr>
        <w:ind w:left="1300" w:right="200" w:hanging="644"/>
        <w:spacing w:after="0" w:line="250"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3"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120" w:hanging="644"/>
        <w:spacing w:after="0" w:line="245"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and the Israel-Hamas war, tensions between China and Taiwan and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208"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In addition, if we do not have certain certifications, this may restrict our ability to sell to certain customers until we have obtained certain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spacing w:after="0" w:line="21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0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Customers, Products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Aruba Networks, LLC, Check Point Software Technologies Ltd., Cisco Systems, Inc. (“Cisco”), CrowdStrike Holdings, Inc. (“CrowdStrike”), F5 Networks, Inc., Huawei Technologies Co., Ltd., Juniper Networks, Inc., Palo Alto Networks, Inc., SonicWALL, Inc., Sophos Group Plc, and Zscaler, Inc. (“Zscaler”).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enjoy competitive advantages such as:</w:t>
      </w:r>
    </w:p>
    <w:p>
      <w:pPr>
        <w:spacing w:after="0" w:line="198"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both product shortages, which may result in lost sales and higher expenses, and excess inventory, which may require us to sell our products at discounts and lead to excess inventory charges or write-offs.</w:t>
      </w:r>
    </w:p>
    <w:p>
      <w:pPr>
        <w:spacing w:after="0" w:line="18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cyber events, pandemics and epidemics or manmade events such as civil unrest, labor disruption, international trade disputes, international conflicts, terrorism, wars or other foreign conflicts, such as the war in Ukraine and the Israel-Hamas war or tensions between China and Taiwan, and critical infrastructure attacks, our business and financial results could be materially and adversely impacted. The conflicts in the Middle East highlights potential risks associated with geopolitical instability in the region, including disruption to shipping routes, 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w:t>
      </w:r>
    </w:p>
    <w:p>
      <w:pPr>
        <w:spacing w:after="0" w:line="216"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response to component shortages in previous periods, we increased our purchase order commitments. Our suppliers may require us to accept or pay for components and finished goods regardless of our level of sales in a particular period, which may negatively impact our operating results and financial condition. For additional information and a further discussion of impacts and risks related to our purchase commitments with our suppliers, refer to Note 10. Commitments and Contingencies in Part I, Item 1 of this Quarterly Report on Form 10-Q.</w:t>
      </w:r>
    </w:p>
    <w:p>
      <w:pPr>
        <w:spacing w:after="0" w:line="208"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take excess inventory charges and/or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1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7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services or enhancements could fail to attain sufficient market acceptance for many reasons, including:</w:t>
      </w:r>
    </w:p>
    <w:p>
      <w:pPr>
        <w:spacing w:after="0" w:line="198"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services or enhancements to the market;</w:t>
      </w:r>
    </w:p>
    <w:p>
      <w:pPr>
        <w:spacing w:after="0" w:line="19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and service functionality and to supply products and services that meet this demand in a timely fashion;</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products and services successful;</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 and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and services by our competitors;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or services incorporating open source software.</w:t>
      </w:r>
    </w:p>
    <w:p>
      <w:pPr>
        <w:spacing w:after="0" w:line="198"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2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188"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21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7"/>
          <w:szCs w:val="17"/>
          <w:color w:val="auto"/>
        </w:rPr>
        <w:t>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w:t>
      </w:r>
    </w:p>
    <w:p>
      <w:pPr>
        <w:spacing w:after="0" w:line="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w:t>
      </w:r>
    </w:p>
    <w:p>
      <w:pPr>
        <w:spacing w:after="0" w:line="19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products from multiple vendors.</w:t>
      </w:r>
    </w:p>
    <w:p>
      <w:pPr>
        <w:spacing w:after="0" w:line="14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2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labor disruption, cyber events, international trade disputes, international conflicts, terrorism, wars, such as the war in Ukraine and the Israel-Hamas war,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85% of our hardware is manufactured in Taiwan. Any increase in tensions between China and Taiwan, including threats of military actions or escalation of military activities, could adversely affect our manufacturing operations in Taiwan.</w:t>
      </w:r>
    </w:p>
    <w:p>
      <w:pPr>
        <w:spacing w:after="0" w:line="17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7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214"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CPUs from Intel and Advanced Micro Devices, Inc. (“AMD”), network and wireless chips from Broadcom, Marvell, Qualcomm and Intel, and memory devices from Intel, Micron, ADATA, Toshiba, Samsung and Western Digital.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1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could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12"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198"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spacing w:after="0" w:line="1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ability to manage the levels of certain of our major distributors’ inventories in North America. If future price protection adjustments are higher than expected, our future results of operations could be materially and adversely affected.</w:t>
      </w:r>
    </w:p>
    <w:p>
      <w:pPr>
        <w:spacing w:after="0" w:line="19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 in our products or services, the failure of our products or services to detect or prevent a security incident, or the misuse of our products could harm our operational results and reputation.</w:t>
      </w:r>
    </w:p>
    <w:p>
      <w:pPr>
        <w:spacing w:after="0" w:line="17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There can be no assurance, however, that such posts will be sufficiently timely, accurate or complete or that those customers will take steps to mitigate the risk of vulnerabilities, and certain customers may be negatively impacted. Additionally, any perception that our products have vulnerabilities, whether or not accurate, and any actual vulnerabilities may harm our operational results and reputation, more significantly as compared to certain other companies in other industries because we are a security company.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operational results and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2"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An actual, possible or perceived security incident or infection of the network of one of our end-customers, regardless of whether the incident is attributable to the failure of our products or services to prevent or detect the security incident, or any actual or perceived security risk in our supply chain, could adversely affect the market’s perception of our security products and services, cause customers and customer prospects not to buy from us and, in some instances, subject us to potential liability that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71" w:lineRule="exact"/>
        <w:rPr>
          <w:sz w:val="20"/>
          <w:szCs w:val="20"/>
          <w:color w:val="auto"/>
        </w:rPr>
      </w:pPr>
    </w:p>
    <w:p>
      <w:pPr>
        <w:ind w:left="1300" w:right="120" w:hanging="644"/>
        <w:spacing w:after="0" w:line="250"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6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198"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19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7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vulnerabilities, viruses or security incidents or false identification of spam or spyware could adversely affect our business.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18"/>
          <w:szCs w:val="18"/>
          <w:color w:val="auto"/>
        </w:rPr>
        <w:t>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7"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2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7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 connect to customers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vendors and partners systems and provide services, or our research and development networks, our back-end labs and cloud stacks hosted in our data centers,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91"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artificial intelligence (“AI”), and malicious parties may use AI to help attack our solutions, systems, and our customers.</w:t>
      </w:r>
    </w:p>
    <w:p>
      <w:pPr>
        <w:spacing w:after="0" w:line="21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201"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45"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(EDI).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1"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14" w:lineRule="exact"/>
        <w:rPr>
          <w:sz w:val="20"/>
          <w:szCs w:val="20"/>
          <w:color w:val="auto"/>
        </w:rPr>
      </w:pPr>
    </w:p>
    <w:p>
      <w:pPr>
        <w:ind w:right="460" w:firstLine="648"/>
        <w:spacing w:after="0" w:line="242" w:lineRule="auto"/>
        <w:rPr>
          <w:sz w:val="20"/>
          <w:szCs w:val="20"/>
          <w:color w:val="auto"/>
        </w:rPr>
      </w:pPr>
      <w:r>
        <w:rPr>
          <w:rFonts w:ascii="Times New Roman" w:cs="Times New Roman" w:eastAsia="Times New Roman" w:hAnsi="Times New Roman"/>
          <w:sz w:val="18"/>
          <w:szCs w:val="18"/>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12" w:lineRule="exact"/>
        <w:rPr>
          <w:sz w:val="20"/>
          <w:szCs w:val="20"/>
          <w:color w:val="auto"/>
        </w:rPr>
      </w:pPr>
    </w:p>
    <w:p>
      <w:pPr>
        <w:jc w:val="both"/>
        <w:ind w:right="40" w:firstLine="648"/>
        <w:spacing w:after="0" w:line="239"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16"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r>
        <w:rPr>
          <w:rFonts w:ascii="Times New Roman" w:cs="Times New Roman" w:eastAsia="Times New Roman" w:hAnsi="Times New Roman"/>
          <w:sz w:val="21"/>
          <w:szCs w:val="21"/>
          <w:b w:val="1"/>
          <w:bCs w:val="1"/>
          <w:i w:val="1"/>
          <w:iCs w:val="1"/>
          <w:color w:val="008080"/>
        </w:rPr>
        <w:t>.</w:t>
      </w:r>
    </w:p>
    <w:p>
      <w:pPr>
        <w:spacing w:after="0" w:line="260"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AI presents new risks and challenges that may affect our business. We have made, and expect to continue to make investments to integrate AI and machine learning technology into our solutions. AI presents risks, challenges, and potentially unintended consequences that could impact our ability to effectively use of AI successfully in our business. Given the nature of AI technology, we face an evolving regulatory landscape and significant competition from other companies. Our AI efforts may not be successful and our competitors may incorporate AI into their products more quickly or more successfully than us, which could impair our ability to compete effectively and adversely affect our financial results. Data practices by us or others that result in controversy could also impair the acceptance of AI solutions. This in turn could undermine confidence in the decisions, predictions, analysis, and effectiveness of our AI-related initiatives. The rapid evolution of AI, including potential government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or legal liability. Any of the foregoing could adversely affect our business, reputation, or financial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1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2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w:t>
      </w:r>
    </w:p>
    <w:p>
      <w:pPr>
        <w:spacing w:after="0" w:line="14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9"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if re-engineering could not be accomplished on a timely basis, any of which requirements could adversely affect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1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6"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1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3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8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2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analyze whether there should be an OTTI of the value of our investment in Linksys. In evaluating OTTI, we consider factors such as Linksys’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 We intend to continue to analyze our investment in Linksys to determine whether any further impairment is appropriate. If any further decline in fair value is determined to be other-than-temporary, we will adjust the carrying value of the investment to its fair value and record the impairment expense in our condensed consolidated statements of income. The cost basis of the investment is not adjusted for subsequent recoveries in fair value. We may experience additional volatility to our statements of operations due to the underlying operating results of Linksys or impairments of our Linksys investment. This volatility could be material to our results in any given quarter and may cause our stock price to decline.</w:t>
      </w:r>
    </w:p>
    <w:p>
      <w:pPr>
        <w:spacing w:after="0" w:line="22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or negatively impact our ability to contract.</w:t>
      </w:r>
    </w:p>
    <w:p>
      <w:pPr>
        <w:spacing w:after="0" w:line="17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1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For example, the GDPR imposes stringent data handling requirements on companies that operate in the EU or receive or process personal data about individuals in the EU in certain contexts. Non-compliance with the GDPR could result in data</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following certain changes to U.S. law intended to address the concerns underlying that court decision with respect to transfers of personal data to the United States. However, there remains a possibility that our business could be negatively impacted by restrictions on transfers of GDPR-regulated personal data (including transfers made by our customers) to other areas we operate. In addition, it is possible that the updates to U.S. law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1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20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Selling our solutions to governments, both within the U.S and internationally,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1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spacing w:after="0" w:line="25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72"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2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72" w:lineRule="exact"/>
        <w:rPr>
          <w:sz w:val="20"/>
          <w:szCs w:val="20"/>
          <w:color w:val="auto"/>
        </w:rPr>
      </w:pPr>
    </w:p>
    <w:p>
      <w:pPr>
        <w:ind w:right="340" w:firstLine="648"/>
        <w:spacing w:after="0" w:line="245" w:lineRule="auto"/>
        <w:rPr>
          <w:sz w:val="20"/>
          <w:szCs w:val="20"/>
          <w:color w:val="auto"/>
        </w:rPr>
      </w:pPr>
      <w:r>
        <w:rPr>
          <w:rFonts w:ascii="Times New Roman" w:cs="Times New Roman" w:eastAsia="Times New Roman" w:hAnsi="Times New Roman"/>
          <w:sz w:val="18"/>
          <w:szCs w:val="18"/>
          <w:color w:val="auto"/>
        </w:rPr>
        <w:t>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194"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goods imported from China.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1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189"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2"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7"/>
          <w:szCs w:val="17"/>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 Similar laws and regulations have been passed or are pending in the European Economic Area and the UK.</w:t>
      </w:r>
    </w:p>
    <w:p>
      <w:pPr>
        <w:spacing w:after="0" w:line="197"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18"/>
          <w:szCs w:val="18"/>
          <w:color w:val="auto"/>
        </w:rPr>
        <w:t>The EU’s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11"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7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For example, in 2023, California passed three separate climate bills governing disclosure of greenhouse gas emissions data, climate-related financials risks and details around emissions-related claims and carbon offsets.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ESG standards set by various constituencies.</w:t>
      </w:r>
    </w:p>
    <w:p>
      <w:pPr>
        <w:spacing w:after="0" w:line="21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ESG matters, such as our commitment to target Net-Zero on Scope 1 and Scope 2 emissions resulting from our owned facilities worldwide by 2030 or our commitment to the Paris Agreement via the Science Based Targets Initiative,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adopted a rule that requires climate disclosures in periodic and other filings with the SEC covering fiscal years beginning in 2025, which rule has been stayed pending the completion of a judicial review. To comply with this SEC rule,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18"/>
          <w:szCs w:val="18"/>
          <w:color w:val="auto"/>
        </w:rPr>
        <w:t>if such rule goes into effect in their current form,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3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43"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2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72" w:lineRule="exact"/>
        <w:rPr>
          <w:sz w:val="20"/>
          <w:szCs w:val="20"/>
          <w:color w:val="auto"/>
        </w:rPr>
      </w:pPr>
    </w:p>
    <w:p>
      <w:pPr>
        <w:ind w:right="160" w:firstLine="648"/>
        <w:spacing w:after="0" w:line="279"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80"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tax payments;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240" w:hanging="644"/>
        <w:spacing w:after="0" w:line="266"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9" w:lineRule="exact"/>
        <w:rPr>
          <w:rFonts w:ascii="Times New Roman" w:cs="Times New Roman" w:eastAsia="Times New Roman" w:hAnsi="Times New Roman"/>
          <w:sz w:val="18"/>
          <w:szCs w:val="18"/>
          <w:color w:val="auto"/>
        </w:rPr>
      </w:pPr>
    </w:p>
    <w:p>
      <w:pPr>
        <w:ind w:left="1300" w:right="840" w:hanging="644"/>
        <w:spacing w:after="0" w:line="266"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8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Internal Revenue Service (the “IRS”) and other tax authorities. We currently have ongoing tax audits in the United Kingdom, Canada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11"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6"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2023, our internal controls over financial reporting were effective, we cannot predict the outcome of our testing in</w:t>
      </w:r>
    </w:p>
    <w:p>
      <w:pPr>
        <w:spacing w:after="0" w:line="5"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18"/>
          <w:szCs w:val="18"/>
          <w:color w:val="auto"/>
        </w:rPr>
        <w:t>2024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share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three months ended March 31, 2024, the closing price of our common stock ranged from $57.78 to $73.07 per share.</w:t>
      </w:r>
    </w:p>
    <w:p>
      <w:pPr>
        <w:spacing w:after="0" w:line="212"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67" w:lineRule="exact"/>
        <w:rPr>
          <w:sz w:val="20"/>
          <w:szCs w:val="20"/>
          <w:color w:val="auto"/>
        </w:rPr>
      </w:pPr>
    </w:p>
    <w:p>
      <w:pPr>
        <w:jc w:val="both"/>
        <w:ind w:right="700" w:firstLine="648"/>
        <w:spacing w:after="0" w:line="250"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1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2"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share repurchase amount under the Repurchase Program, bringing the aggregate amount authorized to be repurchased to $7.25 billion of our outstanding common stock. In February 2024, our board of directors approved an extension of the Repurchase Program to February 28, 2025. As of March 31, 2024, approximately $1.03 billion remained available for future share repurchases. Share repurchases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2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4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60" w:hanging="644"/>
        <w:spacing w:after="0" w:line="266"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98"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184" w:lineRule="exact"/>
        <w:rPr>
          <w:rFonts w:ascii="Times New Roman" w:cs="Times New Roman" w:eastAsia="Times New Roman" w:hAnsi="Times New Roman"/>
          <w:sz w:val="18"/>
          <w:szCs w:val="18"/>
          <w:color w:val="auto"/>
        </w:rPr>
      </w:pPr>
    </w:p>
    <w:p>
      <w:pPr>
        <w:ind w:left="1300" w:right="480" w:hanging="644"/>
        <w:spacing w:after="0" w:line="266"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3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1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5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4"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professionals to advise and assist us on activist stockholder matters, including legal, financial, communications advisors and solicitation experts, which may negatively impact our future financial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rising interest rates, changes to government spending, weakening product demand caused by political instability, changes in trade agreements and conflicts such as the war in Ukraine and the Israel-Hamas war, could adversely affect our business and financial performance.</w:t>
      </w:r>
    </w:p>
    <w:p>
      <w:pPr>
        <w:spacing w:after="0" w:line="18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Economic uncertainty in various global markets caused by political instability and conflict, such as the war in Ukraine and the Israel-Hamas war, and economic challenges caused by the economic downturn, any resulting recession, inflation or rise in interest rates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Russia, China and other countries. The continuing effect of any or all of these events could adversely impact demand for our products, harm our operations and weaken our financial results.</w:t>
      </w:r>
    </w:p>
    <w:p>
      <w:pPr>
        <w:spacing w:after="0" w:line="21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In addition, the U.S. capital markets have experienced and continue to experience extreme volatility and disruption. Inflation rates in the United States significantly increased in 2022 resulting in federal action to increase interest rates, adversely affecting capital markets activity. Further deterioration of the macroeconomic environment and regulatory action may adversely affect our business, operating results and financial condition.</w:t>
      </w:r>
    </w:p>
    <w:p>
      <w:pPr>
        <w:spacing w:after="0" w:line="21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188"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the Israel-Hamas war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43"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0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There were no shares repurchased under the Repurchase Program during the three months ended March 31, 2024. As of March 31, 2024, $1.03 billion remained available for future share repurchases under the Repurchase Program.</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On March 6, 2024, Keith Jensen, our Chief Financial Officer, entered into a pre-arranged written stock sale plan in accordance with Rule 10b5-1 under the Exchange Act for the sale of shares of our common stock (the “Jensen Plan”) during an open trading window in accordance with our insider trading policy. The Jensen Plan is intended to satisfy the affirmative defense of Rule 10b5-1(c) under the Exchange Act. The Jensen Plan provides for the potential sale by Keith Jensen of up to (a) 163,170 shares of our common stock, including upon the (i) vesting and settlement of RSUs and PSUs for shares of our common stock or (ii) exercise of vested options to purchase shares of our common stock, and (b) the net shares (which are not yet determinable) after shares are withheld to satisfy tax obligations upon such vesting and settlement, in each case, at the market price, all between June 5, 2024 and June 7, 2025.</w:t>
      </w:r>
    </w:p>
    <w:p>
      <w:pPr>
        <w:spacing w:after="0" w:line="212"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The Jensen Plan includes a representation from Keith Jensen to the broker administering the plan that he was not in possession of any material nonpublic information regarding us or the securities subject to the Jensen Plan at the time that he entered into the Jensen Plan. He made a similar representation to us in connection with the adoption of the Jensen Plan under our insider trading policy. The representation was made as of March 6, 2024 and speaks only as of that date. In making the representation, Mr. Jensen did not provide assurance with respect to any material nonpublic information of which he was unaware, or with respect to any material nonpublic information acquired by him or us after the date of the representation.</w:t>
      </w:r>
    </w:p>
    <w:p>
      <w:pPr>
        <w:spacing w:after="0" w:line="21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Once executed, transactions under the Jensen Plan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Keith Jensen or our other officers or directors or their affiliated entities.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5" w:lineRule="exact"/>
        <w:rPr>
          <w:sz w:val="20"/>
          <w:szCs w:val="20"/>
          <w:color w:val="auto"/>
        </w:rPr>
      </w:pPr>
    </w:p>
    <w:p>
      <w:pPr>
        <w:jc w:val="both"/>
        <w:ind w:left="6280"/>
        <w:spacing w:after="0"/>
        <w:tabs>
          <w:tab w:leader="none" w:pos="8420" w:val="left"/>
          <w:tab w:leader="none" w:pos="98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w:t>
            </w:r>
          </w:p>
        </w:tc>
        <w:tc>
          <w:tcPr>
            <w:tcW w:w="0" w:type="dxa"/>
            <w:vAlign w:val="bottom"/>
          </w:tcPr>
          <w:p>
            <w:pPr>
              <w:spacing w:after="0"/>
              <w:rPr>
                <w:sz w:val="1"/>
                <w:szCs w:val="1"/>
                <w:color w:val="auto"/>
              </w:rPr>
            </w:pPr>
          </w:p>
        </w:tc>
      </w:tr>
      <w:tr>
        <w:trPr>
          <w:trHeight w:val="27"/>
        </w:trPr>
        <w:tc>
          <w:tcPr>
            <w:tcW w:w="2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line="20" w:lineRule="exact"/>
              <w:rPr>
                <w:sz w:val="1"/>
                <w:szCs w:val="1"/>
                <w:color w:val="auto"/>
              </w:rPr>
            </w:pPr>
          </w:p>
        </w:tc>
      </w:tr>
      <w:tr>
        <w:trPr>
          <w:trHeight w:val="161"/>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4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256"/>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12"/>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Quarterly Report on</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10-Q for the quarter ended March 31, 2024 is formatted in inline XBRL.</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9" w:lineRule="exact"/>
        <w:rPr>
          <w:sz w:val="20"/>
          <w:szCs w:val="20"/>
          <w:color w:val="auto"/>
        </w:rPr>
      </w:pPr>
    </w:p>
    <w:p>
      <w:pPr>
        <w:ind w:left="140" w:hanging="132"/>
        <w:spacing w:after="0"/>
        <w:tabs>
          <w:tab w:leader="none" w:pos="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ind w:left="100" w:hanging="92"/>
        <w:spacing w:after="0" w:line="195" w:lineRule="auto"/>
        <w:tabs>
          <w:tab w:leader="none" w:pos="10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9" w:right="6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2024</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383"/>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 Xie</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Ken Xie, Chief Executive Officer and Chairman</w:t>
            </w:r>
          </w:p>
        </w:tc>
        <w:tc>
          <w:tcPr>
            <w:tcW w:w="0" w:type="dxa"/>
            <w:vAlign w:val="bottom"/>
          </w:tcPr>
          <w:p>
            <w:pPr>
              <w:spacing w:after="0"/>
              <w:rPr>
                <w:sz w:val="1"/>
                <w:szCs w:val="1"/>
                <w:color w:val="auto"/>
              </w:rPr>
            </w:pPr>
          </w:p>
        </w:tc>
      </w:tr>
      <w:tr>
        <w:trPr>
          <w:trHeight w:val="302"/>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Executive Officer)</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/s/  Keith Jensen</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Keith Jensen, Chief Financial Officer</w:t>
            </w:r>
          </w:p>
        </w:tc>
        <w:tc>
          <w:tcPr>
            <w:tcW w:w="0" w:type="dxa"/>
            <w:vAlign w:val="bottom"/>
          </w:tcPr>
          <w:p>
            <w:pPr>
              <w:spacing w:after="0"/>
              <w:rPr>
                <w:sz w:val="1"/>
                <w:szCs w:val="1"/>
                <w:color w:val="auto"/>
              </w:rPr>
            </w:pPr>
          </w:p>
        </w:tc>
      </w:tr>
      <w:tr>
        <w:trPr>
          <w:trHeight w:val="31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and Principal Financial Officer)</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/s/  Christiane Ohlgart</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Christiane Ohlgart, Chief Accounting Officer</w:t>
            </w:r>
          </w:p>
        </w:tc>
        <w:tc>
          <w:tcPr>
            <w:tcW w:w="0" w:type="dxa"/>
            <w:vAlign w:val="bottom"/>
          </w:tcPr>
          <w:p>
            <w:pPr>
              <w:spacing w:after="0"/>
              <w:rPr>
                <w:sz w:val="1"/>
                <w:szCs w:val="1"/>
                <w:color w:val="auto"/>
              </w:rPr>
            </w:pPr>
          </w:p>
        </w:tc>
      </w:tr>
      <w:tr>
        <w:trPr>
          <w:trHeight w:val="31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279" w:right="3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Keith Jensen</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 ended March 31, 2024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720" w:type="dxa"/>
            <w:vAlign w:val="bottom"/>
          </w:tcPr>
          <w:p>
            <w:pPr>
              <w:spacing w:after="0"/>
              <w:rPr>
                <w:sz w:val="15"/>
                <w:szCs w:val="15"/>
                <w:color w:val="auto"/>
              </w:rPr>
            </w:pPr>
          </w:p>
        </w:tc>
        <w:tc>
          <w:tcPr>
            <w:tcW w:w="2900" w:type="dxa"/>
            <w:vAlign w:val="bottom"/>
          </w:tcPr>
          <w:p>
            <w:pPr>
              <w:ind w:left="22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9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 Keith Jensen, certify, pursuant to 18 U.S.C. Section 1350, as adopted pursuant to Section 906 of the Sarbanes-Oxley Act of 2002, that the Quarterly Report on Form 10-Q of Fortinet, Inc. for the quarter ended March 31, 2024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Jensen</w:t>
            </w: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Jensen</w:t>
            </w:r>
          </w:p>
        </w:tc>
      </w:tr>
      <w:tr>
        <w:trPr>
          <w:trHeight w:val="180"/>
        </w:trPr>
        <w:tc>
          <w:tcPr>
            <w:tcW w:w="3720" w:type="dxa"/>
            <w:vAlign w:val="bottom"/>
          </w:tcPr>
          <w:p>
            <w:pPr>
              <w:spacing w:after="0"/>
              <w:rPr>
                <w:sz w:val="15"/>
                <w:szCs w:val="15"/>
                <w:color w:val="auto"/>
              </w:rPr>
            </w:pPr>
          </w:p>
        </w:tc>
        <w:tc>
          <w:tcPr>
            <w:tcW w:w="2900" w:type="dxa"/>
            <w:vAlign w:val="bottom"/>
          </w:tcPr>
          <w:p>
            <w:pPr>
              <w:ind w:left="22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2"/>
    </w:lvl>
  </w:abstractNum>
  <w:abstractNum w:abstractNumId="6">
    <w:nsid w:val="4353D0CD"/>
    <w:multiLevelType w:val="hybridMultilevel"/>
    <w:lvl w:ilvl="0">
      <w:lvlJc w:val="left"/>
      <w:lvlText w:val="%1."/>
      <w:numFmt w:val="decimal"/>
      <w:start w:val="3"/>
    </w:lvl>
  </w:abstractNum>
  <w:abstractNum w:abstractNumId="7">
    <w:nsid w:val="B03E0C6"/>
    <w:multiLevelType w:val="hybridMultilevel"/>
    <w:lvl w:ilvl="0">
      <w:lvlJc w:val="left"/>
      <w:lvlText w:val="%1."/>
      <w:numFmt w:val="decimal"/>
      <w:start w:val="6"/>
    </w:lvl>
  </w:abstractNum>
  <w:abstractNum w:abstractNumId="8">
    <w:nsid w:val="189A769B"/>
    <w:multiLevelType w:val="hybridMultilevel"/>
    <w:lvl w:ilvl="0">
      <w:lvlJc w:val="left"/>
      <w:lvlText w:val="%1."/>
      <w:numFmt w:val="decimal"/>
      <w:start w:val="8"/>
    </w:lvl>
  </w:abstractNum>
  <w:abstractNum w:abstractNumId="9">
    <w:nsid w:val="54E49EB4"/>
    <w:multiLevelType w:val="hybridMultilevel"/>
    <w:lvl w:ilvl="0">
      <w:lvlJc w:val="left"/>
      <w:lvlText w:val="%1."/>
      <w:numFmt w:val="decimal"/>
      <w:start w:val="9"/>
    </w:lvl>
  </w:abstractNum>
  <w:abstractNum w:abstractNumId="10">
    <w:nsid w:val="71F32454"/>
    <w:multiLevelType w:val="hybridMultilevel"/>
    <w:lvl w:ilvl="0">
      <w:lvlJc w:val="left"/>
      <w:lvlText w:val="%1."/>
      <w:numFmt w:val="decimal"/>
      <w:start w:val="10"/>
    </w:lvl>
  </w:abstractNum>
  <w:abstractNum w:abstractNumId="11">
    <w:nsid w:val="2CA88611"/>
    <w:multiLevelType w:val="hybridMultilevel"/>
    <w:lvl w:ilvl="0">
      <w:lvlJc w:val="left"/>
      <w:lvlText w:val="%1."/>
      <w:numFmt w:val="decimal"/>
      <w:start w:val="11"/>
    </w:lvl>
  </w:abstractNum>
  <w:abstractNum w:abstractNumId="12">
    <w:nsid w:val="836C40E"/>
    <w:multiLevelType w:val="hybridMultilevel"/>
    <w:lvl w:ilvl="0">
      <w:lvlJc w:val="left"/>
      <w:lvlText w:val="%1."/>
      <w:numFmt w:val="decimal"/>
      <w:start w:val="13"/>
    </w:lvl>
  </w:abstractNum>
  <w:abstractNum w:abstractNumId="13">
    <w:nsid w:val="2901D82"/>
    <w:multiLevelType w:val="hybridMultilevel"/>
    <w:lvl w:ilvl="0">
      <w:lvlJc w:val="left"/>
      <w:lvlText w:val="%1."/>
      <w:numFmt w:val="decimal"/>
      <w:start w:val="14"/>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2024-05-06T15:42:05Z</dcterms:created>
  <dcterms:modified xsi:type="dcterms:W3CDTF">2024-05-06T15:42:05Z</dcterms:modified>
</cp:coreProperties>
</file>